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36678B">
      <w:pPr>
        <w:spacing w:line="560" w:lineRule="exact"/>
        <w:jc w:val="center"/>
        <w:rPr>
          <w:rFonts w:ascii="宋体" w:hAnsi="宋体" w:cs="宋体"/>
          <w:b/>
          <w:bCs/>
          <w:sz w:val="44"/>
          <w:szCs w:val="44"/>
        </w:rPr>
      </w:pPr>
      <w:bookmarkStart w:id="0" w:name="_Toc30940"/>
      <w:r>
        <w:rPr>
          <w:rFonts w:hint="eastAsia" w:ascii="宋体" w:hAnsi="宋体" w:cs="宋体"/>
          <w:b/>
          <w:bCs/>
          <w:sz w:val="44"/>
          <w:szCs w:val="44"/>
        </w:rPr>
        <w:t>石家庄市投资促进局部门</w:t>
      </w:r>
      <w:bookmarkEnd w:id="0"/>
    </w:p>
    <w:p w14:paraId="3C2F070E">
      <w:pPr>
        <w:spacing w:line="560" w:lineRule="exact"/>
        <w:jc w:val="center"/>
        <w:rPr>
          <w:rFonts w:ascii="宋体" w:hAnsi="宋体" w:cs="宋体"/>
          <w:b/>
          <w:bCs/>
          <w:sz w:val="44"/>
          <w:szCs w:val="44"/>
        </w:rPr>
      </w:pPr>
      <w:bookmarkStart w:id="1" w:name="_Toc23532"/>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bookmarkEnd w:id="1"/>
    </w:p>
    <w:p w14:paraId="732E6977">
      <w:pPr>
        <w:rPr>
          <w:rFonts w:ascii="宋体" w:hAnsi="宋体" w:cs="宋体"/>
          <w:b/>
          <w:bCs/>
          <w:sz w:val="44"/>
          <w:szCs w:val="44"/>
        </w:rPr>
      </w:pPr>
    </w:p>
    <w:p w14:paraId="56910213">
      <w:pPr>
        <w:rPr>
          <w:rFonts w:ascii="宋体" w:hAnsi="宋体" w:cs="宋体"/>
          <w:b/>
          <w:bCs/>
          <w:sz w:val="44"/>
          <w:szCs w:val="44"/>
        </w:rPr>
      </w:pPr>
    </w:p>
    <w:p w14:paraId="140978E2">
      <w:pPr>
        <w:rPr>
          <w:rFonts w:ascii="宋体" w:hAnsi="宋体" w:cs="宋体"/>
          <w:b/>
          <w:bCs/>
          <w:sz w:val="44"/>
          <w:szCs w:val="44"/>
        </w:rPr>
      </w:pPr>
    </w:p>
    <w:p w14:paraId="4A6F31BF">
      <w:pPr>
        <w:rPr>
          <w:rFonts w:ascii="宋体" w:hAnsi="宋体" w:cs="宋体"/>
          <w:b/>
          <w:bCs/>
          <w:sz w:val="44"/>
          <w:szCs w:val="44"/>
        </w:rPr>
      </w:pPr>
    </w:p>
    <w:p w14:paraId="26D43658">
      <w:pPr>
        <w:rPr>
          <w:rFonts w:ascii="宋体" w:hAnsi="宋体" w:cs="宋体"/>
          <w:b/>
          <w:bCs/>
          <w:sz w:val="44"/>
          <w:szCs w:val="44"/>
        </w:rPr>
      </w:pPr>
    </w:p>
    <w:p w14:paraId="36358C29">
      <w:pPr>
        <w:rPr>
          <w:rFonts w:ascii="宋体" w:hAnsi="宋体" w:cs="宋体"/>
          <w:b/>
          <w:bCs/>
          <w:sz w:val="44"/>
          <w:szCs w:val="44"/>
        </w:rPr>
      </w:pPr>
    </w:p>
    <w:p w14:paraId="3F4ED198">
      <w:pPr>
        <w:rPr>
          <w:rFonts w:ascii="宋体" w:hAnsi="宋体" w:cs="宋体"/>
          <w:b/>
          <w:bCs/>
          <w:sz w:val="44"/>
          <w:szCs w:val="44"/>
        </w:rPr>
      </w:pPr>
    </w:p>
    <w:p w14:paraId="4DCB7FBF">
      <w:pPr>
        <w:rPr>
          <w:rFonts w:ascii="宋体" w:hAnsi="宋体" w:cs="宋体"/>
          <w:b/>
          <w:bCs/>
          <w:sz w:val="44"/>
          <w:szCs w:val="44"/>
        </w:rPr>
      </w:pPr>
    </w:p>
    <w:p w14:paraId="12F09FD3">
      <w:pPr>
        <w:rPr>
          <w:rFonts w:ascii="宋体" w:hAnsi="宋体" w:cs="宋体"/>
          <w:b/>
          <w:bCs/>
          <w:sz w:val="44"/>
          <w:szCs w:val="44"/>
        </w:rPr>
      </w:pPr>
    </w:p>
    <w:p w14:paraId="34302889">
      <w:pPr>
        <w:rPr>
          <w:rFonts w:ascii="宋体" w:hAnsi="宋体" w:cs="宋体"/>
          <w:b/>
          <w:bCs/>
          <w:sz w:val="44"/>
          <w:szCs w:val="44"/>
        </w:rPr>
      </w:pPr>
    </w:p>
    <w:p w14:paraId="368FE32A">
      <w:pPr>
        <w:rPr>
          <w:rFonts w:ascii="宋体" w:hAnsi="宋体" w:cs="宋体"/>
          <w:b/>
          <w:bCs/>
          <w:sz w:val="44"/>
          <w:szCs w:val="44"/>
        </w:rPr>
      </w:pPr>
    </w:p>
    <w:p w14:paraId="490AA277">
      <w:pPr>
        <w:rPr>
          <w:rFonts w:ascii="宋体" w:hAnsi="宋体" w:cs="宋体"/>
          <w:b/>
          <w:bCs/>
          <w:sz w:val="44"/>
          <w:szCs w:val="44"/>
        </w:rPr>
      </w:pPr>
    </w:p>
    <w:p w14:paraId="380791C3"/>
    <w:p w14:paraId="156FBA36">
      <w:pPr>
        <w:jc w:val="center"/>
        <w:rPr>
          <w:b/>
          <w:bCs/>
          <w:sz w:val="32"/>
          <w:szCs w:val="36"/>
        </w:rPr>
      </w:pPr>
      <w:bookmarkStart w:id="2" w:name="_Toc24870"/>
      <w:r>
        <w:rPr>
          <w:rFonts w:hint="eastAsia"/>
          <w:b/>
          <w:bCs/>
          <w:sz w:val="32"/>
          <w:szCs w:val="36"/>
        </w:rPr>
        <w:t>石家庄市投资促进局</w:t>
      </w:r>
      <w:bookmarkEnd w:id="2"/>
    </w:p>
    <w:p w14:paraId="7A477152">
      <w:pPr>
        <w:jc w:val="center"/>
      </w:pPr>
    </w:p>
    <w:p w14:paraId="21D3507A"/>
    <w:p w14:paraId="42C30B32"/>
    <w:p w14:paraId="4F9163D1"/>
    <w:p w14:paraId="17AF1CEC"/>
    <w:p w14:paraId="33F554F7"/>
    <w:p w14:paraId="65C9494A"/>
    <w:p w14:paraId="760D999C">
      <w:pPr>
        <w:jc w:val="center"/>
        <w:rPr>
          <w:b/>
          <w:bCs/>
          <w:sz w:val="24"/>
          <w:szCs w:val="28"/>
        </w:rPr>
      </w:pPr>
      <w:r>
        <w:rPr>
          <w:rFonts w:hint="eastAsia"/>
          <w:b/>
          <w:bCs/>
          <w:sz w:val="28"/>
          <w:szCs w:val="32"/>
        </w:rPr>
        <w:t>202</w:t>
      </w:r>
      <w:r>
        <w:rPr>
          <w:rFonts w:hint="eastAsia"/>
          <w:b/>
          <w:bCs/>
          <w:sz w:val="28"/>
          <w:szCs w:val="32"/>
          <w:lang w:val="en-US" w:eastAsia="zh-CN"/>
        </w:rPr>
        <w:t>5</w:t>
      </w:r>
      <w:r>
        <w:rPr>
          <w:rFonts w:hint="eastAsia"/>
          <w:b/>
          <w:bCs/>
          <w:sz w:val="28"/>
          <w:szCs w:val="32"/>
        </w:rPr>
        <w:t>年3月</w:t>
      </w:r>
    </w:p>
    <w:p w14:paraId="02CAEDF0"/>
    <w:p w14:paraId="3E16B1D5">
      <w:pPr>
        <w:pStyle w:val="2"/>
        <w:sectPr>
          <w:headerReference r:id="rId3" w:type="default"/>
          <w:footerReference r:id="rId4" w:type="default"/>
          <w:pgSz w:w="11906" w:h="16838"/>
          <w:pgMar w:top="1440" w:right="1474" w:bottom="1440" w:left="1587" w:header="851" w:footer="992" w:gutter="0"/>
          <w:pgNumType w:fmt="decimal"/>
          <w:cols w:space="0" w:num="1"/>
          <w:docGrid w:type="lines" w:linePitch="312" w:charSpace="0"/>
        </w:sectPr>
      </w:pPr>
    </w:p>
    <w:p w14:paraId="07B10137">
      <w:pPr>
        <w:jc w:val="center"/>
        <w:rPr>
          <w:b/>
          <w:bCs/>
          <w:sz w:val="36"/>
          <w:szCs w:val="40"/>
        </w:rPr>
      </w:pPr>
      <w:r>
        <w:rPr>
          <w:rFonts w:ascii="宋体" w:hAnsi="宋体"/>
          <w:b/>
          <w:bCs/>
          <w:sz w:val="36"/>
          <w:szCs w:val="40"/>
        </w:rPr>
        <w:t>目</w:t>
      </w:r>
      <w:r>
        <w:rPr>
          <w:rFonts w:hint="eastAsia" w:ascii="宋体" w:hAnsi="宋体"/>
          <w:b/>
          <w:bCs/>
          <w:sz w:val="36"/>
          <w:szCs w:val="40"/>
        </w:rPr>
        <w:t xml:space="preserve"> </w:t>
      </w:r>
      <w:r>
        <w:rPr>
          <w:rFonts w:ascii="宋体" w:hAnsi="宋体"/>
          <w:b/>
          <w:bCs/>
          <w:sz w:val="36"/>
          <w:szCs w:val="40"/>
        </w:rPr>
        <w:t>录</w:t>
      </w:r>
    </w:p>
    <w:p w14:paraId="2C885461">
      <w:pPr>
        <w:pStyle w:val="11"/>
        <w:tabs>
          <w:tab w:val="right" w:leader="dot" w:pos="8845"/>
        </w:tabs>
        <w:rPr>
          <w:b/>
        </w:rPr>
      </w:pPr>
      <w:r>
        <w:rPr>
          <w:rFonts w:hint="eastAsia" w:ascii="宋体" w:hAnsi="宋体" w:cs="宋体"/>
          <w:b/>
          <w:bCs/>
          <w:sz w:val="44"/>
          <w:szCs w:val="44"/>
        </w:rPr>
        <w:fldChar w:fldCharType="begin"/>
      </w:r>
      <w:r>
        <w:rPr>
          <w:rFonts w:hint="eastAsia" w:ascii="宋体" w:hAnsi="宋体" w:cs="宋体"/>
          <w:b/>
          <w:bCs/>
          <w:sz w:val="44"/>
          <w:szCs w:val="44"/>
        </w:rPr>
        <w:instrText xml:space="preserve">TOC \o "1-2" \h \u </w:instrText>
      </w:r>
      <w:r>
        <w:rPr>
          <w:rFonts w:hint="eastAsia" w:ascii="宋体" w:hAnsi="宋体" w:cs="宋体"/>
          <w:b/>
          <w:bCs/>
          <w:sz w:val="44"/>
          <w:szCs w:val="44"/>
        </w:rPr>
        <w:fldChar w:fldCharType="separate"/>
      </w:r>
    </w:p>
    <w:p w14:paraId="0519C5F7">
      <w:pPr>
        <w:pStyle w:val="11"/>
        <w:tabs>
          <w:tab w:val="right" w:leader="dot" w:pos="8845"/>
        </w:tabs>
        <w:rPr>
          <w:b/>
          <w:sz w:val="28"/>
          <w:szCs w:val="28"/>
        </w:rPr>
      </w:pPr>
      <w:r>
        <w:fldChar w:fldCharType="begin"/>
      </w:r>
      <w:r>
        <w:instrText xml:space="preserve"> HYPERLINK \l "_Toc5079" </w:instrText>
      </w:r>
      <w:r>
        <w:fldChar w:fldCharType="separate"/>
      </w:r>
      <w:r>
        <w:rPr>
          <w:rFonts w:hint="eastAsia" w:ascii="黑体" w:hAnsi="黑体" w:eastAsia="黑体"/>
          <w:b/>
          <w:sz w:val="28"/>
          <w:szCs w:val="48"/>
        </w:rPr>
        <w:t>一、部门</w:t>
      </w:r>
      <w:r>
        <w:rPr>
          <w:rFonts w:hint="eastAsia" w:ascii="黑体" w:hAnsi="黑体" w:eastAsia="黑体"/>
          <w:b/>
          <w:sz w:val="28"/>
          <w:szCs w:val="52"/>
        </w:rPr>
        <w:t>基本情况</w:t>
      </w:r>
      <w:r>
        <w:rPr>
          <w:b/>
          <w:sz w:val="28"/>
          <w:szCs w:val="28"/>
        </w:rPr>
        <w:tab/>
      </w:r>
      <w:r>
        <w:rPr>
          <w:rFonts w:hint="eastAsia"/>
          <w:b/>
          <w:sz w:val="28"/>
          <w:szCs w:val="28"/>
          <w:lang w:val="en-US" w:eastAsia="zh-CN"/>
        </w:rPr>
        <w:t>2</w:t>
      </w:r>
      <w:r>
        <w:rPr>
          <w:b/>
          <w:sz w:val="28"/>
          <w:szCs w:val="28"/>
        </w:rPr>
        <w:fldChar w:fldCharType="end"/>
      </w:r>
    </w:p>
    <w:p w14:paraId="48CC3519">
      <w:pPr>
        <w:pStyle w:val="12"/>
        <w:tabs>
          <w:tab w:val="right" w:leader="dot" w:pos="8845"/>
        </w:tabs>
        <w:ind w:left="420"/>
        <w:rPr>
          <w:sz w:val="28"/>
          <w:szCs w:val="28"/>
        </w:rPr>
      </w:pPr>
      <w:r>
        <w:fldChar w:fldCharType="begin"/>
      </w:r>
      <w:r>
        <w:instrText xml:space="preserve"> HYPERLINK \l "_Toc1785" </w:instrText>
      </w:r>
      <w:r>
        <w:fldChar w:fldCharType="separate"/>
      </w:r>
      <w:r>
        <w:rPr>
          <w:rFonts w:hint="eastAsia" w:ascii="楷体" w:hAnsi="楷体" w:eastAsia="楷体" w:cs="楷体_GB2312"/>
          <w:bCs/>
          <w:sz w:val="28"/>
          <w:szCs w:val="48"/>
        </w:rPr>
        <w:t>（一）部门概况</w:t>
      </w:r>
      <w:r>
        <w:rPr>
          <w:sz w:val="28"/>
          <w:szCs w:val="28"/>
        </w:rPr>
        <w:tab/>
      </w:r>
      <w:r>
        <w:rPr>
          <w:rFonts w:hint="eastAsia"/>
          <w:sz w:val="28"/>
          <w:szCs w:val="28"/>
          <w:lang w:val="en-US" w:eastAsia="zh-CN"/>
        </w:rPr>
        <w:t>2</w:t>
      </w:r>
      <w:r>
        <w:rPr>
          <w:sz w:val="28"/>
          <w:szCs w:val="28"/>
        </w:rPr>
        <w:fldChar w:fldCharType="end"/>
      </w:r>
    </w:p>
    <w:p w14:paraId="5D1DEBE7">
      <w:pPr>
        <w:pStyle w:val="12"/>
        <w:tabs>
          <w:tab w:val="right" w:leader="dot" w:pos="8845"/>
        </w:tabs>
        <w:ind w:left="420"/>
        <w:rPr>
          <w:sz w:val="28"/>
          <w:szCs w:val="28"/>
        </w:rPr>
      </w:pPr>
      <w:r>
        <w:fldChar w:fldCharType="begin"/>
      </w:r>
      <w:r>
        <w:instrText xml:space="preserve"> HYPERLINK \l "_Toc18929" </w:instrText>
      </w:r>
      <w:r>
        <w:fldChar w:fldCharType="separate"/>
      </w:r>
      <w:r>
        <w:rPr>
          <w:rFonts w:hint="eastAsia" w:ascii="楷体" w:hAnsi="楷体" w:eastAsia="楷体" w:cs="楷体_GB2312"/>
          <w:bCs/>
          <w:sz w:val="28"/>
          <w:szCs w:val="48"/>
        </w:rPr>
        <w:t>（二）部门收支预决算情况</w:t>
      </w:r>
      <w:r>
        <w:rPr>
          <w:sz w:val="28"/>
          <w:szCs w:val="28"/>
        </w:rPr>
        <w:tab/>
      </w:r>
      <w:r>
        <w:rPr>
          <w:rFonts w:hint="eastAsia"/>
          <w:sz w:val="28"/>
          <w:szCs w:val="28"/>
          <w:lang w:val="en-US" w:eastAsia="zh-CN"/>
        </w:rPr>
        <w:t>4</w:t>
      </w:r>
      <w:r>
        <w:rPr>
          <w:sz w:val="28"/>
          <w:szCs w:val="28"/>
        </w:rPr>
        <w:fldChar w:fldCharType="end"/>
      </w:r>
    </w:p>
    <w:p w14:paraId="5FEFE55E">
      <w:pPr>
        <w:pStyle w:val="12"/>
        <w:tabs>
          <w:tab w:val="right" w:leader="dot" w:pos="8845"/>
        </w:tabs>
        <w:ind w:left="420"/>
        <w:rPr>
          <w:sz w:val="28"/>
          <w:szCs w:val="28"/>
        </w:rPr>
      </w:pPr>
      <w:r>
        <w:fldChar w:fldCharType="begin"/>
      </w:r>
      <w:r>
        <w:instrText xml:space="preserve"> HYPERLINK \l "_Toc14558" </w:instrText>
      </w:r>
      <w:r>
        <w:fldChar w:fldCharType="separate"/>
      </w:r>
      <w:r>
        <w:rPr>
          <w:rFonts w:hint="eastAsia" w:ascii="楷体" w:hAnsi="楷体" w:eastAsia="楷体" w:cs="楷体_GB2312"/>
          <w:bCs/>
          <w:sz w:val="28"/>
          <w:szCs w:val="48"/>
        </w:rPr>
        <w:t>（三）部门整体支出绩效目标、指标</w:t>
      </w:r>
      <w:r>
        <w:rPr>
          <w:sz w:val="28"/>
          <w:szCs w:val="28"/>
        </w:rPr>
        <w:tab/>
      </w:r>
      <w:r>
        <w:rPr>
          <w:rFonts w:hint="eastAsia"/>
          <w:sz w:val="28"/>
          <w:szCs w:val="28"/>
          <w:lang w:val="en-US" w:eastAsia="zh-CN"/>
        </w:rPr>
        <w:t>5</w:t>
      </w:r>
      <w:r>
        <w:rPr>
          <w:sz w:val="28"/>
          <w:szCs w:val="28"/>
        </w:rPr>
        <w:fldChar w:fldCharType="end"/>
      </w:r>
    </w:p>
    <w:p w14:paraId="113F28EF">
      <w:pPr>
        <w:pStyle w:val="11"/>
        <w:tabs>
          <w:tab w:val="right" w:leader="dot" w:pos="8845"/>
        </w:tabs>
        <w:rPr>
          <w:b/>
          <w:sz w:val="28"/>
          <w:szCs w:val="28"/>
        </w:rPr>
      </w:pPr>
      <w:r>
        <w:fldChar w:fldCharType="begin"/>
      </w:r>
      <w:r>
        <w:instrText xml:space="preserve"> HYPERLINK \l "_Toc24010" </w:instrText>
      </w:r>
      <w:r>
        <w:fldChar w:fldCharType="separate"/>
      </w:r>
      <w:r>
        <w:rPr>
          <w:rFonts w:hint="eastAsia" w:ascii="黑体" w:hAnsi="黑体" w:eastAsia="黑体"/>
          <w:b/>
          <w:sz w:val="28"/>
          <w:szCs w:val="48"/>
        </w:rPr>
        <w:t>二、自评工作开展情况</w:t>
      </w:r>
      <w:r>
        <w:rPr>
          <w:b/>
          <w:sz w:val="28"/>
          <w:szCs w:val="28"/>
        </w:rPr>
        <w:tab/>
      </w:r>
      <w:r>
        <w:rPr>
          <w:rFonts w:hint="eastAsia"/>
          <w:b/>
          <w:sz w:val="28"/>
          <w:szCs w:val="28"/>
          <w:lang w:val="en-US" w:eastAsia="zh-CN"/>
        </w:rPr>
        <w:t>6</w:t>
      </w:r>
      <w:r>
        <w:rPr>
          <w:b/>
          <w:sz w:val="28"/>
          <w:szCs w:val="28"/>
        </w:rPr>
        <w:fldChar w:fldCharType="end"/>
      </w:r>
    </w:p>
    <w:p w14:paraId="3F120DE0">
      <w:pPr>
        <w:pStyle w:val="12"/>
        <w:tabs>
          <w:tab w:val="right" w:leader="dot" w:pos="8845"/>
        </w:tabs>
        <w:ind w:left="420"/>
        <w:rPr>
          <w:sz w:val="28"/>
          <w:szCs w:val="28"/>
        </w:rPr>
      </w:pPr>
      <w:r>
        <w:fldChar w:fldCharType="begin"/>
      </w:r>
      <w:r>
        <w:instrText xml:space="preserve"> HYPERLINK \l "_Toc3678" </w:instrText>
      </w:r>
      <w:r>
        <w:fldChar w:fldCharType="separate"/>
      </w:r>
      <w:r>
        <w:rPr>
          <w:rFonts w:hint="eastAsia" w:ascii="楷体" w:hAnsi="楷体" w:eastAsia="楷体" w:cs="楷体_GB2312"/>
          <w:bCs/>
          <w:sz w:val="28"/>
          <w:szCs w:val="48"/>
        </w:rPr>
        <w:t>（一）自评的组织工作</w:t>
      </w:r>
      <w:r>
        <w:rPr>
          <w:sz w:val="28"/>
          <w:szCs w:val="28"/>
        </w:rPr>
        <w:tab/>
      </w:r>
      <w:r>
        <w:rPr>
          <w:rFonts w:hint="eastAsia"/>
          <w:sz w:val="28"/>
          <w:szCs w:val="28"/>
          <w:lang w:val="en-US" w:eastAsia="zh-CN"/>
        </w:rPr>
        <w:t>7</w:t>
      </w:r>
      <w:r>
        <w:rPr>
          <w:sz w:val="28"/>
          <w:szCs w:val="28"/>
        </w:rPr>
        <w:fldChar w:fldCharType="end"/>
      </w:r>
    </w:p>
    <w:p w14:paraId="32AB14EE">
      <w:pPr>
        <w:pStyle w:val="12"/>
        <w:tabs>
          <w:tab w:val="right" w:leader="dot" w:pos="8845"/>
        </w:tabs>
        <w:ind w:left="420"/>
        <w:rPr>
          <w:sz w:val="28"/>
          <w:szCs w:val="28"/>
        </w:rPr>
      </w:pPr>
      <w:r>
        <w:fldChar w:fldCharType="begin"/>
      </w:r>
      <w:r>
        <w:instrText xml:space="preserve"> HYPERLINK \l "_Toc327" </w:instrText>
      </w:r>
      <w:r>
        <w:fldChar w:fldCharType="separate"/>
      </w:r>
      <w:r>
        <w:rPr>
          <w:rFonts w:hint="eastAsia" w:ascii="楷体" w:hAnsi="楷体" w:eastAsia="楷体" w:cs="楷体_GB2312"/>
          <w:bCs/>
          <w:sz w:val="28"/>
          <w:szCs w:val="48"/>
        </w:rPr>
        <w:t>（二）自评的方法和过程</w:t>
      </w:r>
      <w:r>
        <w:rPr>
          <w:sz w:val="28"/>
          <w:szCs w:val="28"/>
        </w:rPr>
        <w:tab/>
      </w:r>
      <w:r>
        <w:rPr>
          <w:rFonts w:hint="eastAsia"/>
          <w:sz w:val="28"/>
          <w:szCs w:val="28"/>
          <w:lang w:val="en-US" w:eastAsia="zh-CN"/>
        </w:rPr>
        <w:t>7</w:t>
      </w:r>
      <w:r>
        <w:rPr>
          <w:sz w:val="28"/>
          <w:szCs w:val="28"/>
        </w:rPr>
        <w:fldChar w:fldCharType="end"/>
      </w:r>
    </w:p>
    <w:p w14:paraId="684EBE08">
      <w:pPr>
        <w:pStyle w:val="11"/>
        <w:tabs>
          <w:tab w:val="right" w:leader="dot" w:pos="8845"/>
        </w:tabs>
        <w:rPr>
          <w:b/>
          <w:sz w:val="28"/>
          <w:szCs w:val="28"/>
        </w:rPr>
      </w:pPr>
      <w:r>
        <w:fldChar w:fldCharType="begin"/>
      </w:r>
      <w:r>
        <w:instrText xml:space="preserve"> HYPERLINK \l "_Toc12940" </w:instrText>
      </w:r>
      <w:r>
        <w:fldChar w:fldCharType="separate"/>
      </w:r>
      <w:r>
        <w:rPr>
          <w:rFonts w:hint="eastAsia" w:ascii="黑体" w:hAnsi="黑体" w:eastAsia="黑体"/>
          <w:b/>
          <w:sz w:val="28"/>
          <w:szCs w:val="48"/>
        </w:rPr>
        <w:t>三、部门整体支出绩效目标实现情况及指标分析</w:t>
      </w:r>
      <w:r>
        <w:rPr>
          <w:b/>
          <w:sz w:val="28"/>
          <w:szCs w:val="28"/>
        </w:rPr>
        <w:tab/>
      </w:r>
      <w:r>
        <w:rPr>
          <w:rFonts w:hint="eastAsia"/>
          <w:b/>
          <w:sz w:val="28"/>
          <w:szCs w:val="28"/>
          <w:lang w:val="en-US" w:eastAsia="zh-CN"/>
        </w:rPr>
        <w:t>8</w:t>
      </w:r>
      <w:r>
        <w:rPr>
          <w:b/>
          <w:sz w:val="28"/>
          <w:szCs w:val="28"/>
        </w:rPr>
        <w:fldChar w:fldCharType="end"/>
      </w:r>
    </w:p>
    <w:p w14:paraId="2FDD355D">
      <w:pPr>
        <w:pStyle w:val="12"/>
        <w:tabs>
          <w:tab w:val="right" w:leader="dot" w:pos="8845"/>
        </w:tabs>
        <w:ind w:left="420"/>
        <w:rPr>
          <w:sz w:val="28"/>
          <w:szCs w:val="28"/>
        </w:rPr>
      </w:pPr>
      <w:r>
        <w:fldChar w:fldCharType="begin"/>
      </w:r>
      <w:r>
        <w:instrText xml:space="preserve"> HYPERLINK \l "_Toc30956" </w:instrText>
      </w:r>
      <w:r>
        <w:fldChar w:fldCharType="separate"/>
      </w:r>
      <w:r>
        <w:rPr>
          <w:rFonts w:hint="eastAsia" w:ascii="楷体" w:hAnsi="楷体" w:eastAsia="楷体" w:cs="楷体_GB2312"/>
          <w:bCs/>
          <w:sz w:val="28"/>
          <w:szCs w:val="48"/>
        </w:rPr>
        <w:t>（一）总体绩效目标实现情况</w:t>
      </w:r>
      <w:r>
        <w:rPr>
          <w:sz w:val="28"/>
          <w:szCs w:val="28"/>
        </w:rPr>
        <w:tab/>
      </w:r>
      <w:r>
        <w:rPr>
          <w:rFonts w:hint="eastAsia"/>
          <w:sz w:val="28"/>
          <w:szCs w:val="28"/>
          <w:lang w:val="en-US" w:eastAsia="zh-CN"/>
        </w:rPr>
        <w:t>8</w:t>
      </w:r>
      <w:r>
        <w:rPr>
          <w:sz w:val="28"/>
          <w:szCs w:val="28"/>
        </w:rPr>
        <w:fldChar w:fldCharType="end"/>
      </w:r>
    </w:p>
    <w:p w14:paraId="5454FF4F">
      <w:pPr>
        <w:pStyle w:val="12"/>
        <w:tabs>
          <w:tab w:val="right" w:leader="dot" w:pos="8845"/>
        </w:tabs>
        <w:ind w:left="420"/>
        <w:rPr>
          <w:sz w:val="28"/>
          <w:szCs w:val="28"/>
        </w:rPr>
      </w:pPr>
      <w:r>
        <w:fldChar w:fldCharType="begin"/>
      </w:r>
      <w:r>
        <w:instrText xml:space="preserve"> HYPERLINK \l "_Toc28336" </w:instrText>
      </w:r>
      <w:r>
        <w:fldChar w:fldCharType="separate"/>
      </w:r>
      <w:r>
        <w:rPr>
          <w:rFonts w:hint="eastAsia" w:ascii="楷体" w:hAnsi="楷体" w:eastAsia="楷体" w:cs="楷体_GB2312"/>
          <w:bCs/>
          <w:sz w:val="28"/>
          <w:szCs w:val="48"/>
        </w:rPr>
        <w:t>（二）分项绩效目标实现情况及指标分析</w:t>
      </w:r>
      <w:r>
        <w:rPr>
          <w:sz w:val="28"/>
          <w:szCs w:val="28"/>
        </w:rPr>
        <w:tab/>
      </w:r>
      <w:r>
        <w:rPr>
          <w:rFonts w:hint="eastAsia"/>
          <w:sz w:val="28"/>
          <w:szCs w:val="28"/>
          <w:lang w:val="en-US" w:eastAsia="zh-CN"/>
        </w:rPr>
        <w:t>8</w:t>
      </w:r>
      <w:r>
        <w:rPr>
          <w:sz w:val="28"/>
          <w:szCs w:val="28"/>
        </w:rPr>
        <w:fldChar w:fldCharType="end"/>
      </w:r>
    </w:p>
    <w:p w14:paraId="5BD36153">
      <w:pPr>
        <w:pStyle w:val="11"/>
        <w:tabs>
          <w:tab w:val="right" w:leader="dot" w:pos="8845"/>
        </w:tabs>
        <w:rPr>
          <w:rFonts w:hint="eastAsia" w:eastAsia="宋体"/>
          <w:b/>
          <w:sz w:val="28"/>
          <w:szCs w:val="28"/>
          <w:lang w:val="en-US" w:eastAsia="zh-CN"/>
        </w:rPr>
      </w:pPr>
      <w:r>
        <w:fldChar w:fldCharType="begin"/>
      </w:r>
      <w:r>
        <w:instrText xml:space="preserve"> HYPERLINK \l "_Toc27756" </w:instrText>
      </w:r>
      <w:r>
        <w:fldChar w:fldCharType="separate"/>
      </w:r>
      <w:r>
        <w:rPr>
          <w:rFonts w:hint="eastAsia" w:ascii="黑体" w:hAnsi="黑体" w:eastAsia="黑体"/>
          <w:b/>
          <w:sz w:val="28"/>
          <w:szCs w:val="48"/>
        </w:rPr>
        <w:t>四、评价结论和评价等级</w:t>
      </w:r>
      <w:r>
        <w:rPr>
          <w:b/>
          <w:sz w:val="28"/>
          <w:szCs w:val="28"/>
        </w:rPr>
        <w:tab/>
      </w:r>
      <w:r>
        <w:rPr>
          <w:rFonts w:hint="eastAsia"/>
          <w:b/>
          <w:sz w:val="28"/>
          <w:szCs w:val="28"/>
          <w:lang w:val="en-US" w:eastAsia="zh-CN"/>
        </w:rPr>
        <w:t>1</w:t>
      </w:r>
      <w:r>
        <w:rPr>
          <w:b/>
          <w:sz w:val="28"/>
          <w:szCs w:val="28"/>
        </w:rPr>
        <w:fldChar w:fldCharType="end"/>
      </w:r>
      <w:r>
        <w:rPr>
          <w:rFonts w:hint="eastAsia"/>
          <w:b/>
          <w:sz w:val="28"/>
          <w:szCs w:val="28"/>
          <w:lang w:val="en-US" w:eastAsia="zh-CN"/>
        </w:rPr>
        <w:t>2</w:t>
      </w:r>
    </w:p>
    <w:p w14:paraId="57498F02">
      <w:pPr>
        <w:pStyle w:val="11"/>
        <w:tabs>
          <w:tab w:val="right" w:leader="dot" w:pos="8845"/>
        </w:tabs>
        <w:rPr>
          <w:rFonts w:hint="eastAsia" w:eastAsia="宋体"/>
          <w:b/>
          <w:sz w:val="28"/>
          <w:szCs w:val="28"/>
          <w:lang w:val="en-US" w:eastAsia="zh-CN"/>
        </w:rPr>
      </w:pPr>
      <w:r>
        <w:fldChar w:fldCharType="begin"/>
      </w:r>
      <w:r>
        <w:instrText xml:space="preserve"> HYPERLINK \l "_Toc26895" </w:instrText>
      </w:r>
      <w:r>
        <w:fldChar w:fldCharType="separate"/>
      </w:r>
      <w:r>
        <w:rPr>
          <w:rFonts w:hint="eastAsia" w:ascii="黑体" w:hAnsi="黑体" w:eastAsia="黑体"/>
          <w:b/>
          <w:sz w:val="28"/>
          <w:szCs w:val="48"/>
        </w:rPr>
        <w:t>五、存在的问题及改进措施</w:t>
      </w:r>
      <w:r>
        <w:rPr>
          <w:b/>
          <w:sz w:val="28"/>
          <w:szCs w:val="28"/>
        </w:rPr>
        <w:tab/>
      </w:r>
      <w:r>
        <w:rPr>
          <w:rFonts w:hint="eastAsia"/>
          <w:b/>
          <w:sz w:val="28"/>
          <w:szCs w:val="28"/>
          <w:lang w:val="en-US" w:eastAsia="zh-CN"/>
        </w:rPr>
        <w:t>1</w:t>
      </w:r>
      <w:r>
        <w:rPr>
          <w:b/>
          <w:sz w:val="28"/>
          <w:szCs w:val="28"/>
        </w:rPr>
        <w:fldChar w:fldCharType="end"/>
      </w:r>
      <w:r>
        <w:rPr>
          <w:rFonts w:hint="eastAsia"/>
          <w:b/>
          <w:sz w:val="28"/>
          <w:szCs w:val="28"/>
          <w:lang w:val="en-US" w:eastAsia="zh-CN"/>
        </w:rPr>
        <w:t>3</w:t>
      </w:r>
    </w:p>
    <w:p w14:paraId="3C00221C">
      <w:pPr>
        <w:pStyle w:val="12"/>
        <w:tabs>
          <w:tab w:val="right" w:leader="dot" w:pos="8845"/>
        </w:tabs>
        <w:ind w:left="420"/>
        <w:rPr>
          <w:rFonts w:hint="eastAsia" w:eastAsia="宋体"/>
          <w:sz w:val="28"/>
          <w:szCs w:val="28"/>
          <w:lang w:val="en-US" w:eastAsia="zh-CN"/>
        </w:rPr>
      </w:pPr>
      <w:r>
        <w:fldChar w:fldCharType="begin"/>
      </w:r>
      <w:r>
        <w:instrText xml:space="preserve"> HYPERLINK \l "_Toc6352" </w:instrText>
      </w:r>
      <w:r>
        <w:fldChar w:fldCharType="separate"/>
      </w:r>
      <w:r>
        <w:rPr>
          <w:rFonts w:hint="eastAsia" w:ascii="楷体" w:hAnsi="楷体" w:eastAsia="楷体" w:cs="楷体_GB2312"/>
          <w:bCs/>
          <w:sz w:val="28"/>
          <w:szCs w:val="48"/>
        </w:rPr>
        <w:t>（一）存在的主要问题</w:t>
      </w:r>
      <w:r>
        <w:rPr>
          <w:sz w:val="28"/>
          <w:szCs w:val="28"/>
        </w:rPr>
        <w:tab/>
      </w:r>
      <w:r>
        <w:rPr>
          <w:rFonts w:hint="eastAsia"/>
          <w:sz w:val="28"/>
          <w:szCs w:val="28"/>
          <w:lang w:val="en-US" w:eastAsia="zh-CN"/>
        </w:rPr>
        <w:t>1</w:t>
      </w:r>
      <w:r>
        <w:rPr>
          <w:sz w:val="28"/>
          <w:szCs w:val="28"/>
        </w:rPr>
        <w:fldChar w:fldCharType="end"/>
      </w:r>
      <w:r>
        <w:rPr>
          <w:rFonts w:hint="eastAsia"/>
          <w:sz w:val="28"/>
          <w:szCs w:val="28"/>
          <w:lang w:val="en-US" w:eastAsia="zh-CN"/>
        </w:rPr>
        <w:t>3</w:t>
      </w:r>
    </w:p>
    <w:p w14:paraId="6C29529A">
      <w:pPr>
        <w:pStyle w:val="12"/>
        <w:tabs>
          <w:tab w:val="right" w:leader="dot" w:pos="8845"/>
        </w:tabs>
        <w:ind w:left="420"/>
        <w:rPr>
          <w:rFonts w:hint="eastAsia" w:eastAsia="宋体"/>
          <w:sz w:val="28"/>
          <w:szCs w:val="28"/>
          <w:lang w:val="en-US" w:eastAsia="zh-CN"/>
        </w:rPr>
      </w:pPr>
      <w:r>
        <w:fldChar w:fldCharType="begin"/>
      </w:r>
      <w:r>
        <w:instrText xml:space="preserve"> HYPERLINK \l "_Toc17156" </w:instrText>
      </w:r>
      <w:r>
        <w:fldChar w:fldCharType="separate"/>
      </w:r>
      <w:r>
        <w:rPr>
          <w:rFonts w:hint="eastAsia" w:ascii="楷体" w:hAnsi="楷体" w:eastAsia="楷体" w:cs="楷体_GB2312"/>
          <w:bCs/>
          <w:sz w:val="28"/>
          <w:szCs w:val="48"/>
        </w:rPr>
        <w:t>（二）针对问题提出具体的改进措施或建议</w:t>
      </w:r>
      <w:r>
        <w:rPr>
          <w:sz w:val="28"/>
          <w:szCs w:val="28"/>
        </w:rPr>
        <w:tab/>
      </w:r>
      <w:r>
        <w:rPr>
          <w:rFonts w:hint="eastAsia"/>
          <w:sz w:val="28"/>
          <w:szCs w:val="28"/>
          <w:lang w:val="en-US" w:eastAsia="zh-CN"/>
        </w:rPr>
        <w:t>1</w:t>
      </w:r>
      <w:r>
        <w:rPr>
          <w:sz w:val="28"/>
          <w:szCs w:val="28"/>
        </w:rPr>
        <w:fldChar w:fldCharType="end"/>
      </w:r>
      <w:r>
        <w:rPr>
          <w:rFonts w:hint="eastAsia"/>
          <w:sz w:val="28"/>
          <w:szCs w:val="28"/>
          <w:lang w:val="en-US" w:eastAsia="zh-CN"/>
        </w:rPr>
        <w:t>3</w:t>
      </w:r>
    </w:p>
    <w:p w14:paraId="0852D443">
      <w:pPr>
        <w:pStyle w:val="11"/>
        <w:tabs>
          <w:tab w:val="right" w:leader="dot" w:pos="8845"/>
        </w:tabs>
        <w:rPr>
          <w:rFonts w:hint="eastAsia" w:eastAsia="宋体"/>
          <w:b/>
          <w:lang w:val="en-US" w:eastAsia="zh-CN"/>
        </w:rPr>
      </w:pPr>
      <w:r>
        <w:fldChar w:fldCharType="begin"/>
      </w:r>
      <w:r>
        <w:instrText xml:space="preserve"> HYPERLINK \l "_Toc22702" </w:instrText>
      </w:r>
      <w:r>
        <w:fldChar w:fldCharType="separate"/>
      </w:r>
      <w:r>
        <w:rPr>
          <w:rFonts w:hint="eastAsia" w:ascii="黑体" w:hAnsi="黑体" w:eastAsia="黑体"/>
          <w:b/>
          <w:sz w:val="28"/>
          <w:szCs w:val="48"/>
        </w:rPr>
        <w:t>六、评价工作组人员名单及签字</w:t>
      </w:r>
      <w:r>
        <w:rPr>
          <w:b/>
          <w:sz w:val="28"/>
          <w:szCs w:val="28"/>
        </w:rPr>
        <w:tab/>
      </w:r>
      <w:r>
        <w:rPr>
          <w:rFonts w:hint="eastAsia"/>
          <w:b/>
          <w:sz w:val="28"/>
          <w:szCs w:val="28"/>
          <w:lang w:val="en-US" w:eastAsia="zh-CN"/>
        </w:rPr>
        <w:t>1</w:t>
      </w:r>
      <w:r>
        <w:rPr>
          <w:b/>
          <w:sz w:val="28"/>
          <w:szCs w:val="28"/>
        </w:rPr>
        <w:fldChar w:fldCharType="end"/>
      </w:r>
      <w:r>
        <w:rPr>
          <w:rFonts w:hint="eastAsia"/>
          <w:b/>
          <w:sz w:val="28"/>
          <w:szCs w:val="28"/>
          <w:lang w:val="en-US" w:eastAsia="zh-CN"/>
        </w:rPr>
        <w:t>3</w:t>
      </w:r>
    </w:p>
    <w:p w14:paraId="6CA5BA9F">
      <w:pPr>
        <w:spacing w:line="560" w:lineRule="exact"/>
        <w:jc w:val="center"/>
        <w:rPr>
          <w:rFonts w:ascii="宋体" w:hAnsi="宋体" w:cs="宋体"/>
          <w:b/>
          <w:bCs/>
          <w:sz w:val="44"/>
          <w:szCs w:val="44"/>
        </w:rPr>
        <w:sectPr>
          <w:footerReference r:id="rId5" w:type="default"/>
          <w:pgSz w:w="11906" w:h="16838"/>
          <w:pgMar w:top="1440" w:right="1474" w:bottom="1440" w:left="1587" w:header="851" w:footer="992" w:gutter="0"/>
          <w:pgNumType w:fmt="decimal" w:start="1"/>
          <w:cols w:space="0" w:num="1"/>
          <w:docGrid w:type="lines" w:linePitch="312" w:charSpace="0"/>
        </w:sectPr>
      </w:pPr>
      <w:r>
        <w:rPr>
          <w:rFonts w:hint="eastAsia" w:ascii="宋体" w:hAnsi="宋体" w:cs="宋体"/>
          <w:b/>
          <w:bCs/>
          <w:szCs w:val="44"/>
        </w:rPr>
        <w:fldChar w:fldCharType="end"/>
      </w:r>
    </w:p>
    <w:p w14:paraId="2CF54D04">
      <w:pPr>
        <w:spacing w:line="560" w:lineRule="exact"/>
        <w:jc w:val="center"/>
        <w:rPr>
          <w:rFonts w:ascii="宋体" w:hAnsi="宋体" w:cs="宋体"/>
          <w:b/>
          <w:bCs/>
          <w:sz w:val="44"/>
          <w:szCs w:val="44"/>
        </w:rPr>
      </w:pPr>
      <w:bookmarkStart w:id="3" w:name="_Toc2796"/>
      <w:r>
        <w:rPr>
          <w:rFonts w:hint="eastAsia" w:ascii="宋体" w:hAnsi="宋体" w:cs="宋体"/>
          <w:b/>
          <w:bCs/>
          <w:sz w:val="44"/>
          <w:szCs w:val="44"/>
        </w:rPr>
        <w:t>石家庄市投资促进局部门</w:t>
      </w:r>
      <w:bookmarkEnd w:id="3"/>
    </w:p>
    <w:p w14:paraId="5998519E">
      <w:pPr>
        <w:spacing w:line="560" w:lineRule="exact"/>
        <w:jc w:val="center"/>
        <w:rPr>
          <w:rFonts w:ascii="宋体" w:hAnsi="宋体" w:cs="宋体"/>
          <w:b/>
          <w:bCs/>
          <w:sz w:val="44"/>
          <w:szCs w:val="44"/>
        </w:rPr>
      </w:pPr>
      <w:bookmarkStart w:id="4" w:name="_Toc21295"/>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bookmarkEnd w:id="4"/>
    </w:p>
    <w:p w14:paraId="437FF8F5">
      <w:pPr>
        <w:spacing w:line="560" w:lineRule="exact"/>
        <w:rPr>
          <w:rFonts w:ascii="华文楷体" w:eastAsia="华文楷体"/>
          <w:sz w:val="32"/>
          <w:szCs w:val="32"/>
        </w:rPr>
      </w:pPr>
    </w:p>
    <w:p w14:paraId="13D899B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贯彻落实市委市政府《关于全面落实预算绩效管理的实施意见》（石发﹝2019﹞8号）文件精神，遵循“科学性、规范性、客观性和公正性”的原则，石家庄市投资促进局（以下简称“我局”）对</w:t>
      </w:r>
      <w:r>
        <w:rPr>
          <w:rFonts w:hint="eastAsia" w:ascii="仿宋" w:hAnsi="仿宋" w:eastAsia="仿宋"/>
          <w:sz w:val="32"/>
          <w:szCs w:val="32"/>
          <w:lang w:val="en-US" w:eastAsia="zh-CN"/>
        </w:rPr>
        <w:t>2024</w:t>
      </w:r>
      <w:r>
        <w:rPr>
          <w:rFonts w:hint="eastAsia" w:ascii="仿宋" w:hAnsi="仿宋" w:eastAsia="仿宋"/>
          <w:sz w:val="32"/>
          <w:szCs w:val="32"/>
        </w:rPr>
        <w:t>年整体支出情况实施了财政支出绩效自评价，形成本评价报告。</w:t>
      </w:r>
    </w:p>
    <w:p w14:paraId="5A7368E1">
      <w:pPr>
        <w:adjustRightInd w:val="0"/>
        <w:snapToGrid w:val="0"/>
        <w:spacing w:line="560" w:lineRule="exact"/>
        <w:ind w:firstLine="640" w:firstLineChars="200"/>
        <w:outlineLvl w:val="0"/>
        <w:rPr>
          <w:rFonts w:ascii="黑体" w:hAnsi="黑体" w:eastAsia="黑体"/>
          <w:b/>
          <w:bCs/>
          <w:sz w:val="32"/>
          <w:szCs w:val="36"/>
        </w:rPr>
      </w:pPr>
      <w:bookmarkStart w:id="5" w:name="_Toc5079"/>
      <w:r>
        <w:rPr>
          <w:rFonts w:hint="eastAsia" w:ascii="黑体" w:hAnsi="黑体" w:eastAsia="黑体"/>
          <w:sz w:val="32"/>
          <w:szCs w:val="32"/>
        </w:rPr>
        <w:t>一、部门</w:t>
      </w:r>
      <w:r>
        <w:rPr>
          <w:rFonts w:hint="eastAsia" w:ascii="黑体" w:hAnsi="黑体" w:eastAsia="黑体"/>
          <w:sz w:val="32"/>
          <w:szCs w:val="36"/>
        </w:rPr>
        <w:t>基本情况</w:t>
      </w:r>
      <w:bookmarkEnd w:id="5"/>
    </w:p>
    <w:p w14:paraId="188B6592">
      <w:pPr>
        <w:adjustRightInd w:val="0"/>
        <w:snapToGrid w:val="0"/>
        <w:spacing w:line="560" w:lineRule="exact"/>
        <w:ind w:firstLine="640" w:firstLineChars="200"/>
        <w:outlineLvl w:val="1"/>
        <w:rPr>
          <w:rFonts w:hint="eastAsia" w:ascii="楷体" w:hAnsi="楷体" w:eastAsia="楷体" w:cs="楷体"/>
          <w:bCs/>
          <w:sz w:val="32"/>
          <w:szCs w:val="32"/>
        </w:rPr>
      </w:pPr>
      <w:bookmarkStart w:id="6" w:name="_Toc1785"/>
      <w:r>
        <w:rPr>
          <w:rFonts w:hint="eastAsia" w:ascii="楷体" w:hAnsi="楷体" w:eastAsia="楷体" w:cs="楷体"/>
          <w:bCs/>
          <w:sz w:val="32"/>
          <w:szCs w:val="32"/>
        </w:rPr>
        <w:t>（一）部门概况</w:t>
      </w:r>
      <w:bookmarkEnd w:id="6"/>
    </w:p>
    <w:p w14:paraId="36C43FBF">
      <w:pPr>
        <w:adjustRightInd w:val="0"/>
        <w:snapToGrid w:val="0"/>
        <w:spacing w:line="560" w:lineRule="exact"/>
        <w:ind w:firstLine="640" w:firstLineChars="200"/>
        <w:outlineLvl w:val="2"/>
        <w:rPr>
          <w:rFonts w:hint="eastAsia" w:ascii="仿宋" w:hAnsi="仿宋" w:eastAsia="仿宋"/>
          <w:b w:val="0"/>
          <w:bCs w:val="0"/>
          <w:sz w:val="32"/>
          <w:szCs w:val="32"/>
        </w:rPr>
      </w:pPr>
      <w:r>
        <w:rPr>
          <w:rFonts w:hint="eastAsia" w:ascii="仿宋" w:hAnsi="仿宋" w:eastAsia="仿宋"/>
          <w:b w:val="0"/>
          <w:bCs w:val="0"/>
          <w:sz w:val="32"/>
          <w:szCs w:val="32"/>
        </w:rPr>
        <w:t>1.部门职能</w:t>
      </w:r>
    </w:p>
    <w:p w14:paraId="21CE549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（1）负责拟订招商引资、利用外资、区域协作、开发区管理中长期发展规划、年度计划并组织实施；研究拟订投资促进政策，组织起草投资促进方面地方性法规、政府规章草案。</w:t>
      </w:r>
    </w:p>
    <w:p w14:paraId="038FBBF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（2）负责建立投资促进工作体系、工作机制，对利用国内外资金和经济技术合作、开发区发展情况进行统计、汇总、分析。</w:t>
      </w:r>
    </w:p>
    <w:p w14:paraId="3C29979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（3）负责促进资金、技术、人才、项目引进和产业对接，争取招商引资相关政策、资金和项目支持。</w:t>
      </w:r>
    </w:p>
    <w:p w14:paraId="22A8640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14:paraId="3113206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（5）负责国（境）内外重大投资促进活动的谋划、方案制定和组织实施；牵头组织专业性、行业性投资促进活动；指导协调各县（市、区）和各级各类开发区（园区）开展招商活动。</w:t>
      </w:r>
    </w:p>
    <w:p w14:paraId="45CF463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6）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14:paraId="3BC69A2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（7）负责对国（境）内外重要客户的联络拓展、重要团组和客户来访考察、洽谈的组织。</w:t>
      </w:r>
    </w:p>
    <w:p w14:paraId="4D14BE0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（8）组织和促进委托招商、代理招商、中介招商、专业招商、网上招商等多种形式的招商活动，制订并落实奖励政策；加强招商引资专业人才队伍建设。</w:t>
      </w:r>
    </w:p>
    <w:p w14:paraId="2FCA258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（9）负责引进央企资金、项目及各项合作，促进合作项目的建设，负责为央企服务工作；负责外商投资项目建设的跟踪、协调和服务工作，负责引进资金到位统计工作。</w:t>
      </w:r>
    </w:p>
    <w:p w14:paraId="790E548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10）负责指导全市经济技术交流与区域经济技术合作工作；负责区域间资金、项目、人才、科研成果及产业合作工作，开展与省外重点大专院校、科研院所合作；负责市所、市校科研合作开发资金的监督管理工作。</w:t>
      </w:r>
    </w:p>
    <w:p w14:paraId="35CCB60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11）负责经济开发区（园区）管理工作，负责经济开发区（园区）建立、升级、扩区工作，指导经济开发区（园区）建设、招商引资和体制、机制创新，负责对经济开发区（园区）招商引资工作的调度和绩效评估、考核认定工作。</w:t>
      </w:r>
    </w:p>
    <w:p w14:paraId="096EEF7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（12）完成市委、市政府交办的其他任务。</w:t>
      </w:r>
    </w:p>
    <w:p w14:paraId="08898BEF">
      <w:pPr>
        <w:adjustRightInd w:val="0"/>
        <w:snapToGrid w:val="0"/>
        <w:spacing w:line="560" w:lineRule="exact"/>
        <w:ind w:firstLine="640" w:firstLineChars="200"/>
        <w:outlineLvl w:val="2"/>
        <w:rPr>
          <w:rFonts w:hint="eastAsia" w:ascii="仿宋" w:hAnsi="仿宋" w:eastAsia="仿宋"/>
          <w:b w:val="0"/>
          <w:bCs w:val="0"/>
          <w:sz w:val="32"/>
          <w:szCs w:val="32"/>
        </w:rPr>
      </w:pPr>
      <w:r>
        <w:rPr>
          <w:rFonts w:hint="eastAsia" w:ascii="仿宋" w:hAnsi="仿宋" w:eastAsia="仿宋"/>
          <w:b w:val="0"/>
          <w:bCs w:val="0"/>
          <w:sz w:val="32"/>
          <w:szCs w:val="32"/>
        </w:rPr>
        <w:t>2.组织机构和人员情况</w:t>
      </w:r>
    </w:p>
    <w:p w14:paraId="1FC9F42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市委办公厅、市政府办公厅《关于印发&lt;石家庄市投资促进局职能配置、内设机构和人员编制规定&gt;的通知》（石办字﹝2019﹞14号）和市委编办印发的《关于接收安置军转干部核增行政编制的通知》（石机编﹝2019﹞113号）、《关于接收安置军转干部核增行政编制的通知》（石机编﹝2022﹞28号）、《关于调整央企对接服务职责等事宜的通知》（石机编﹝2022﹞156号）、《关于调整市投资促进局机构编制的通知》（石编委发﹝2024﹞35号）石家庄市投资促进局（简称市投促局）为市政府工作部门，机构规格正县级，核定行政编制44名。内部设置：办公室、开发区管理科、外国投资管理科、经济技术协作科、项目信息科、投资促进一科、投资促进二科、投资促进三科、机关党总支部等9个内设机构。</w:t>
      </w:r>
      <w:r>
        <w:rPr>
          <w:rFonts w:hint="eastAsia" w:ascii="仿宋" w:hAnsi="仿宋" w:eastAsia="仿宋"/>
          <w:sz w:val="32"/>
          <w:szCs w:val="32"/>
          <w:lang w:val="en-US" w:eastAsia="zh-CN"/>
        </w:rPr>
        <w:t>所属石家庄市投资促进服务中心（石家庄市外商投资企业投诉服务中心）是</w:t>
      </w:r>
      <w:r>
        <w:rPr>
          <w:rFonts w:hint="eastAsia" w:ascii="仿宋" w:hAnsi="仿宋" w:eastAsia="仿宋"/>
          <w:sz w:val="32"/>
          <w:szCs w:val="32"/>
        </w:rPr>
        <w:t>独立核算单位。</w:t>
      </w:r>
    </w:p>
    <w:p w14:paraId="21A8CCC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截至202</w:t>
      </w:r>
      <w:r>
        <w:rPr>
          <w:rFonts w:hint="eastAsia" w:ascii="仿宋" w:hAnsi="仿宋" w:eastAsia="仿宋"/>
          <w:sz w:val="32"/>
          <w:szCs w:val="32"/>
          <w:lang w:val="en-US" w:eastAsia="zh-CN"/>
        </w:rPr>
        <w:t>4</w:t>
      </w:r>
      <w:r>
        <w:rPr>
          <w:rFonts w:hint="eastAsia" w:ascii="仿宋" w:hAnsi="仿宋" w:eastAsia="仿宋"/>
          <w:sz w:val="32"/>
          <w:szCs w:val="32"/>
        </w:rPr>
        <w:t>年12月31日，我局本级编制人数4</w:t>
      </w:r>
      <w:r>
        <w:rPr>
          <w:rFonts w:hint="eastAsia" w:ascii="仿宋" w:hAnsi="仿宋" w:eastAsia="仿宋"/>
          <w:sz w:val="32"/>
          <w:szCs w:val="32"/>
          <w:lang w:val="en-US" w:eastAsia="zh-CN"/>
        </w:rPr>
        <w:t>4</w:t>
      </w:r>
      <w:r>
        <w:rPr>
          <w:rFonts w:hint="eastAsia" w:ascii="仿宋" w:hAnsi="仿宋" w:eastAsia="仿宋"/>
          <w:sz w:val="32"/>
          <w:szCs w:val="32"/>
        </w:rPr>
        <w:t>人，年末实有人数4</w:t>
      </w:r>
      <w:r>
        <w:rPr>
          <w:rFonts w:hint="eastAsia" w:ascii="仿宋" w:hAnsi="仿宋" w:eastAsia="仿宋"/>
          <w:sz w:val="32"/>
          <w:szCs w:val="32"/>
          <w:lang w:val="en-US" w:eastAsia="zh-CN"/>
        </w:rPr>
        <w:t>4</w:t>
      </w:r>
      <w:r>
        <w:rPr>
          <w:rFonts w:hint="eastAsia" w:ascii="仿宋" w:hAnsi="仿宋" w:eastAsia="仿宋"/>
          <w:sz w:val="32"/>
          <w:szCs w:val="32"/>
        </w:rPr>
        <w:t>人，其中在职行政人员4</w:t>
      </w:r>
      <w:r>
        <w:rPr>
          <w:rFonts w:hint="eastAsia" w:ascii="仿宋" w:hAnsi="仿宋" w:eastAsia="仿宋"/>
          <w:sz w:val="32"/>
          <w:szCs w:val="32"/>
          <w:lang w:val="en-US" w:eastAsia="zh-CN"/>
        </w:rPr>
        <w:t>3</w:t>
      </w:r>
      <w:r>
        <w:rPr>
          <w:rFonts w:hint="eastAsia" w:ascii="仿宋" w:hAnsi="仿宋" w:eastAsia="仿宋"/>
          <w:sz w:val="32"/>
          <w:szCs w:val="32"/>
        </w:rPr>
        <w:t>名，在职工勤人员</w:t>
      </w:r>
      <w:r>
        <w:rPr>
          <w:rFonts w:hint="eastAsia" w:ascii="仿宋" w:hAnsi="仿宋" w:eastAsia="仿宋"/>
          <w:sz w:val="32"/>
          <w:szCs w:val="32"/>
          <w:lang w:val="en-US" w:eastAsia="zh-CN"/>
        </w:rPr>
        <w:t>1</w:t>
      </w:r>
      <w:r>
        <w:rPr>
          <w:rFonts w:hint="eastAsia" w:ascii="仿宋" w:hAnsi="仿宋" w:eastAsia="仿宋"/>
          <w:sz w:val="32"/>
          <w:szCs w:val="32"/>
        </w:rPr>
        <w:t>名，较上年度</w:t>
      </w:r>
      <w:r>
        <w:rPr>
          <w:rFonts w:hint="eastAsia" w:ascii="仿宋" w:hAnsi="仿宋" w:eastAsia="仿宋"/>
          <w:sz w:val="32"/>
          <w:szCs w:val="32"/>
          <w:lang w:val="en-US" w:eastAsia="zh-CN"/>
        </w:rPr>
        <w:t>增加1</w:t>
      </w:r>
      <w:r>
        <w:rPr>
          <w:rFonts w:hint="eastAsia" w:ascii="仿宋" w:hAnsi="仿宋" w:eastAsia="仿宋"/>
          <w:sz w:val="32"/>
          <w:szCs w:val="32"/>
        </w:rPr>
        <w:t>人。</w:t>
      </w:r>
    </w:p>
    <w:p w14:paraId="63C46F6A">
      <w:pPr>
        <w:adjustRightInd w:val="0"/>
        <w:snapToGrid w:val="0"/>
        <w:spacing w:line="560" w:lineRule="exact"/>
        <w:ind w:firstLine="640" w:firstLineChars="200"/>
        <w:outlineLvl w:val="2"/>
        <w:rPr>
          <w:rFonts w:hint="eastAsia" w:ascii="仿宋" w:hAnsi="仿宋" w:eastAsia="仿宋"/>
          <w:b w:val="0"/>
          <w:bCs w:val="0"/>
          <w:sz w:val="32"/>
          <w:szCs w:val="32"/>
        </w:rPr>
      </w:pPr>
      <w:r>
        <w:rPr>
          <w:rFonts w:hint="eastAsia" w:ascii="仿宋" w:hAnsi="仿宋" w:eastAsia="仿宋"/>
          <w:b w:val="0"/>
          <w:bCs w:val="0"/>
          <w:sz w:val="32"/>
          <w:szCs w:val="32"/>
        </w:rPr>
        <w:t>3.资产情况</w:t>
      </w:r>
    </w:p>
    <w:p w14:paraId="01F32B2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截止202</w:t>
      </w:r>
      <w:r>
        <w:rPr>
          <w:rFonts w:hint="eastAsia" w:ascii="仿宋" w:hAnsi="仿宋" w:eastAsia="仿宋"/>
          <w:sz w:val="32"/>
          <w:szCs w:val="32"/>
          <w:lang w:val="en-US" w:eastAsia="zh-CN"/>
        </w:rPr>
        <w:t>4</w:t>
      </w:r>
      <w:r>
        <w:rPr>
          <w:rFonts w:hint="eastAsia" w:ascii="仿宋" w:hAnsi="仿宋" w:eastAsia="仿宋"/>
          <w:sz w:val="32"/>
          <w:szCs w:val="32"/>
        </w:rPr>
        <w:t>年底，我局共有资产</w:t>
      </w:r>
      <w:r>
        <w:rPr>
          <w:rFonts w:hint="eastAsia" w:ascii="仿宋" w:hAnsi="仿宋" w:eastAsia="仿宋"/>
          <w:sz w:val="32"/>
          <w:szCs w:val="32"/>
          <w:lang w:val="en-US" w:eastAsia="zh-CN"/>
        </w:rPr>
        <w:t>1199.75</w:t>
      </w:r>
      <w:r>
        <w:rPr>
          <w:rFonts w:hint="eastAsia" w:ascii="仿宋" w:hAnsi="仿宋" w:eastAsia="仿宋"/>
          <w:sz w:val="32"/>
          <w:szCs w:val="32"/>
        </w:rPr>
        <w:t>万元，其中货币资金</w:t>
      </w:r>
      <w:r>
        <w:rPr>
          <w:rFonts w:hint="eastAsia" w:ascii="仿宋" w:hAnsi="仿宋" w:eastAsia="仿宋"/>
          <w:sz w:val="32"/>
          <w:szCs w:val="32"/>
          <w:lang w:val="en-US" w:eastAsia="zh-CN"/>
        </w:rPr>
        <w:t>0.41</w:t>
      </w:r>
      <w:r>
        <w:rPr>
          <w:rFonts w:hint="eastAsia" w:ascii="仿宋" w:hAnsi="仿宋" w:eastAsia="仿宋"/>
          <w:sz w:val="32"/>
          <w:szCs w:val="32"/>
        </w:rPr>
        <w:t>万元，固定资产</w:t>
      </w:r>
      <w:r>
        <w:rPr>
          <w:rFonts w:hint="eastAsia" w:ascii="仿宋" w:hAnsi="仿宋" w:eastAsia="仿宋"/>
          <w:sz w:val="32"/>
          <w:szCs w:val="32"/>
          <w:lang w:val="en-US" w:eastAsia="zh-CN"/>
        </w:rPr>
        <w:t>原</w:t>
      </w:r>
      <w:r>
        <w:rPr>
          <w:rFonts w:hint="eastAsia" w:ascii="仿宋" w:hAnsi="仿宋" w:eastAsia="仿宋"/>
          <w:sz w:val="32"/>
          <w:szCs w:val="32"/>
        </w:rPr>
        <w:t>值</w:t>
      </w:r>
      <w:r>
        <w:rPr>
          <w:rFonts w:hint="eastAsia" w:ascii="仿宋" w:hAnsi="仿宋" w:eastAsia="仿宋"/>
          <w:sz w:val="32"/>
          <w:szCs w:val="32"/>
          <w:lang w:val="en-US" w:eastAsia="zh-CN"/>
        </w:rPr>
        <w:t>178.87</w:t>
      </w:r>
      <w:r>
        <w:rPr>
          <w:rFonts w:hint="eastAsia" w:ascii="仿宋" w:hAnsi="仿宋" w:eastAsia="仿宋"/>
          <w:sz w:val="32"/>
          <w:szCs w:val="32"/>
        </w:rPr>
        <w:t>万元，</w:t>
      </w:r>
      <w:r>
        <w:rPr>
          <w:rFonts w:hint="eastAsia" w:ascii="仿宋" w:hAnsi="仿宋" w:eastAsia="仿宋"/>
          <w:sz w:val="32"/>
          <w:szCs w:val="32"/>
          <w:lang w:eastAsia="zh-CN"/>
        </w:rPr>
        <w:t>无形</w:t>
      </w:r>
      <w:r>
        <w:rPr>
          <w:rFonts w:hint="eastAsia" w:ascii="仿宋" w:hAnsi="仿宋" w:eastAsia="仿宋"/>
          <w:sz w:val="32"/>
          <w:szCs w:val="32"/>
        </w:rPr>
        <w:t>资产原值</w:t>
      </w:r>
      <w:r>
        <w:rPr>
          <w:rFonts w:hint="eastAsia" w:ascii="仿宋" w:hAnsi="仿宋" w:eastAsia="仿宋"/>
          <w:sz w:val="32"/>
          <w:szCs w:val="32"/>
          <w:lang w:val="en-US" w:eastAsia="zh-CN"/>
        </w:rPr>
        <w:t>56.59</w:t>
      </w:r>
      <w:r>
        <w:rPr>
          <w:rFonts w:hint="eastAsia" w:ascii="仿宋" w:hAnsi="仿宋" w:eastAsia="仿宋"/>
          <w:sz w:val="32"/>
          <w:szCs w:val="32"/>
        </w:rPr>
        <w:t>万元。资产管理能够依照政府采购目录进行政府采购，加强了固定资产登记、使用和报废处置管理，真正做到了支出合理，物尽其用。</w:t>
      </w:r>
    </w:p>
    <w:p w14:paraId="68CB0B06">
      <w:pPr>
        <w:numPr>
          <w:ilvl w:val="0"/>
          <w:numId w:val="1"/>
        </w:numPr>
        <w:adjustRightInd w:val="0"/>
        <w:snapToGrid w:val="0"/>
        <w:spacing w:line="560" w:lineRule="exact"/>
        <w:ind w:firstLine="640" w:firstLineChars="200"/>
        <w:outlineLvl w:val="1"/>
        <w:rPr>
          <w:rFonts w:ascii="楷体" w:hAnsi="楷体" w:eastAsia="楷体" w:cs="楷体_GB2312"/>
          <w:bCs/>
          <w:sz w:val="32"/>
          <w:szCs w:val="32"/>
        </w:rPr>
      </w:pPr>
      <w:bookmarkStart w:id="7" w:name="_Toc18929"/>
      <w:r>
        <w:rPr>
          <w:rFonts w:hint="eastAsia" w:ascii="楷体" w:hAnsi="楷体" w:eastAsia="楷体" w:cs="楷体_GB2312"/>
          <w:bCs/>
          <w:sz w:val="32"/>
          <w:szCs w:val="32"/>
        </w:rPr>
        <w:t>部门收支预决算情况</w:t>
      </w:r>
      <w:bookmarkEnd w:id="7"/>
    </w:p>
    <w:p w14:paraId="5072C43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年年初预算收入</w:t>
      </w:r>
      <w:r>
        <w:rPr>
          <w:rFonts w:hint="eastAsia" w:ascii="仿宋" w:hAnsi="仿宋" w:eastAsia="仿宋"/>
          <w:sz w:val="32"/>
          <w:szCs w:val="32"/>
          <w:lang w:val="en-US" w:eastAsia="zh-CN"/>
        </w:rPr>
        <w:t>2317.57</w:t>
      </w:r>
      <w:r>
        <w:rPr>
          <w:rFonts w:hint="eastAsia" w:ascii="仿宋" w:hAnsi="仿宋" w:eastAsia="仿宋"/>
          <w:sz w:val="32"/>
          <w:szCs w:val="32"/>
        </w:rPr>
        <w:t>万元，其中：一般公共预算收入</w:t>
      </w:r>
      <w:r>
        <w:rPr>
          <w:rFonts w:hint="eastAsia" w:ascii="仿宋" w:hAnsi="仿宋" w:eastAsia="仿宋"/>
          <w:sz w:val="32"/>
          <w:szCs w:val="32"/>
          <w:lang w:val="en-US" w:eastAsia="zh-CN"/>
        </w:rPr>
        <w:t>2317.57</w:t>
      </w:r>
      <w:r>
        <w:rPr>
          <w:rFonts w:hint="eastAsia" w:ascii="仿宋" w:hAnsi="仿宋" w:eastAsia="仿宋"/>
          <w:sz w:val="32"/>
          <w:szCs w:val="32"/>
        </w:rPr>
        <w:t>万元，基金预算收入0万元，财政专户核拨收入0万元，其他来源收入0万元。年初部门支出预算为</w:t>
      </w:r>
      <w:r>
        <w:rPr>
          <w:rFonts w:hint="eastAsia" w:ascii="仿宋" w:hAnsi="仿宋" w:eastAsia="仿宋"/>
          <w:sz w:val="32"/>
          <w:szCs w:val="32"/>
          <w:lang w:val="en-US" w:eastAsia="zh-CN"/>
        </w:rPr>
        <w:t>2317.57</w:t>
      </w:r>
      <w:r>
        <w:rPr>
          <w:rFonts w:hint="eastAsia" w:ascii="仿宋" w:hAnsi="仿宋" w:eastAsia="仿宋"/>
          <w:sz w:val="32"/>
          <w:szCs w:val="32"/>
        </w:rPr>
        <w:t>万元，其中基本支出</w:t>
      </w:r>
      <w:r>
        <w:rPr>
          <w:rFonts w:hint="eastAsia" w:ascii="仿宋" w:hAnsi="仿宋" w:eastAsia="仿宋"/>
          <w:sz w:val="32"/>
          <w:szCs w:val="32"/>
          <w:lang w:val="en-US" w:eastAsia="zh-CN"/>
        </w:rPr>
        <w:t>987.73</w:t>
      </w:r>
      <w:r>
        <w:rPr>
          <w:rFonts w:hint="eastAsia" w:ascii="仿宋" w:hAnsi="仿宋" w:eastAsia="仿宋"/>
          <w:sz w:val="32"/>
          <w:szCs w:val="32"/>
        </w:rPr>
        <w:t>万元（包括人员经费</w:t>
      </w:r>
      <w:r>
        <w:rPr>
          <w:rFonts w:hint="eastAsia" w:ascii="仿宋" w:hAnsi="仿宋" w:eastAsia="仿宋"/>
          <w:sz w:val="32"/>
          <w:szCs w:val="32"/>
          <w:lang w:val="en-US" w:eastAsia="zh-CN"/>
        </w:rPr>
        <w:t>881.44</w:t>
      </w:r>
      <w:r>
        <w:rPr>
          <w:rFonts w:hint="eastAsia" w:ascii="仿宋" w:hAnsi="仿宋" w:eastAsia="仿宋"/>
          <w:sz w:val="32"/>
          <w:szCs w:val="32"/>
        </w:rPr>
        <w:t>万元和日常公用经费</w:t>
      </w:r>
      <w:r>
        <w:rPr>
          <w:rFonts w:hint="eastAsia" w:ascii="仿宋" w:hAnsi="仿宋" w:eastAsia="仿宋"/>
          <w:sz w:val="32"/>
          <w:szCs w:val="32"/>
          <w:lang w:val="en-US" w:eastAsia="zh-CN"/>
        </w:rPr>
        <w:t>106.29</w:t>
      </w:r>
      <w:r>
        <w:rPr>
          <w:rFonts w:hint="eastAsia" w:ascii="仿宋" w:hAnsi="仿宋" w:eastAsia="仿宋"/>
          <w:sz w:val="32"/>
          <w:szCs w:val="32"/>
        </w:rPr>
        <w:t>万元），项目支出</w:t>
      </w:r>
      <w:r>
        <w:rPr>
          <w:rFonts w:hint="eastAsia" w:ascii="仿宋" w:hAnsi="仿宋" w:eastAsia="仿宋"/>
          <w:sz w:val="32"/>
          <w:szCs w:val="32"/>
          <w:lang w:val="en-US" w:eastAsia="zh-CN"/>
        </w:rPr>
        <w:t>1329.84</w:t>
      </w:r>
      <w:r>
        <w:rPr>
          <w:rFonts w:hint="eastAsia" w:ascii="仿宋" w:hAnsi="仿宋" w:eastAsia="仿宋"/>
          <w:sz w:val="32"/>
          <w:szCs w:val="32"/>
        </w:rPr>
        <w:t>万元。</w:t>
      </w:r>
    </w:p>
    <w:p w14:paraId="5DDD629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年预算调整具体为：一般公共预算收入</w:t>
      </w:r>
      <w:r>
        <w:rPr>
          <w:rFonts w:hint="eastAsia" w:ascii="仿宋" w:hAnsi="仿宋" w:eastAsia="仿宋"/>
          <w:sz w:val="32"/>
          <w:szCs w:val="32"/>
          <w:lang w:val="en-US" w:eastAsia="zh-CN"/>
        </w:rPr>
        <w:t>2037.72</w:t>
      </w:r>
      <w:r>
        <w:rPr>
          <w:rFonts w:hint="eastAsia" w:ascii="仿宋" w:hAnsi="仿宋" w:eastAsia="仿宋"/>
          <w:sz w:val="32"/>
          <w:szCs w:val="32"/>
        </w:rPr>
        <w:t>万元，年初结转和结余</w:t>
      </w:r>
      <w:r>
        <w:rPr>
          <w:rFonts w:hint="eastAsia" w:ascii="仿宋" w:hAnsi="仿宋" w:eastAsia="仿宋"/>
          <w:sz w:val="32"/>
          <w:szCs w:val="32"/>
          <w:lang w:val="en-US" w:eastAsia="zh-CN"/>
        </w:rPr>
        <w:t>3.34</w:t>
      </w:r>
      <w:r>
        <w:rPr>
          <w:rFonts w:hint="eastAsia" w:ascii="仿宋" w:hAnsi="仿宋" w:eastAsia="仿宋"/>
          <w:sz w:val="32"/>
          <w:szCs w:val="32"/>
        </w:rPr>
        <w:t>万元。基本支出</w:t>
      </w:r>
      <w:r>
        <w:rPr>
          <w:rFonts w:hint="eastAsia" w:ascii="仿宋" w:hAnsi="仿宋" w:eastAsia="仿宋"/>
          <w:sz w:val="32"/>
          <w:szCs w:val="32"/>
          <w:lang w:val="en-US" w:eastAsia="zh-CN"/>
        </w:rPr>
        <w:t>1061.3</w:t>
      </w:r>
      <w:r>
        <w:rPr>
          <w:rFonts w:hint="eastAsia" w:ascii="仿宋" w:hAnsi="仿宋" w:eastAsia="仿宋"/>
          <w:sz w:val="32"/>
          <w:szCs w:val="32"/>
        </w:rPr>
        <w:t>万元（包括人员经费</w:t>
      </w:r>
      <w:r>
        <w:rPr>
          <w:rFonts w:hint="eastAsia" w:ascii="仿宋" w:hAnsi="仿宋" w:eastAsia="仿宋"/>
          <w:sz w:val="32"/>
          <w:szCs w:val="32"/>
          <w:lang w:val="en-US" w:eastAsia="zh-CN"/>
        </w:rPr>
        <w:t>957.59</w:t>
      </w:r>
      <w:r>
        <w:rPr>
          <w:rFonts w:hint="eastAsia" w:ascii="仿宋" w:hAnsi="仿宋" w:eastAsia="仿宋"/>
          <w:sz w:val="32"/>
          <w:szCs w:val="32"/>
        </w:rPr>
        <w:t>万元和日常公用经费</w:t>
      </w:r>
      <w:r>
        <w:rPr>
          <w:rFonts w:hint="eastAsia" w:ascii="仿宋" w:hAnsi="仿宋" w:eastAsia="仿宋"/>
          <w:sz w:val="32"/>
          <w:szCs w:val="32"/>
          <w:lang w:val="en-US" w:eastAsia="zh-CN"/>
        </w:rPr>
        <w:t>103.71</w:t>
      </w:r>
      <w:r>
        <w:rPr>
          <w:rFonts w:hint="eastAsia" w:ascii="仿宋" w:hAnsi="仿宋" w:eastAsia="仿宋"/>
          <w:sz w:val="32"/>
          <w:szCs w:val="32"/>
        </w:rPr>
        <w:t>万元），项目支出</w:t>
      </w:r>
      <w:r>
        <w:rPr>
          <w:rFonts w:hint="eastAsia" w:ascii="仿宋" w:hAnsi="仿宋" w:eastAsia="仿宋"/>
          <w:sz w:val="32"/>
          <w:szCs w:val="32"/>
          <w:lang w:val="en-US" w:eastAsia="zh-CN"/>
        </w:rPr>
        <w:t>979.76</w:t>
      </w:r>
      <w:r>
        <w:rPr>
          <w:rFonts w:hint="eastAsia" w:ascii="仿宋" w:hAnsi="仿宋" w:eastAsia="仿宋"/>
          <w:sz w:val="32"/>
          <w:szCs w:val="32"/>
        </w:rPr>
        <w:t>万元。</w:t>
      </w:r>
    </w:p>
    <w:p w14:paraId="111B3B8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年决算收入</w:t>
      </w:r>
      <w:r>
        <w:rPr>
          <w:rFonts w:hint="eastAsia" w:ascii="仿宋" w:hAnsi="仿宋" w:eastAsia="仿宋"/>
          <w:sz w:val="32"/>
          <w:szCs w:val="32"/>
          <w:lang w:val="en-US" w:eastAsia="zh-CN"/>
        </w:rPr>
        <w:t>2037.72</w:t>
      </w:r>
      <w:r>
        <w:rPr>
          <w:rFonts w:hint="eastAsia" w:ascii="仿宋" w:hAnsi="仿宋" w:eastAsia="仿宋"/>
          <w:sz w:val="32"/>
          <w:szCs w:val="32"/>
        </w:rPr>
        <w:t>万元，均为一般公共预算财政拨款收入</w:t>
      </w:r>
      <w:r>
        <w:rPr>
          <w:rFonts w:hint="eastAsia" w:ascii="仿宋" w:hAnsi="仿宋" w:eastAsia="仿宋"/>
          <w:sz w:val="32"/>
          <w:szCs w:val="32"/>
          <w:lang w:eastAsia="zh-CN"/>
        </w:rPr>
        <w:t>，</w:t>
      </w:r>
      <w:r>
        <w:rPr>
          <w:rFonts w:hint="eastAsia" w:ascii="仿宋" w:hAnsi="仿宋" w:eastAsia="仿宋"/>
          <w:sz w:val="32"/>
          <w:szCs w:val="32"/>
        </w:rPr>
        <w:t>年初结转和结余</w:t>
      </w:r>
      <w:r>
        <w:rPr>
          <w:rFonts w:hint="eastAsia" w:ascii="仿宋" w:hAnsi="仿宋" w:eastAsia="仿宋"/>
          <w:sz w:val="32"/>
          <w:szCs w:val="32"/>
          <w:lang w:val="en-US" w:eastAsia="zh-CN"/>
        </w:rPr>
        <w:t>3.34</w:t>
      </w:r>
      <w:r>
        <w:rPr>
          <w:rFonts w:hint="eastAsia" w:ascii="仿宋" w:hAnsi="仿宋" w:eastAsia="仿宋"/>
          <w:sz w:val="32"/>
          <w:szCs w:val="32"/>
        </w:rPr>
        <w:t>万元。202</w:t>
      </w:r>
      <w:r>
        <w:rPr>
          <w:rFonts w:hint="eastAsia" w:ascii="仿宋" w:hAnsi="仿宋" w:eastAsia="仿宋"/>
          <w:sz w:val="32"/>
          <w:szCs w:val="32"/>
          <w:lang w:val="en-US" w:eastAsia="zh-CN"/>
        </w:rPr>
        <w:t>4</w:t>
      </w:r>
      <w:r>
        <w:rPr>
          <w:rFonts w:hint="eastAsia" w:ascii="仿宋" w:hAnsi="仿宋" w:eastAsia="仿宋"/>
          <w:sz w:val="32"/>
          <w:szCs w:val="32"/>
        </w:rPr>
        <w:t>年支出合计</w:t>
      </w:r>
      <w:r>
        <w:rPr>
          <w:rFonts w:hint="eastAsia" w:ascii="仿宋" w:hAnsi="仿宋" w:eastAsia="仿宋"/>
          <w:sz w:val="32"/>
          <w:szCs w:val="32"/>
          <w:lang w:val="en-US" w:eastAsia="zh-CN"/>
        </w:rPr>
        <w:t>2037.72</w:t>
      </w:r>
      <w:r>
        <w:rPr>
          <w:rFonts w:hint="eastAsia" w:ascii="仿宋" w:hAnsi="仿宋" w:eastAsia="仿宋"/>
          <w:sz w:val="32"/>
          <w:szCs w:val="32"/>
        </w:rPr>
        <w:t>万元，其中基本支出</w:t>
      </w:r>
      <w:r>
        <w:rPr>
          <w:rFonts w:hint="eastAsia" w:ascii="仿宋" w:hAnsi="仿宋" w:eastAsia="仿宋"/>
          <w:sz w:val="32"/>
          <w:szCs w:val="32"/>
          <w:lang w:val="en-US" w:eastAsia="zh-CN"/>
        </w:rPr>
        <w:t>1061.3</w:t>
      </w:r>
      <w:r>
        <w:rPr>
          <w:rFonts w:hint="eastAsia" w:ascii="仿宋" w:hAnsi="仿宋" w:eastAsia="仿宋"/>
          <w:sz w:val="32"/>
          <w:szCs w:val="32"/>
        </w:rPr>
        <w:t>万元，项目支出</w:t>
      </w:r>
      <w:r>
        <w:rPr>
          <w:rFonts w:hint="eastAsia" w:ascii="仿宋" w:hAnsi="仿宋" w:eastAsia="仿宋"/>
          <w:sz w:val="32"/>
          <w:szCs w:val="32"/>
          <w:lang w:val="en-US" w:eastAsia="zh-CN"/>
        </w:rPr>
        <w:t>979.76</w:t>
      </w:r>
      <w:r>
        <w:rPr>
          <w:rFonts w:hint="eastAsia" w:ascii="仿宋" w:hAnsi="仿宋" w:eastAsia="仿宋"/>
          <w:sz w:val="32"/>
          <w:szCs w:val="32"/>
        </w:rPr>
        <w:t>万元。年末结转和结余</w:t>
      </w:r>
      <w:r>
        <w:rPr>
          <w:rFonts w:hint="eastAsia" w:ascii="仿宋" w:hAnsi="仿宋" w:eastAsia="仿宋"/>
          <w:sz w:val="32"/>
          <w:szCs w:val="32"/>
          <w:lang w:val="en-US" w:eastAsia="zh-CN"/>
        </w:rPr>
        <w:t>0</w:t>
      </w:r>
      <w:r>
        <w:rPr>
          <w:rFonts w:hint="eastAsia" w:ascii="仿宋" w:hAnsi="仿宋" w:eastAsia="仿宋"/>
          <w:sz w:val="32"/>
          <w:szCs w:val="32"/>
        </w:rPr>
        <w:t>万元。</w:t>
      </w:r>
    </w:p>
    <w:p w14:paraId="5CC8791F">
      <w:pPr>
        <w:adjustRightInd w:val="0"/>
        <w:snapToGrid w:val="0"/>
        <w:spacing w:line="560" w:lineRule="exact"/>
        <w:ind w:firstLine="640" w:firstLineChars="200"/>
        <w:outlineLvl w:val="1"/>
        <w:rPr>
          <w:rFonts w:hint="eastAsia" w:ascii="楷体" w:hAnsi="楷体" w:eastAsia="楷体" w:cs="楷体"/>
          <w:bCs/>
          <w:sz w:val="32"/>
          <w:szCs w:val="32"/>
        </w:rPr>
      </w:pPr>
      <w:bookmarkStart w:id="8" w:name="_Toc14558"/>
      <w:r>
        <w:rPr>
          <w:rFonts w:hint="eastAsia" w:ascii="楷体" w:hAnsi="楷体" w:eastAsia="楷体" w:cs="楷体"/>
          <w:bCs/>
          <w:sz w:val="32"/>
          <w:szCs w:val="32"/>
        </w:rPr>
        <w:t>（三）部门整体支出绩效目标、指标</w:t>
      </w:r>
      <w:bookmarkEnd w:id="8"/>
    </w:p>
    <w:p w14:paraId="11DB7F7E">
      <w:pPr>
        <w:adjustRightInd w:val="0"/>
        <w:snapToGrid w:val="0"/>
        <w:spacing w:line="560" w:lineRule="exact"/>
        <w:ind w:firstLine="640" w:firstLineChars="200"/>
        <w:outlineLvl w:val="2"/>
        <w:rPr>
          <w:rFonts w:ascii="仿宋" w:hAnsi="仿宋" w:eastAsia="仿宋"/>
          <w:b w:val="0"/>
          <w:bCs w:val="0"/>
          <w:sz w:val="32"/>
          <w:szCs w:val="32"/>
        </w:rPr>
      </w:pPr>
      <w:r>
        <w:rPr>
          <w:rFonts w:hint="eastAsia" w:ascii="仿宋" w:hAnsi="仿宋" w:eastAsia="仿宋"/>
          <w:b w:val="0"/>
          <w:bCs w:val="0"/>
          <w:sz w:val="32"/>
          <w:szCs w:val="32"/>
        </w:rPr>
        <w:t>1.总体绩效目标</w:t>
      </w:r>
    </w:p>
    <w:p w14:paraId="705A7F7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坚持以习近平新时代中国特色社会主义思想为指导，深入学习贯彻党的二十大和二十届二中、三中全会精神，认真落实省委经济工作会议和市委十一届七次全会部署，坚持稳中求进的工作总基调，完整、准确、全面贯彻新发展理念，精准开展以商招商、基金招商、驻外招商、国际化招商，不断做好外商投资服务，大力推进开发区改革发展，推动高</w:t>
      </w:r>
      <w:r>
        <w:rPr>
          <w:rFonts w:hint="eastAsia" w:ascii="仿宋" w:hAnsi="仿宋" w:eastAsia="仿宋"/>
          <w:sz w:val="32"/>
          <w:szCs w:val="32"/>
          <w:lang w:val="en-US" w:eastAsia="zh-CN"/>
        </w:rPr>
        <w:t>质量</w:t>
      </w:r>
      <w:r>
        <w:rPr>
          <w:rFonts w:hint="eastAsia" w:ascii="仿宋" w:hAnsi="仿宋" w:eastAsia="仿宋"/>
          <w:sz w:val="32"/>
          <w:szCs w:val="32"/>
        </w:rPr>
        <w:t>的项目落地，助力形成大项目顶天立地、小项目铺天盖地的良好态势。全年签约项目计划总投资超千亿元</w:t>
      </w:r>
      <w:r>
        <w:rPr>
          <w:rFonts w:hint="eastAsia" w:ascii="仿宋" w:hAnsi="仿宋" w:eastAsia="仿宋"/>
          <w:sz w:val="32"/>
          <w:szCs w:val="32"/>
          <w:lang w:eastAsia="zh-CN"/>
        </w:rPr>
        <w:t>，</w:t>
      </w:r>
      <w:r>
        <w:rPr>
          <w:rFonts w:hint="eastAsia" w:ascii="仿宋" w:hAnsi="仿宋" w:eastAsia="仿宋"/>
          <w:sz w:val="32"/>
          <w:szCs w:val="32"/>
        </w:rPr>
        <w:t>全市新设外商投资企业</w:t>
      </w:r>
      <w:r>
        <w:rPr>
          <w:rFonts w:hint="eastAsia" w:ascii="仿宋" w:hAnsi="仿宋" w:eastAsia="仿宋"/>
          <w:sz w:val="32"/>
          <w:szCs w:val="32"/>
          <w:lang w:val="en-US" w:eastAsia="zh-CN"/>
        </w:rPr>
        <w:t>80</w:t>
      </w:r>
      <w:r>
        <w:rPr>
          <w:rFonts w:hint="eastAsia" w:ascii="仿宋" w:hAnsi="仿宋" w:eastAsia="仿宋"/>
          <w:sz w:val="32"/>
          <w:szCs w:val="32"/>
        </w:rPr>
        <w:t>家</w:t>
      </w:r>
      <w:r>
        <w:rPr>
          <w:rFonts w:hint="eastAsia" w:ascii="仿宋" w:hAnsi="仿宋" w:eastAsia="仿宋"/>
          <w:sz w:val="32"/>
          <w:szCs w:val="32"/>
          <w:lang w:val="en-US" w:eastAsia="zh-CN"/>
        </w:rPr>
        <w:t>以上</w:t>
      </w:r>
      <w:r>
        <w:rPr>
          <w:rFonts w:hint="eastAsia" w:ascii="仿宋" w:hAnsi="仿宋" w:eastAsia="仿宋"/>
          <w:sz w:val="32"/>
          <w:szCs w:val="32"/>
          <w:lang w:eastAsia="zh-CN"/>
        </w:rPr>
        <w:t>，</w:t>
      </w:r>
      <w:r>
        <w:rPr>
          <w:rFonts w:hint="eastAsia" w:ascii="仿宋" w:hAnsi="仿宋" w:eastAsia="仿宋"/>
          <w:sz w:val="32"/>
          <w:szCs w:val="32"/>
        </w:rPr>
        <w:t>全市开发区实现营业收入同比增长</w:t>
      </w:r>
      <w:r>
        <w:rPr>
          <w:rFonts w:hint="eastAsia" w:ascii="仿宋" w:hAnsi="仿宋" w:eastAsia="仿宋"/>
          <w:sz w:val="32"/>
          <w:szCs w:val="32"/>
          <w:lang w:val="en-US" w:eastAsia="zh-CN"/>
        </w:rPr>
        <w:t>8</w:t>
      </w:r>
      <w:r>
        <w:rPr>
          <w:rFonts w:hint="eastAsia" w:ascii="仿宋" w:hAnsi="仿宋" w:eastAsia="仿宋"/>
          <w:sz w:val="32"/>
          <w:szCs w:val="32"/>
        </w:rPr>
        <w:t>%</w:t>
      </w:r>
      <w:r>
        <w:rPr>
          <w:rFonts w:hint="eastAsia" w:ascii="仿宋" w:hAnsi="仿宋" w:eastAsia="仿宋"/>
          <w:sz w:val="32"/>
          <w:szCs w:val="32"/>
          <w:lang w:val="en-US" w:eastAsia="zh-CN"/>
        </w:rPr>
        <w:t>以上</w:t>
      </w:r>
      <w:r>
        <w:rPr>
          <w:rFonts w:hint="eastAsia" w:ascii="仿宋" w:hAnsi="仿宋" w:eastAsia="仿宋"/>
          <w:sz w:val="32"/>
          <w:szCs w:val="32"/>
        </w:rPr>
        <w:t>。</w:t>
      </w:r>
    </w:p>
    <w:p w14:paraId="7B0EC6AA">
      <w:pPr>
        <w:adjustRightInd w:val="0"/>
        <w:snapToGrid w:val="0"/>
        <w:spacing w:line="560" w:lineRule="exact"/>
        <w:ind w:firstLine="640" w:firstLineChars="200"/>
        <w:outlineLvl w:val="2"/>
        <w:rPr>
          <w:rFonts w:hint="eastAsia" w:ascii="仿宋" w:hAnsi="仿宋" w:eastAsia="仿宋"/>
          <w:b w:val="0"/>
          <w:bCs w:val="0"/>
          <w:sz w:val="32"/>
          <w:szCs w:val="32"/>
        </w:rPr>
      </w:pPr>
      <w:r>
        <w:rPr>
          <w:rFonts w:hint="eastAsia" w:ascii="仿宋" w:hAnsi="仿宋" w:eastAsia="仿宋"/>
          <w:b w:val="0"/>
          <w:bCs w:val="0"/>
          <w:sz w:val="32"/>
          <w:szCs w:val="32"/>
        </w:rPr>
        <w:t>2.分项目标</w:t>
      </w:r>
    </w:p>
    <w:p w14:paraId="7693EBC0">
      <w:pPr>
        <w:adjustRightInd w:val="0"/>
        <w:snapToGrid w:val="0"/>
        <w:spacing w:line="560" w:lineRule="exact"/>
        <w:ind w:firstLine="640" w:firstLineChars="200"/>
        <w:rPr>
          <w:rFonts w:hint="eastAsia" w:ascii="仿宋" w:hAnsi="仿宋" w:eastAsia="仿宋"/>
          <w:sz w:val="32"/>
          <w:szCs w:val="32"/>
        </w:rPr>
      </w:pPr>
      <w:bookmarkStart w:id="9" w:name="_Toc24010"/>
      <w:r>
        <w:rPr>
          <w:rFonts w:hint="eastAsia" w:ascii="仿宋" w:hAnsi="仿宋" w:eastAsia="仿宋"/>
          <w:sz w:val="32"/>
          <w:szCs w:val="32"/>
        </w:rPr>
        <w:t>（一）多措并举、内招外引，招商引资工作再提升</w:t>
      </w:r>
    </w:p>
    <w:p w14:paraId="737E248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绩效目标：深入挖掘招商大使资源</w:t>
      </w:r>
      <w:r>
        <w:rPr>
          <w:rFonts w:hint="eastAsia" w:ascii="仿宋" w:hAnsi="仿宋" w:eastAsia="仿宋"/>
          <w:sz w:val="32"/>
          <w:szCs w:val="32"/>
          <w:lang w:eastAsia="zh-CN"/>
        </w:rPr>
        <w:t>，</w:t>
      </w:r>
      <w:r>
        <w:rPr>
          <w:rFonts w:hint="eastAsia" w:ascii="仿宋" w:hAnsi="仿宋" w:eastAsia="仿宋"/>
          <w:sz w:val="32"/>
          <w:szCs w:val="32"/>
        </w:rPr>
        <w:t>坚持开展驻外招商</w:t>
      </w:r>
      <w:r>
        <w:rPr>
          <w:rFonts w:hint="eastAsia" w:ascii="仿宋" w:hAnsi="仿宋" w:eastAsia="仿宋"/>
          <w:sz w:val="32"/>
          <w:szCs w:val="32"/>
          <w:lang w:eastAsia="zh-CN"/>
        </w:rPr>
        <w:t>、</w:t>
      </w:r>
      <w:r>
        <w:rPr>
          <w:rFonts w:hint="eastAsia" w:ascii="仿宋" w:hAnsi="仿宋" w:eastAsia="仿宋"/>
          <w:sz w:val="32"/>
          <w:szCs w:val="32"/>
          <w:lang w:val="en-US" w:eastAsia="zh-CN"/>
        </w:rPr>
        <w:t>科技招商、</w:t>
      </w:r>
      <w:r>
        <w:rPr>
          <w:rFonts w:hint="eastAsia" w:ascii="仿宋" w:hAnsi="仿宋" w:eastAsia="仿宋"/>
          <w:sz w:val="32"/>
          <w:szCs w:val="32"/>
        </w:rPr>
        <w:t>基金招商</w:t>
      </w:r>
      <w:r>
        <w:rPr>
          <w:rFonts w:hint="eastAsia" w:ascii="仿宋" w:hAnsi="仿宋" w:eastAsia="仿宋"/>
          <w:sz w:val="32"/>
          <w:szCs w:val="32"/>
          <w:lang w:eastAsia="zh-CN"/>
        </w:rPr>
        <w:t>，</w:t>
      </w:r>
      <w:r>
        <w:rPr>
          <w:rFonts w:hint="eastAsia" w:ascii="仿宋" w:hAnsi="仿宋" w:eastAsia="仿宋"/>
          <w:sz w:val="32"/>
          <w:szCs w:val="32"/>
        </w:rPr>
        <w:t>充分利用活动平台招商</w:t>
      </w:r>
      <w:r>
        <w:rPr>
          <w:rFonts w:hint="eastAsia" w:ascii="仿宋" w:hAnsi="仿宋" w:eastAsia="仿宋"/>
          <w:sz w:val="32"/>
          <w:szCs w:val="32"/>
          <w:lang w:eastAsia="zh-CN"/>
        </w:rPr>
        <w:t>，</w:t>
      </w:r>
      <w:r>
        <w:rPr>
          <w:rFonts w:hint="eastAsia" w:ascii="仿宋" w:hAnsi="仿宋" w:eastAsia="仿宋"/>
          <w:sz w:val="32"/>
          <w:szCs w:val="32"/>
        </w:rPr>
        <w:t>凝聚招商强大合力,加快项目落实落地。</w:t>
      </w:r>
    </w:p>
    <w:p w14:paraId="4E273B5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绩效指标：通过招商大使推荐项目、协助组织和参与各类招商活动，邀请210个客商来石，组织外出拜访55家企业，工作成效明显。</w:t>
      </w:r>
      <w:r>
        <w:rPr>
          <w:rFonts w:hint="eastAsia" w:ascii="仿宋" w:hAnsi="仿宋" w:eastAsia="仿宋"/>
          <w:sz w:val="32"/>
          <w:szCs w:val="32"/>
          <w:lang w:val="en-US" w:eastAsia="zh-CN"/>
        </w:rPr>
        <w:t>驻外招商</w:t>
      </w:r>
      <w:r>
        <w:rPr>
          <w:rFonts w:hint="eastAsia" w:ascii="仿宋" w:hAnsi="仿宋" w:eastAsia="仿宋"/>
          <w:sz w:val="32"/>
          <w:szCs w:val="32"/>
        </w:rPr>
        <w:t>工作</w:t>
      </w:r>
      <w:r>
        <w:rPr>
          <w:rFonts w:hint="eastAsia" w:ascii="仿宋" w:hAnsi="仿宋" w:eastAsia="仿宋"/>
          <w:sz w:val="32"/>
          <w:szCs w:val="32"/>
          <w:lang w:val="en-US" w:eastAsia="zh-CN"/>
        </w:rPr>
        <w:t>组</w:t>
      </w:r>
      <w:r>
        <w:rPr>
          <w:rFonts w:hint="eastAsia" w:ascii="仿宋" w:hAnsi="仿宋" w:eastAsia="仿宋"/>
          <w:sz w:val="32"/>
          <w:szCs w:val="32"/>
        </w:rPr>
        <w:t>累计拜访客商2000余家，向县（市、区）推送项目446个，其中32个项目已实现签约。组织“基金+项目”招商对接会、“科创基石”系列</w:t>
      </w:r>
      <w:r>
        <w:rPr>
          <w:rFonts w:hint="eastAsia" w:ascii="仿宋" w:hAnsi="仿宋" w:eastAsia="仿宋"/>
          <w:sz w:val="32"/>
          <w:szCs w:val="32"/>
          <w:lang w:val="en-US" w:eastAsia="zh-CN"/>
        </w:rPr>
        <w:t>等</w:t>
      </w:r>
      <w:r>
        <w:rPr>
          <w:rFonts w:hint="eastAsia" w:ascii="仿宋" w:hAnsi="仿宋" w:eastAsia="仿宋"/>
          <w:sz w:val="32"/>
          <w:szCs w:val="32"/>
        </w:rPr>
        <w:t>各类活动29场。</w:t>
      </w:r>
    </w:p>
    <w:p w14:paraId="124692B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（二）项目为王、深化改革，开发区能级再提升</w:t>
      </w:r>
    </w:p>
    <w:p w14:paraId="71A77F8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绩效目标：组织开发区参加各类招商活动，提升开发区招商能力；</w:t>
      </w:r>
      <w:r>
        <w:rPr>
          <w:rFonts w:hint="eastAsia" w:ascii="仿宋" w:hAnsi="仿宋" w:eastAsia="仿宋" w:cs="仿宋"/>
          <w:sz w:val="32"/>
          <w:szCs w:val="32"/>
        </w:rPr>
        <w:t>创新开展项目观摩活动，察实际、比成效，项目建设得到有力推进</w:t>
      </w:r>
      <w:r>
        <w:rPr>
          <w:rFonts w:hint="eastAsia" w:ascii="仿宋" w:hAnsi="仿宋" w:eastAsia="仿宋" w:cs="仿宋"/>
          <w:sz w:val="32"/>
          <w:szCs w:val="32"/>
          <w:lang w:eastAsia="zh-CN"/>
        </w:rPr>
        <w:t>；</w:t>
      </w:r>
      <w:r>
        <w:rPr>
          <w:rFonts w:hint="eastAsia" w:ascii="仿宋" w:hAnsi="仿宋" w:eastAsia="仿宋" w:cs="仿宋"/>
          <w:sz w:val="32"/>
          <w:szCs w:val="32"/>
        </w:rPr>
        <w:t>持续开展低效用地整治工作</w:t>
      </w:r>
      <w:r>
        <w:rPr>
          <w:rFonts w:hint="eastAsia" w:ascii="仿宋" w:hAnsi="仿宋" w:eastAsia="仿宋" w:cs="仿宋"/>
          <w:sz w:val="32"/>
          <w:szCs w:val="32"/>
          <w:lang w:eastAsia="zh-CN"/>
        </w:rPr>
        <w:t>；</w:t>
      </w:r>
      <w:r>
        <w:rPr>
          <w:rFonts w:hint="eastAsia" w:ascii="仿宋" w:hAnsi="仿宋" w:eastAsia="仿宋" w:cs="仿宋"/>
          <w:sz w:val="32"/>
          <w:szCs w:val="32"/>
        </w:rPr>
        <w:t>支持引导</w:t>
      </w:r>
      <w:r>
        <w:rPr>
          <w:rFonts w:hint="eastAsia" w:ascii="仿宋" w:hAnsi="仿宋" w:eastAsia="仿宋"/>
          <w:sz w:val="32"/>
          <w:szCs w:val="32"/>
        </w:rPr>
        <w:t>有条件的开发区通过调区扩区、托管等方式</w:t>
      </w:r>
      <w:r>
        <w:rPr>
          <w:rFonts w:hint="eastAsia" w:ascii="仿宋" w:hAnsi="仿宋" w:eastAsia="仿宋"/>
          <w:sz w:val="32"/>
          <w:szCs w:val="32"/>
          <w:lang w:eastAsia="zh-CN"/>
        </w:rPr>
        <w:t>，</w:t>
      </w:r>
      <w:r>
        <w:rPr>
          <w:rFonts w:hint="eastAsia" w:ascii="仿宋" w:hAnsi="仿宋" w:eastAsia="仿宋" w:cs="Songti SC"/>
          <w:kern w:val="0"/>
          <w:sz w:val="32"/>
          <w:szCs w:val="32"/>
        </w:rPr>
        <w:t>集中要素资源做大做强核心区，优先保障产业建设用地和发展空间。</w:t>
      </w:r>
    </w:p>
    <w:p w14:paraId="3580DB68">
      <w:pPr>
        <w:widowControl/>
        <w:spacing w:line="540" w:lineRule="exact"/>
        <w:ind w:firstLine="640" w:firstLineChars="200"/>
        <w:rPr>
          <w:rFonts w:hint="eastAsia" w:ascii="楷体_GB2312" w:hAnsi="楷体_GB2312" w:eastAsia="楷体_GB2312" w:cs="楷体_GB2312"/>
          <w:sz w:val="32"/>
          <w:szCs w:val="32"/>
        </w:rPr>
      </w:pPr>
      <w:r>
        <w:rPr>
          <w:rFonts w:hint="eastAsia" w:ascii="仿宋" w:hAnsi="仿宋" w:eastAsia="仿宋"/>
          <w:sz w:val="32"/>
          <w:szCs w:val="32"/>
        </w:rPr>
        <w:t>绩效指标：</w:t>
      </w:r>
      <w:r>
        <w:rPr>
          <w:rFonts w:ascii="Times New Roman" w:hAnsi="Times New Roman" w:eastAsia="仿宋" w:cs="Times New Roman"/>
          <w:kern w:val="0"/>
          <w:sz w:val="32"/>
          <w:szCs w:val="32"/>
        </w:rPr>
        <w:t>全市开发区实现营业收入同比增长</w:t>
      </w:r>
      <w:r>
        <w:rPr>
          <w:rFonts w:hint="eastAsia" w:ascii="仿宋" w:hAnsi="仿宋" w:eastAsia="仿宋"/>
          <w:sz w:val="32"/>
          <w:szCs w:val="32"/>
          <w:lang w:val="en-US" w:eastAsia="zh-CN"/>
        </w:rPr>
        <w:t>8</w:t>
      </w:r>
      <w:r>
        <w:rPr>
          <w:rFonts w:hint="eastAsia" w:ascii="仿宋" w:hAnsi="仿宋" w:eastAsia="仿宋"/>
          <w:sz w:val="32"/>
          <w:szCs w:val="32"/>
        </w:rPr>
        <w:t>%</w:t>
      </w:r>
      <w:r>
        <w:rPr>
          <w:rFonts w:hint="eastAsia" w:ascii="仿宋" w:hAnsi="仿宋" w:eastAsia="仿宋"/>
          <w:sz w:val="32"/>
          <w:szCs w:val="32"/>
          <w:lang w:val="en-US" w:eastAsia="zh-CN"/>
        </w:rPr>
        <w:t>以上</w:t>
      </w:r>
      <w:r>
        <w:rPr>
          <w:rFonts w:hint="eastAsia" w:ascii="仿宋" w:hAnsi="仿宋" w:eastAsia="仿宋" w:cs="Songti SC"/>
          <w:kern w:val="0"/>
          <w:sz w:val="32"/>
          <w:szCs w:val="32"/>
        </w:rPr>
        <w:t>。</w:t>
      </w:r>
    </w:p>
    <w:p w14:paraId="09512A2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（三）强化指导、狠抓落实，外商投资服务再升级</w:t>
      </w:r>
    </w:p>
    <w:p w14:paraId="49893EB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绩效目标：推动新设外资企业注册资本到位、现有外资企业增资扩股、优势企业境外上市融资、境外投资者股权并购等，促进利用外资平稳发展。</w:t>
      </w:r>
    </w:p>
    <w:p w14:paraId="70CE02F7">
      <w:pPr>
        <w:adjustRightInd w:val="0"/>
        <w:snapToGrid w:val="0"/>
        <w:spacing w:line="560" w:lineRule="exact"/>
        <w:ind w:firstLine="640" w:firstLineChars="200"/>
      </w:pPr>
      <w:r>
        <w:rPr>
          <w:rFonts w:hint="eastAsia" w:ascii="仿宋" w:hAnsi="仿宋" w:eastAsia="仿宋"/>
          <w:sz w:val="32"/>
          <w:szCs w:val="32"/>
        </w:rPr>
        <w:t>绩效指标：全年新设或增资外资企业</w:t>
      </w:r>
      <w:r>
        <w:rPr>
          <w:rFonts w:hint="eastAsia" w:ascii="仿宋" w:hAnsi="仿宋" w:eastAsia="仿宋"/>
          <w:sz w:val="32"/>
          <w:szCs w:val="32"/>
          <w:lang w:val="en-US" w:eastAsia="zh-CN"/>
        </w:rPr>
        <w:t>8</w:t>
      </w:r>
      <w:r>
        <w:rPr>
          <w:rFonts w:hint="eastAsia" w:ascii="仿宋" w:hAnsi="仿宋" w:eastAsia="仿宋"/>
          <w:sz w:val="32"/>
          <w:szCs w:val="32"/>
        </w:rPr>
        <w:t>0家以上。</w:t>
      </w:r>
    </w:p>
    <w:p w14:paraId="4C1FA8AB">
      <w:pPr>
        <w:adjustRightInd w:val="0"/>
        <w:snapToGrid w:val="0"/>
        <w:spacing w:line="560" w:lineRule="exact"/>
        <w:ind w:firstLine="640" w:firstLineChars="200"/>
        <w:outlineLvl w:val="0"/>
        <w:rPr>
          <w:rFonts w:hint="eastAsia" w:ascii="黑体" w:hAnsi="黑体" w:eastAsia="黑体"/>
          <w:sz w:val="32"/>
          <w:szCs w:val="32"/>
        </w:rPr>
      </w:pPr>
      <w:r>
        <w:rPr>
          <w:rFonts w:hint="eastAsia" w:ascii="黑体" w:hAnsi="黑体" w:eastAsia="黑体"/>
          <w:sz w:val="32"/>
          <w:szCs w:val="32"/>
        </w:rPr>
        <w:t>二、自评工作开展情况</w:t>
      </w:r>
      <w:bookmarkEnd w:id="9"/>
      <w:bookmarkStart w:id="10" w:name="_Toc3678"/>
    </w:p>
    <w:p w14:paraId="4FC9CC8A">
      <w:pPr>
        <w:adjustRightInd w:val="0"/>
        <w:snapToGrid w:val="0"/>
        <w:spacing w:line="560" w:lineRule="exact"/>
        <w:ind w:firstLine="640" w:firstLineChars="200"/>
        <w:outlineLvl w:val="0"/>
        <w:rPr>
          <w:rFonts w:ascii="楷体" w:hAnsi="楷体" w:eastAsia="楷体" w:cs="楷体_GB2312"/>
          <w:bCs/>
          <w:sz w:val="32"/>
          <w:szCs w:val="32"/>
        </w:rPr>
      </w:pPr>
      <w:r>
        <w:rPr>
          <w:rFonts w:hint="eastAsia" w:ascii="楷体" w:hAnsi="楷体" w:eastAsia="楷体" w:cs="楷体_GB2312"/>
          <w:bCs/>
          <w:sz w:val="32"/>
          <w:szCs w:val="32"/>
        </w:rPr>
        <w:t>（一）自评的组织工作</w:t>
      </w:r>
      <w:bookmarkEnd w:id="10"/>
    </w:p>
    <w:p w14:paraId="0BB8A32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年3月13日至3月2</w:t>
      </w:r>
      <w:r>
        <w:rPr>
          <w:rFonts w:hint="eastAsia" w:ascii="仿宋" w:hAnsi="仿宋" w:eastAsia="仿宋"/>
          <w:sz w:val="32"/>
          <w:szCs w:val="32"/>
          <w:lang w:val="en-US" w:eastAsia="zh-CN"/>
        </w:rPr>
        <w:t>8</w:t>
      </w:r>
      <w:r>
        <w:rPr>
          <w:rFonts w:hint="eastAsia" w:ascii="仿宋" w:hAnsi="仿宋" w:eastAsia="仿宋"/>
          <w:sz w:val="32"/>
          <w:szCs w:val="32"/>
        </w:rPr>
        <w:t>日期间，我局按照自评工作安排，为保证绩效评价工作顺利开展，成立了绩效评价小组，由</w:t>
      </w:r>
      <w:r>
        <w:rPr>
          <w:rFonts w:hint="eastAsia" w:ascii="仿宋" w:hAnsi="仿宋" w:eastAsia="仿宋"/>
          <w:sz w:val="32"/>
          <w:szCs w:val="32"/>
          <w:lang w:val="en-US" w:eastAsia="zh-CN"/>
        </w:rPr>
        <w:t>副局长樊石磊</w:t>
      </w:r>
      <w:r>
        <w:rPr>
          <w:rFonts w:hint="eastAsia" w:ascii="仿宋" w:hAnsi="仿宋" w:eastAsia="仿宋"/>
          <w:sz w:val="32"/>
          <w:szCs w:val="32"/>
        </w:rPr>
        <w:t>同志任组长</w:t>
      </w:r>
      <w:r>
        <w:rPr>
          <w:rFonts w:hint="eastAsia" w:ascii="仿宋" w:hAnsi="仿宋" w:eastAsia="仿宋"/>
          <w:sz w:val="32"/>
          <w:szCs w:val="32"/>
          <w:lang w:eastAsia="zh-CN"/>
        </w:rPr>
        <w:t>，</w:t>
      </w:r>
      <w:r>
        <w:rPr>
          <w:rFonts w:hint="eastAsia" w:ascii="仿宋" w:hAnsi="仿宋" w:eastAsia="仿宋"/>
          <w:sz w:val="32"/>
          <w:szCs w:val="32"/>
        </w:rPr>
        <w:t>各业务</w:t>
      </w:r>
      <w:r>
        <w:rPr>
          <w:rFonts w:hint="eastAsia" w:ascii="仿宋" w:hAnsi="仿宋" w:eastAsia="仿宋"/>
          <w:sz w:val="32"/>
          <w:szCs w:val="32"/>
          <w:lang w:val="en-US" w:eastAsia="zh-CN"/>
        </w:rPr>
        <w:t>科</w:t>
      </w:r>
      <w:r>
        <w:rPr>
          <w:rFonts w:hint="eastAsia" w:ascii="仿宋" w:hAnsi="仿宋" w:eastAsia="仿宋"/>
          <w:sz w:val="32"/>
          <w:szCs w:val="32"/>
        </w:rPr>
        <w:t>室科长姜嘉伟、李曼、李浩田、</w:t>
      </w:r>
      <w:r>
        <w:rPr>
          <w:rFonts w:hint="eastAsia" w:ascii="仿宋" w:hAnsi="仿宋" w:eastAsia="仿宋"/>
          <w:sz w:val="32"/>
          <w:szCs w:val="32"/>
          <w:lang w:val="en-US" w:eastAsia="zh-CN"/>
        </w:rPr>
        <w:t>吴恺、</w:t>
      </w:r>
      <w:r>
        <w:rPr>
          <w:rFonts w:hint="eastAsia" w:ascii="仿宋" w:hAnsi="仿宋" w:eastAsia="仿宋"/>
          <w:sz w:val="32"/>
          <w:szCs w:val="32"/>
        </w:rPr>
        <w:t>曹地、唐佳佳、</w:t>
      </w:r>
      <w:r>
        <w:rPr>
          <w:rFonts w:hint="eastAsia" w:ascii="仿宋" w:hAnsi="仿宋" w:eastAsia="仿宋"/>
          <w:sz w:val="32"/>
          <w:szCs w:val="32"/>
          <w:lang w:val="en-US" w:eastAsia="zh-CN"/>
        </w:rPr>
        <w:t>李蕴涵</w:t>
      </w:r>
      <w:r>
        <w:rPr>
          <w:rFonts w:hint="eastAsia" w:ascii="仿宋" w:hAnsi="仿宋" w:eastAsia="仿宋"/>
          <w:sz w:val="32"/>
          <w:szCs w:val="32"/>
        </w:rPr>
        <w:t>为成员，负责绩效评价的组织管理和实施工作。按照</w:t>
      </w:r>
      <w:r>
        <w:rPr>
          <w:rFonts w:hint="eastAsia" w:ascii="仿宋" w:hAnsi="仿宋" w:eastAsia="仿宋"/>
          <w:sz w:val="32"/>
          <w:szCs w:val="32"/>
          <w:lang w:val="en-US" w:eastAsia="zh-CN"/>
        </w:rPr>
        <w:t>工作</w:t>
      </w:r>
      <w:r>
        <w:rPr>
          <w:rFonts w:hint="eastAsia" w:ascii="仿宋" w:hAnsi="仿宋" w:eastAsia="仿宋"/>
          <w:sz w:val="32"/>
          <w:szCs w:val="32"/>
        </w:rPr>
        <w:t>要求，评价工作组制定自评工作方案，明确评价内容、评价程序及时间安排。组织相关人员召开专题会议，传达自评价工作要求和部署各项工作安排。全面收集评价所需基础信息资料并对资料进行分类整理、审查和分析。</w:t>
      </w:r>
    </w:p>
    <w:p w14:paraId="4557BA8D">
      <w:pPr>
        <w:adjustRightInd w:val="0"/>
        <w:snapToGrid w:val="0"/>
        <w:spacing w:line="560" w:lineRule="exact"/>
        <w:ind w:firstLine="640" w:firstLineChars="200"/>
        <w:outlineLvl w:val="1"/>
        <w:rPr>
          <w:rFonts w:ascii="楷体" w:hAnsi="楷体" w:eastAsia="楷体" w:cs="楷体_GB2312"/>
          <w:bCs/>
          <w:sz w:val="32"/>
          <w:szCs w:val="32"/>
        </w:rPr>
      </w:pPr>
      <w:bookmarkStart w:id="11" w:name="_Toc327"/>
      <w:r>
        <w:rPr>
          <w:rFonts w:hint="eastAsia" w:ascii="楷体" w:hAnsi="楷体" w:eastAsia="楷体" w:cs="楷体_GB2312"/>
          <w:bCs/>
          <w:sz w:val="32"/>
          <w:szCs w:val="32"/>
        </w:rPr>
        <w:t>（二）自评的方法和过程</w:t>
      </w:r>
      <w:bookmarkEnd w:id="11"/>
    </w:p>
    <w:p w14:paraId="519C9394">
      <w:pPr>
        <w:adjustRightInd w:val="0"/>
        <w:snapToGrid w:val="0"/>
        <w:spacing w:line="560" w:lineRule="exact"/>
        <w:ind w:firstLine="640" w:firstLineChars="200"/>
        <w:outlineLvl w:val="2"/>
        <w:rPr>
          <w:rFonts w:hint="eastAsia" w:ascii="仿宋" w:hAnsi="仿宋" w:eastAsia="仿宋"/>
          <w:b w:val="0"/>
          <w:bCs w:val="0"/>
          <w:sz w:val="32"/>
          <w:szCs w:val="32"/>
        </w:rPr>
      </w:pPr>
      <w:bookmarkStart w:id="12" w:name="_Toc26012"/>
      <w:r>
        <w:rPr>
          <w:rFonts w:hint="eastAsia" w:ascii="仿宋" w:hAnsi="仿宋" w:eastAsia="仿宋"/>
          <w:b w:val="0"/>
          <w:bCs w:val="0"/>
          <w:sz w:val="32"/>
          <w:szCs w:val="32"/>
        </w:rPr>
        <w:t>1.自评的方法</w:t>
      </w:r>
      <w:bookmarkEnd w:id="12"/>
      <w:bookmarkStart w:id="13" w:name="_Toc25386"/>
    </w:p>
    <w:p w14:paraId="7ED6853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次绩效评价以评价指标体系为基础，主要采用成本效益分析法、因素分析法、比较分析法、综合指数评价法，具体指标评价采用百分制评分的形式来评定政策在制定、实施和效果各环节的实施和达成程度，在指标评价的基础上，由评价工作组综合分析，确定绩效整体的评价结论。</w:t>
      </w:r>
    </w:p>
    <w:p w14:paraId="06C21AE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成本效益分析法。是指将一定时期内总成本与总效益进行对比分析，以评价绩效目标实现程度。</w:t>
      </w:r>
    </w:p>
    <w:p w14:paraId="5F8FBE8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比较分析法。是指通过对绩效目标与实施效果、历史与当期情况、不同部门和地区同类支出的比较，综合分析绩效目标实现程度。</w:t>
      </w:r>
    </w:p>
    <w:p w14:paraId="288E19D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因素分析法。是指通过综合分析影响绩效目标实现、实施效果的内外因素，计算投入产出比的方法。</w:t>
      </w:r>
    </w:p>
    <w:p w14:paraId="6E8309A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综合指数评价法。是指把各项绩效指标的实际水平，对照评价标准值，分别计算各项指标评价得分，再按照设定的各项指标权数计算出综合评价得分，分析评价绩效目标实现情况的评价方法。</w:t>
      </w:r>
    </w:p>
    <w:bookmarkEnd w:id="13"/>
    <w:p w14:paraId="34171C3F">
      <w:pPr>
        <w:adjustRightInd w:val="0"/>
        <w:snapToGrid w:val="0"/>
        <w:spacing w:line="560" w:lineRule="exact"/>
        <w:ind w:firstLine="640" w:firstLineChars="200"/>
        <w:outlineLvl w:val="2"/>
        <w:rPr>
          <w:rFonts w:hint="eastAsia" w:ascii="仿宋" w:hAnsi="仿宋" w:eastAsia="仿宋"/>
          <w:b w:val="0"/>
          <w:bCs w:val="0"/>
          <w:sz w:val="32"/>
          <w:szCs w:val="32"/>
        </w:rPr>
      </w:pPr>
      <w:bookmarkStart w:id="14" w:name="_Toc14749"/>
      <w:bookmarkStart w:id="15" w:name="_Toc8765"/>
      <w:bookmarkStart w:id="16" w:name="_Toc30312"/>
      <w:r>
        <w:rPr>
          <w:rFonts w:hint="eastAsia" w:ascii="仿宋" w:hAnsi="仿宋" w:eastAsia="仿宋"/>
          <w:b w:val="0"/>
          <w:bCs w:val="0"/>
          <w:sz w:val="32"/>
          <w:szCs w:val="32"/>
        </w:rPr>
        <w:t>2.绩效自评</w:t>
      </w:r>
      <w:bookmarkEnd w:id="14"/>
      <w:bookmarkEnd w:id="15"/>
      <w:r>
        <w:rPr>
          <w:rFonts w:hint="eastAsia" w:ascii="仿宋" w:hAnsi="仿宋" w:eastAsia="仿宋"/>
          <w:b w:val="0"/>
          <w:bCs w:val="0"/>
          <w:sz w:val="32"/>
          <w:szCs w:val="32"/>
        </w:rPr>
        <w:t>过程</w:t>
      </w:r>
      <w:bookmarkEnd w:id="16"/>
    </w:p>
    <w:p w14:paraId="75A3740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次绩效自评将资金使用产出及效果与年初指标值相比较，完成相应指标值的，赋全部分值；未完成指标值的，按完成情况赋分，并对完成值低于指标值较多的，分析其形成原因，针对评价过程中发现的问题进一步提出相关意见建议，为以后年度我局履行部门职责作出更好的预算管理和资金安排。</w:t>
      </w:r>
    </w:p>
    <w:p w14:paraId="1AA713E7">
      <w:pPr>
        <w:adjustRightInd w:val="0"/>
        <w:snapToGrid w:val="0"/>
        <w:spacing w:line="560" w:lineRule="exact"/>
        <w:ind w:firstLine="640" w:firstLineChars="200"/>
        <w:outlineLvl w:val="0"/>
        <w:rPr>
          <w:rFonts w:ascii="黑体" w:hAnsi="黑体" w:eastAsia="黑体"/>
          <w:sz w:val="32"/>
          <w:szCs w:val="32"/>
        </w:rPr>
      </w:pPr>
      <w:bookmarkStart w:id="17" w:name="_Toc12940"/>
      <w:r>
        <w:rPr>
          <w:rFonts w:hint="eastAsia" w:ascii="黑体" w:hAnsi="黑体" w:eastAsia="黑体"/>
          <w:sz w:val="32"/>
          <w:szCs w:val="32"/>
        </w:rPr>
        <w:t>三、部门整体支出绩效目标实现情况及指标分析</w:t>
      </w:r>
      <w:bookmarkEnd w:id="17"/>
    </w:p>
    <w:p w14:paraId="16B33300">
      <w:pPr>
        <w:adjustRightInd w:val="0"/>
        <w:snapToGrid w:val="0"/>
        <w:spacing w:line="560" w:lineRule="exact"/>
        <w:ind w:firstLine="640" w:firstLineChars="200"/>
        <w:outlineLvl w:val="1"/>
        <w:rPr>
          <w:rFonts w:ascii="楷体" w:hAnsi="楷体" w:eastAsia="楷体" w:cs="楷体_GB2312"/>
          <w:bCs/>
          <w:sz w:val="32"/>
          <w:szCs w:val="32"/>
        </w:rPr>
      </w:pPr>
      <w:bookmarkStart w:id="18" w:name="_Toc30956"/>
      <w:r>
        <w:rPr>
          <w:rFonts w:hint="eastAsia" w:ascii="楷体" w:hAnsi="楷体" w:eastAsia="楷体" w:cs="楷体_GB2312"/>
          <w:bCs/>
          <w:sz w:val="32"/>
          <w:szCs w:val="32"/>
        </w:rPr>
        <w:t>（一）总体绩效目标实现情况</w:t>
      </w:r>
      <w:bookmarkEnd w:id="18"/>
    </w:p>
    <w:p w14:paraId="73B855AC">
      <w:pPr>
        <w:spacing w:line="600" w:lineRule="exact"/>
        <w:ind w:firstLine="640" w:firstLineChars="200"/>
        <w:rPr>
          <w:rFonts w:hint="eastAsia" w:ascii="仿宋" w:hAnsi="仿宋" w:eastAsia="仿宋"/>
          <w:sz w:val="32"/>
          <w:szCs w:val="32"/>
        </w:rPr>
      </w:pPr>
      <w:r>
        <w:rPr>
          <w:rFonts w:hint="eastAsia" w:ascii="仿宋" w:hAnsi="仿宋" w:eastAsia="仿宋" w:cs="仿宋"/>
          <w:sz w:val="32"/>
          <w:szCs w:val="32"/>
        </w:rPr>
        <w:t>坚持以习近平新时代中国特色社会主义思想为指导，深入学习贯彻党的二十大和二十届二</w:t>
      </w:r>
      <w:r>
        <w:rPr>
          <w:rFonts w:hint="eastAsia" w:ascii="仿宋" w:hAnsi="仿宋" w:eastAsia="仿宋"/>
          <w:sz w:val="32"/>
          <w:szCs w:val="32"/>
        </w:rPr>
        <w:t>中、三中全会精神，认真落实省委经济工作会议和市委十一届七次全会部署，坚持稳中求进的工作总基调，完整、准确、全面贯彻新发展理念，精准开展以商招商、基金招商、驻外招商、国际化招商，不断做好外商投资服务，大力推进开发区改革发展，推动更多含金量、含新量、含绿量高的项目落地，助力形成大项目顶天立地、小项目铺天盖地的良好态势。</w:t>
      </w:r>
    </w:p>
    <w:p w14:paraId="01BB9D0D">
      <w:pPr>
        <w:adjustRightInd w:val="0"/>
        <w:snapToGrid w:val="0"/>
        <w:spacing w:line="560" w:lineRule="exact"/>
        <w:ind w:firstLine="640" w:firstLineChars="200"/>
        <w:outlineLvl w:val="1"/>
        <w:rPr>
          <w:rFonts w:ascii="楷体" w:hAnsi="楷体" w:eastAsia="楷体" w:cs="楷体_GB2312"/>
          <w:bCs/>
          <w:sz w:val="32"/>
          <w:szCs w:val="32"/>
        </w:rPr>
      </w:pPr>
      <w:bookmarkStart w:id="19" w:name="_Toc28336"/>
      <w:r>
        <w:rPr>
          <w:rFonts w:hint="eastAsia" w:ascii="楷体" w:hAnsi="楷体" w:eastAsia="楷体" w:cs="楷体_GB2312"/>
          <w:bCs/>
          <w:sz w:val="32"/>
          <w:szCs w:val="32"/>
        </w:rPr>
        <w:t>（二）分项绩效目标实现情况及指标分析</w:t>
      </w:r>
      <w:bookmarkEnd w:id="19"/>
    </w:p>
    <w:p w14:paraId="1584AF0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经核实，各项目数量指标、质量指标基本实现年初计划；资金及时拨付，项目或者活动基本及时完成；实际支出金额均未超预算数；满意度指标考核的是受益对象、服务对象、设备使用对象满意度，调查显示满意度均高于95%，总体较好得完成了预期目标。具体实现情况如下：</w:t>
      </w:r>
    </w:p>
    <w:p w14:paraId="6D772281">
      <w:pPr>
        <w:adjustRightInd w:val="0"/>
        <w:snapToGrid w:val="0"/>
        <w:spacing w:line="560" w:lineRule="exact"/>
        <w:ind w:firstLine="640" w:firstLineChars="200"/>
        <w:outlineLvl w:val="2"/>
        <w:rPr>
          <w:rFonts w:hint="eastAsia" w:ascii="仿宋" w:hAnsi="仿宋" w:eastAsia="仿宋"/>
          <w:b w:val="0"/>
          <w:bCs w:val="0"/>
          <w:sz w:val="32"/>
          <w:szCs w:val="32"/>
        </w:rPr>
      </w:pPr>
      <w:r>
        <w:rPr>
          <w:rFonts w:hint="eastAsia" w:ascii="仿宋" w:hAnsi="仿宋" w:eastAsia="仿宋"/>
          <w:b w:val="0"/>
          <w:bCs w:val="0"/>
          <w:sz w:val="32"/>
          <w:szCs w:val="32"/>
          <w:lang w:val="en-US" w:eastAsia="zh-CN"/>
        </w:rPr>
        <w:t>1.</w:t>
      </w:r>
      <w:r>
        <w:rPr>
          <w:rFonts w:hint="eastAsia" w:ascii="仿宋" w:hAnsi="仿宋" w:eastAsia="仿宋"/>
          <w:b w:val="0"/>
          <w:bCs w:val="0"/>
          <w:sz w:val="32"/>
          <w:szCs w:val="32"/>
        </w:rPr>
        <w:t>多措并举、内招外引，招商引资工作再提升</w:t>
      </w:r>
    </w:p>
    <w:p w14:paraId="4ACB8AC6">
      <w:pPr>
        <w:spacing w:line="540" w:lineRule="exact"/>
        <w:ind w:firstLine="643" w:firstLineChars="200"/>
        <w:rPr>
          <w:rFonts w:hint="eastAsia" w:ascii="仿宋" w:hAnsi="仿宋" w:eastAsia="仿宋"/>
          <w:sz w:val="32"/>
          <w:szCs w:val="32"/>
        </w:rPr>
      </w:pPr>
      <w:bookmarkStart w:id="20" w:name="_Toc27756"/>
      <w:r>
        <w:rPr>
          <w:rFonts w:hint="eastAsia" w:ascii="仿宋" w:hAnsi="仿宋" w:eastAsia="仿宋" w:cs="仿宋"/>
          <w:b/>
          <w:bCs/>
          <w:sz w:val="32"/>
          <w:szCs w:val="32"/>
        </w:rPr>
        <w:t>一是深入挖掘招商大使资源</w:t>
      </w:r>
      <w:r>
        <w:rPr>
          <w:rFonts w:hint="eastAsia" w:ascii="仿宋" w:hAnsi="仿宋" w:eastAsia="仿宋" w:cs="仿宋"/>
          <w:sz w:val="32"/>
          <w:szCs w:val="32"/>
        </w:rPr>
        <w:t>。</w:t>
      </w:r>
      <w:r>
        <w:rPr>
          <w:rFonts w:ascii="Times New Roman" w:hAnsi="Times New Roman" w:eastAsia="仿宋" w:cs="Times New Roman"/>
          <w:sz w:val="32"/>
          <w:szCs w:val="32"/>
        </w:rPr>
        <w:t>为激发招商大使参与项目招引和项目研判热情，分别提请市领导召开新一代电子信息、生物医药、先进装备制造产业招商大使座谈会，由局领导牵头持续开展拜访市级招商大使活动，以满满的诚意发动招商大使推荐项目、协助组织和参与各类招商活动。首期71名市级招商大使累计提供176条招商项目信息，其中已签约或落地项目47个，配合组织25场活动，邀请210个客商来石，组织外出拜访55家企业</w:t>
      </w:r>
      <w:r>
        <w:rPr>
          <w:rFonts w:hint="eastAsia" w:ascii="仿宋" w:hAnsi="仿宋" w:eastAsia="仿宋" w:cs="仿宋"/>
          <w:sz w:val="32"/>
          <w:szCs w:val="32"/>
        </w:rPr>
        <w:t>，工作成效明显</w:t>
      </w:r>
      <w:r>
        <w:rPr>
          <w:rFonts w:ascii="Times New Roman" w:hAnsi="Times New Roman" w:eastAsia="仿宋" w:cs="Times New Roman"/>
          <w:sz w:val="32"/>
          <w:szCs w:val="32"/>
        </w:rPr>
        <w:t>。</w:t>
      </w:r>
      <w:r>
        <w:rPr>
          <w:rFonts w:hint="eastAsia" w:ascii="仿宋" w:hAnsi="仿宋" w:eastAsia="仿宋" w:cs="仿宋"/>
          <w:b/>
          <w:bCs/>
          <w:sz w:val="32"/>
          <w:szCs w:val="32"/>
        </w:rPr>
        <w:t>二是坚持开展驻外招商。</w:t>
      </w:r>
      <w:r>
        <w:rPr>
          <w:rFonts w:hint="eastAsia" w:ascii="Times New Roman" w:hAnsi="Times New Roman" w:eastAsia="仿宋" w:cs="Times New Roman"/>
          <w:color w:val="000000"/>
          <w:sz w:val="32"/>
          <w:szCs w:val="32"/>
        </w:rPr>
        <w:t>在北京、上海、深圳等地派驻的</w:t>
      </w:r>
      <w:r>
        <w:rPr>
          <w:rFonts w:hint="eastAsia" w:ascii="仿宋" w:hAnsi="仿宋" w:eastAsia="仿宋" w:cs="Songti SC"/>
          <w:color w:val="000000"/>
          <w:sz w:val="32"/>
          <w:szCs w:val="32"/>
        </w:rPr>
        <w:t>招商工作组</w:t>
      </w:r>
      <w:r>
        <w:rPr>
          <w:rFonts w:hint="eastAsia" w:ascii="仿宋" w:hAnsi="仿宋" w:eastAsia="仿宋" w:cs="仿宋"/>
          <w:sz w:val="32"/>
          <w:szCs w:val="32"/>
        </w:rPr>
        <w:t>积极借鉴外地</w:t>
      </w:r>
      <w:r>
        <w:rPr>
          <w:rFonts w:ascii="Times New Roman" w:hAnsi="Times New Roman" w:eastAsia="仿宋" w:cs="Times New Roman"/>
          <w:sz w:val="32"/>
          <w:szCs w:val="32"/>
        </w:rPr>
        <w:t>经验，克服人员不足困难，在驻地区域广泛拓展招商渠道，大力宣传我市经济发展新成效、城市面貌新变化。工作开展至今，累计拜访客商2000余家，向县（市、区）推送项目446个，其中32个项目已实现签约</w:t>
      </w:r>
      <w:r>
        <w:rPr>
          <w:rFonts w:hint="eastAsia" w:ascii="仿宋" w:hAnsi="仿宋" w:eastAsia="仿宋" w:cs="仿宋"/>
          <w:sz w:val="32"/>
          <w:szCs w:val="32"/>
        </w:rPr>
        <w:t>，得到了县（市、区）广泛认可。</w:t>
      </w:r>
      <w:r>
        <w:rPr>
          <w:rFonts w:hint="eastAsia" w:ascii="仿宋" w:hAnsi="仿宋" w:eastAsia="仿宋" w:cs="仿宋"/>
          <w:b/>
          <w:bCs/>
          <w:sz w:val="32"/>
          <w:szCs w:val="32"/>
        </w:rPr>
        <w:t>三是</w:t>
      </w:r>
      <w:r>
        <w:rPr>
          <w:rFonts w:hint="eastAsia" w:ascii="仿宋" w:hAnsi="仿宋" w:eastAsia="仿宋"/>
          <w:b/>
          <w:bCs/>
          <w:sz w:val="32"/>
          <w:szCs w:val="32"/>
        </w:rPr>
        <w:t>探索基金招商新模式</w:t>
      </w:r>
      <w:r>
        <w:rPr>
          <w:rFonts w:hint="eastAsia" w:ascii="仿宋" w:hAnsi="仿宋" w:eastAsia="仿宋" w:cs="仿宋"/>
          <w:b/>
          <w:bCs/>
          <w:sz w:val="32"/>
          <w:szCs w:val="32"/>
        </w:rPr>
        <w:t>。</w:t>
      </w:r>
      <w:r>
        <w:rPr>
          <w:rFonts w:hint="eastAsia" w:ascii="仿宋" w:hAnsi="仿宋" w:eastAsia="仿宋" w:cs="仿宋"/>
          <w:sz w:val="32"/>
          <w:szCs w:val="32"/>
        </w:rPr>
        <w:t>在</w:t>
      </w:r>
      <w:r>
        <w:rPr>
          <w:rFonts w:ascii="Times New Roman" w:hAnsi="Times New Roman" w:eastAsia="仿宋" w:cs="Times New Roman"/>
          <w:sz w:val="32"/>
          <w:szCs w:val="32"/>
        </w:rPr>
        <w:t>2023</w:t>
      </w:r>
      <w:r>
        <w:rPr>
          <w:rFonts w:hint="eastAsia" w:ascii="仿宋" w:hAnsi="仿宋" w:eastAsia="仿宋" w:cs="仿宋"/>
          <w:sz w:val="32"/>
          <w:szCs w:val="32"/>
        </w:rPr>
        <w:t>年</w:t>
      </w:r>
      <w:r>
        <w:rPr>
          <w:rFonts w:hint="eastAsia" w:ascii="仿宋" w:hAnsi="仿宋" w:eastAsia="仿宋"/>
          <w:sz w:val="32"/>
          <w:szCs w:val="32"/>
        </w:rPr>
        <w:t>承办河北省“基金+项目”招商对接会（石家庄专场）活动后，我市与多家省内外</w:t>
      </w:r>
      <w:r>
        <w:rPr>
          <w:rFonts w:ascii="仿宋" w:hAnsi="仿宋" w:eastAsia="仿宋"/>
          <w:sz w:val="32"/>
          <w:szCs w:val="32"/>
        </w:rPr>
        <w:t>知名基金公司</w:t>
      </w:r>
      <w:r>
        <w:rPr>
          <w:rFonts w:hint="eastAsia" w:ascii="仿宋" w:hAnsi="仿宋" w:eastAsia="仿宋"/>
          <w:sz w:val="32"/>
          <w:szCs w:val="32"/>
        </w:rPr>
        <w:t>建立常态化联络机制，创新开展基金招商工作，</w:t>
      </w:r>
      <w:r>
        <w:rPr>
          <w:rFonts w:ascii="仿宋" w:hAnsi="仿宋" w:eastAsia="仿宋"/>
          <w:sz w:val="32"/>
          <w:szCs w:val="32"/>
        </w:rPr>
        <w:t>打好资本运作、金融创新组合拳</w:t>
      </w:r>
      <w:r>
        <w:rPr>
          <w:rFonts w:hint="eastAsia" w:ascii="仿宋" w:hAnsi="仿宋" w:eastAsia="仿宋"/>
          <w:sz w:val="32"/>
          <w:szCs w:val="32"/>
        </w:rPr>
        <w:t>。今年以来，全市累计组织“基金+项目”招商对接会、“科创基石”系列活动、“园区进清华”系列活动等各类活动29场，共有196个项目现场路演、215家次金融机构参与活动，豪思生物、盾石磁能等多个项目达成融资意向，落地项目9个，“基金+项目”招商模式被省商务厅列为全年创新亮点工作。积极探索投贷联动服务模式，依托建行6万家对公客户资源挖掘优质企业及项目。促进基金资源整合与协同创新，组织国寿投资有限公司与市国投集团就成立专业基金进行对接。</w:t>
      </w:r>
      <w:r>
        <w:rPr>
          <w:rFonts w:hint="eastAsia" w:ascii="仿宋" w:hAnsi="仿宋" w:eastAsia="仿宋"/>
          <w:b/>
          <w:bCs/>
          <w:sz w:val="32"/>
          <w:szCs w:val="32"/>
        </w:rPr>
        <w:t>四是充分利用活动平台招商。</w:t>
      </w:r>
      <w:r>
        <w:rPr>
          <w:rFonts w:hint="eastAsia" w:ascii="仿宋" w:hAnsi="仿宋" w:eastAsia="仿宋"/>
          <w:sz w:val="32"/>
          <w:szCs w:val="32"/>
        </w:rPr>
        <w:t>牵头</w:t>
      </w:r>
      <w:r>
        <w:rPr>
          <w:rFonts w:hint="eastAsia" w:ascii="仿宋" w:hAnsi="仿宋" w:eastAsia="仿宋" w:cs="Times New Roman"/>
          <w:sz w:val="32"/>
          <w:szCs w:val="32"/>
        </w:rPr>
        <w:t>举办“石家庄市园区进清华项目路演活动”</w:t>
      </w:r>
      <w:r>
        <w:rPr>
          <w:rFonts w:hint="eastAsia" w:ascii="仿宋" w:hAnsi="仿宋" w:eastAsia="仿宋"/>
          <w:sz w:val="32"/>
          <w:szCs w:val="32"/>
        </w:rPr>
        <w:t>“石家庄投资合作交流会（韩国专场）”“京津冀粤机器人项目资本对接暨产业链招商活动”“中俄（石家庄）经贸合作对接会”“石家庄市农业产业链招商交流活动”等各类招商活动</w:t>
      </w:r>
      <w:r>
        <w:rPr>
          <w:rFonts w:ascii="Times New Roman" w:hAnsi="Times New Roman" w:eastAsia="仿宋" w:cs="Times New Roman"/>
          <w:sz w:val="32"/>
          <w:szCs w:val="32"/>
        </w:rPr>
        <w:t>30余场</w:t>
      </w:r>
      <w:r>
        <w:rPr>
          <w:rFonts w:hint="eastAsia" w:ascii="仿宋" w:hAnsi="仿宋" w:eastAsia="仿宋"/>
          <w:sz w:val="32"/>
          <w:szCs w:val="32"/>
        </w:rPr>
        <w:t>，形成了“百花齐放”的生动局面；筹办“廊坊经洽会”自办活动“石家庄现代商贸物流产业物流快递专场推介会”和我市主导产业建设场景展；积极参与“厦洽会”“进博会”“投洽会”等国际展会，在当地举办招商推介活动，深度拓展招商渠道。</w:t>
      </w:r>
      <w:r>
        <w:rPr>
          <w:rFonts w:hint="eastAsia" w:ascii="仿宋" w:hAnsi="仿宋" w:eastAsia="仿宋" w:cs="仿宋"/>
          <w:b/>
          <w:bCs/>
          <w:sz w:val="32"/>
          <w:szCs w:val="40"/>
        </w:rPr>
        <w:t>五</w:t>
      </w:r>
      <w:r>
        <w:rPr>
          <w:rFonts w:hint="eastAsia" w:ascii="仿宋" w:hAnsi="仿宋" w:eastAsia="仿宋"/>
          <w:b/>
          <w:bCs/>
          <w:sz w:val="32"/>
          <w:szCs w:val="32"/>
        </w:rPr>
        <w:t>是积极开展国际化招商。</w:t>
      </w:r>
      <w:r>
        <w:rPr>
          <w:rFonts w:hint="eastAsia" w:ascii="仿宋" w:hAnsi="仿宋" w:eastAsia="仿宋"/>
          <w:sz w:val="32"/>
          <w:szCs w:val="32"/>
        </w:rPr>
        <w:t>主动谋划赴澳大利亚、新西兰、德国、香港等重点国家和地区境外招商活动，邀请美国、日本、澳大利亚和香港、台湾等境外客商来石考察洽谈，成功举办韩国企业代表团来石投资考察活动，不断拓展外资项目招商渠道和资源，裕华区沃尔玛投资（中国)有限公司投资山姆会员商店项目、石家庄高新区台湾新型节能环保建筑材料生产基地项目、自贸区正定片区韩国国际创业创新中心项目、正定县日本电磁分离器合作制造项目、石家庄经开区美国新能源充电桩及储能项目等实现签约。</w:t>
      </w:r>
      <w:r>
        <w:rPr>
          <w:rFonts w:hint="eastAsia" w:ascii="仿宋" w:hAnsi="仿宋" w:eastAsia="仿宋"/>
          <w:b/>
          <w:bCs/>
          <w:sz w:val="32"/>
          <w:szCs w:val="32"/>
        </w:rPr>
        <w:t>六</w:t>
      </w:r>
      <w:r>
        <w:rPr>
          <w:rFonts w:hint="eastAsia" w:ascii="仿宋" w:hAnsi="仿宋" w:eastAsia="仿宋" w:cs="仿宋"/>
          <w:b/>
          <w:bCs/>
          <w:sz w:val="32"/>
          <w:szCs w:val="40"/>
        </w:rPr>
        <w:t>是强化全市项目平台管理。</w:t>
      </w:r>
      <w:r>
        <w:rPr>
          <w:rFonts w:hint="eastAsia" w:ascii="仿宋" w:hAnsi="仿宋" w:eastAsia="仿宋" w:cs="Songti SC"/>
          <w:kern w:val="0"/>
          <w:sz w:val="32"/>
          <w:szCs w:val="32"/>
        </w:rPr>
        <w:t>建立石家庄投资促进工作可视化管理平台</w:t>
      </w:r>
      <w:r>
        <w:rPr>
          <w:rFonts w:hint="eastAsia" w:ascii="仿宋" w:hAnsi="仿宋" w:eastAsia="仿宋"/>
          <w:kern w:val="0"/>
          <w:sz w:val="32"/>
          <w:szCs w:val="32"/>
        </w:rPr>
        <w:t>，强化过程管控，初步</w:t>
      </w:r>
      <w:r>
        <w:rPr>
          <w:rFonts w:hint="eastAsia" w:ascii="仿宋" w:hAnsi="仿宋" w:eastAsia="仿宋" w:cs="Songti SC"/>
          <w:kern w:val="0"/>
          <w:sz w:val="32"/>
          <w:szCs w:val="32"/>
        </w:rPr>
        <w:t>实现“对接客商-形成项目-共同推进-服务落地”的项目全流程可视化管理。</w:t>
      </w:r>
      <w:r>
        <w:rPr>
          <w:rFonts w:ascii="Times New Roman" w:hAnsi="Times New Roman" w:eastAsia="仿宋" w:cs="Times New Roman"/>
          <w:kern w:val="0"/>
          <w:sz w:val="32"/>
          <w:szCs w:val="32"/>
        </w:rPr>
        <w:t>1</w:t>
      </w:r>
      <w:r>
        <w:rPr>
          <w:rFonts w:ascii="仿宋" w:hAnsi="仿宋" w:eastAsia="仿宋" w:cs="Times New Roman"/>
          <w:kern w:val="0"/>
          <w:sz w:val="32"/>
          <w:szCs w:val="32"/>
        </w:rPr>
        <w:t>—</w:t>
      </w:r>
      <w:r>
        <w:rPr>
          <w:rFonts w:ascii="Times New Roman" w:hAnsi="Times New Roman" w:eastAsia="仿宋" w:cs="Times New Roman"/>
          <w:kern w:val="0"/>
          <w:sz w:val="32"/>
          <w:szCs w:val="32"/>
        </w:rPr>
        <w:t>1</w:t>
      </w:r>
      <w:r>
        <w:rPr>
          <w:rFonts w:hint="eastAsia" w:ascii="Times New Roman" w:hAnsi="Times New Roman" w:eastAsia="仿宋" w:cs="Times New Roman"/>
          <w:kern w:val="0"/>
          <w:sz w:val="32"/>
          <w:szCs w:val="32"/>
          <w:lang w:val="en-US" w:eastAsia="zh-CN"/>
        </w:rPr>
        <w:t>2</w:t>
      </w:r>
      <w:r>
        <w:rPr>
          <w:rFonts w:ascii="Times New Roman" w:hAnsi="Times New Roman" w:eastAsia="仿宋" w:cs="Times New Roman"/>
          <w:kern w:val="0"/>
          <w:sz w:val="32"/>
          <w:szCs w:val="32"/>
        </w:rPr>
        <w:t>月，全市新签约亿元以上项目</w:t>
      </w:r>
      <w:r>
        <w:rPr>
          <w:rFonts w:hint="eastAsia" w:ascii="Times New Roman" w:hAnsi="Times New Roman" w:eastAsia="仿宋" w:cs="Times New Roman"/>
          <w:kern w:val="0"/>
          <w:sz w:val="32"/>
          <w:szCs w:val="32"/>
          <w:lang w:val="en-US" w:eastAsia="zh-CN"/>
        </w:rPr>
        <w:t>626</w:t>
      </w:r>
      <w:r>
        <w:rPr>
          <w:rFonts w:ascii="Times New Roman" w:hAnsi="Times New Roman" w:eastAsia="仿宋" w:cs="Times New Roman"/>
          <w:kern w:val="0"/>
          <w:sz w:val="32"/>
          <w:szCs w:val="32"/>
        </w:rPr>
        <w:t>个</w:t>
      </w:r>
      <w:r>
        <w:rPr>
          <w:rFonts w:hint="eastAsia" w:ascii="仿宋" w:hAnsi="仿宋" w:eastAsia="仿宋" w:cs="Songti SC"/>
          <w:kern w:val="0"/>
          <w:sz w:val="32"/>
          <w:szCs w:val="32"/>
        </w:rPr>
        <w:t>。</w:t>
      </w:r>
    </w:p>
    <w:p w14:paraId="264EEE7A">
      <w:pPr>
        <w:adjustRightInd w:val="0"/>
        <w:snapToGrid w:val="0"/>
        <w:spacing w:line="560" w:lineRule="exact"/>
        <w:ind w:firstLine="640" w:firstLineChars="200"/>
        <w:outlineLvl w:val="2"/>
        <w:rPr>
          <w:rFonts w:hint="eastAsia" w:ascii="仿宋" w:hAnsi="仿宋" w:eastAsia="仿宋"/>
          <w:b w:val="0"/>
          <w:bCs w:val="0"/>
          <w:sz w:val="32"/>
          <w:szCs w:val="32"/>
        </w:rPr>
      </w:pPr>
      <w:r>
        <w:rPr>
          <w:rFonts w:hint="eastAsia" w:ascii="楷体" w:hAnsi="楷体" w:eastAsia="楷体" w:cs="Songti SC"/>
          <w:kern w:val="0"/>
          <w:sz w:val="32"/>
          <w:szCs w:val="32"/>
        </w:rPr>
        <w:t>（二）强化指导、狠抓落实，外商投资服务再升级</w:t>
      </w:r>
    </w:p>
    <w:p w14:paraId="54D3F9E3">
      <w:pPr>
        <w:spacing w:line="540" w:lineRule="exact"/>
        <w:ind w:firstLine="643" w:firstLineChars="200"/>
        <w:rPr>
          <w:rFonts w:hint="eastAsia" w:ascii="仿宋" w:hAnsi="仿宋" w:eastAsia="仿宋" w:cs="Songti SC"/>
          <w:kern w:val="0"/>
          <w:sz w:val="32"/>
          <w:szCs w:val="32"/>
        </w:rPr>
      </w:pPr>
      <w:r>
        <w:rPr>
          <w:rFonts w:hint="eastAsia" w:ascii="仿宋" w:hAnsi="仿宋" w:eastAsia="仿宋" w:cs="Songti SC"/>
          <w:b/>
          <w:bCs/>
          <w:kern w:val="0"/>
          <w:sz w:val="32"/>
          <w:szCs w:val="32"/>
        </w:rPr>
        <w:t>一是外资政策支持力度加大。</w:t>
      </w:r>
      <w:r>
        <w:rPr>
          <w:rFonts w:hint="eastAsia" w:ascii="仿宋" w:hAnsi="仿宋" w:eastAsia="仿宋" w:cs="Songti SC"/>
          <w:kern w:val="0"/>
          <w:sz w:val="32"/>
          <w:szCs w:val="32"/>
        </w:rPr>
        <w:t>积极用足用好中央、省市支持外商投资的政策，编制印发《石家庄外商投资指南（</w:t>
      </w:r>
      <w:r>
        <w:rPr>
          <w:rFonts w:ascii="Times New Roman" w:hAnsi="Times New Roman" w:eastAsia="仿宋" w:cs="Times New Roman"/>
          <w:kern w:val="0"/>
          <w:sz w:val="32"/>
          <w:szCs w:val="32"/>
        </w:rPr>
        <w:t>2024</w:t>
      </w:r>
      <w:r>
        <w:rPr>
          <w:rFonts w:hint="eastAsia" w:ascii="仿宋" w:hAnsi="仿宋" w:eastAsia="仿宋" w:cs="Songti SC"/>
          <w:kern w:val="0"/>
          <w:sz w:val="32"/>
          <w:szCs w:val="32"/>
        </w:rPr>
        <w:t>年）》，高效兑现《关于进一步鼓励外商投资的若干措施》，向外商投资企业拨付市</w:t>
      </w:r>
      <w:r>
        <w:rPr>
          <w:rFonts w:ascii="Times New Roman" w:hAnsi="Times New Roman" w:eastAsia="仿宋" w:cs="Times New Roman"/>
          <w:kern w:val="0"/>
          <w:sz w:val="32"/>
          <w:szCs w:val="32"/>
        </w:rPr>
        <w:t>级2024年度外商投资企业奖励资金1425万元,争取到省级外商投资企业奖励资金2122万</w:t>
      </w:r>
      <w:r>
        <w:rPr>
          <w:rFonts w:hint="eastAsia" w:ascii="仿宋" w:hAnsi="仿宋" w:eastAsia="仿宋" w:cs="Songti SC"/>
          <w:kern w:val="0"/>
          <w:sz w:val="32"/>
          <w:szCs w:val="32"/>
        </w:rPr>
        <w:t>元（我市</w:t>
      </w:r>
      <w:r>
        <w:rPr>
          <w:rFonts w:ascii="Times New Roman" w:hAnsi="Times New Roman" w:eastAsia="仿宋" w:cs="Times New Roman"/>
          <w:kern w:val="0"/>
          <w:sz w:val="32"/>
          <w:szCs w:val="32"/>
        </w:rPr>
        <w:t>5</w:t>
      </w:r>
      <w:r>
        <w:rPr>
          <w:rFonts w:hint="eastAsia" w:ascii="仿宋" w:hAnsi="仿宋" w:eastAsia="仿宋" w:cs="Songti SC"/>
          <w:kern w:val="0"/>
          <w:sz w:val="32"/>
          <w:szCs w:val="32"/>
        </w:rPr>
        <w:t>家企业受奖，数量全省</w:t>
      </w:r>
      <w:r>
        <w:rPr>
          <w:rFonts w:ascii="Times New Roman" w:hAnsi="Times New Roman" w:eastAsia="仿宋" w:cs="Times New Roman"/>
          <w:kern w:val="0"/>
          <w:sz w:val="32"/>
          <w:szCs w:val="32"/>
        </w:rPr>
        <w:t>第1</w:t>
      </w:r>
      <w:r>
        <w:rPr>
          <w:rFonts w:hint="eastAsia" w:ascii="仿宋" w:hAnsi="仿宋" w:eastAsia="仿宋" w:cs="Songti SC"/>
          <w:kern w:val="0"/>
          <w:sz w:val="32"/>
          <w:szCs w:val="32"/>
        </w:rPr>
        <w:t>）。</w:t>
      </w:r>
      <w:r>
        <w:rPr>
          <w:rFonts w:hint="eastAsia" w:ascii="仿宋" w:hAnsi="仿宋" w:eastAsia="仿宋" w:cs="Songti SC"/>
          <w:b/>
          <w:bCs/>
          <w:kern w:val="0"/>
          <w:sz w:val="32"/>
          <w:szCs w:val="32"/>
        </w:rPr>
        <w:t>二是外商投资服务体系得到完善。</w:t>
      </w:r>
      <w:r>
        <w:rPr>
          <w:rFonts w:hint="eastAsia" w:ascii="仿宋" w:hAnsi="仿宋" w:eastAsia="仿宋" w:cs="Songti SC"/>
          <w:kern w:val="0"/>
          <w:sz w:val="32"/>
          <w:szCs w:val="32"/>
        </w:rPr>
        <w:t>进一步发挥外商投资企业服务工作专班、外商投资投诉服务中心作用，建立石家庄市外商投资企业圆桌会议制度，提请市领导召开外商投资企业发展座谈会，逐一走访重点外商投资企业，动态掌握外商投资企业经营发展情况，帮助企业协调解决生产经营和外资项目落地中存在困难，鼓励企业扩大投资，推动外资项目加速建设，争取外资快速到位。</w:t>
      </w:r>
      <w:r>
        <w:rPr>
          <w:rFonts w:hint="eastAsia" w:ascii="仿宋" w:hAnsi="仿宋" w:eastAsia="仿宋" w:cs="Songti SC"/>
          <w:b/>
          <w:bCs/>
          <w:kern w:val="0"/>
          <w:sz w:val="32"/>
          <w:szCs w:val="32"/>
        </w:rPr>
        <w:t>三是切实强化外资工作赋能。</w:t>
      </w:r>
      <w:r>
        <w:rPr>
          <w:rFonts w:hint="eastAsia" w:ascii="仿宋" w:hAnsi="仿宋" w:eastAsia="仿宋" w:cs="Songti SC"/>
          <w:kern w:val="0"/>
          <w:sz w:val="32"/>
          <w:szCs w:val="32"/>
        </w:rPr>
        <w:t>积极组织各县（市、区）集中开展外资业务专题培训，一线指导外资项目落地到资工作，不断提升县（市、区）外资业务工作能力。进一步优化对县（市、区）外资工作综合评价，从总量、完成率、增速三个方面对各县（市、区）实际使用外资完成情况进行定期通报，对外资工作落后县（市、区）政府下发“提示函”，督促指导县（市、区）不断强化外资工作意识、优化外资工作举措、提升外资工作成效。</w:t>
      </w:r>
      <w:r>
        <w:rPr>
          <w:rFonts w:ascii="Times New Roman" w:hAnsi="Times New Roman" w:eastAsia="仿宋" w:cs="Times New Roman"/>
          <w:kern w:val="0"/>
          <w:sz w:val="32"/>
          <w:szCs w:val="32"/>
        </w:rPr>
        <w:t>1</w:t>
      </w:r>
      <w:r>
        <w:rPr>
          <w:rFonts w:hint="eastAsia" w:ascii="仿宋" w:hAnsi="仿宋" w:eastAsia="仿宋" w:cs="Songti SC"/>
          <w:kern w:val="0"/>
          <w:sz w:val="32"/>
          <w:szCs w:val="32"/>
        </w:rPr>
        <w:t>—</w:t>
      </w:r>
      <w:r>
        <w:rPr>
          <w:rFonts w:hint="eastAsia" w:ascii="Times New Roman" w:hAnsi="Times New Roman" w:eastAsia="仿宋" w:cs="Times New Roman"/>
          <w:kern w:val="0"/>
          <w:sz w:val="32"/>
          <w:szCs w:val="32"/>
          <w:lang w:val="en-US" w:eastAsia="zh-CN"/>
        </w:rPr>
        <w:t>12</w:t>
      </w:r>
      <w:r>
        <w:rPr>
          <w:rFonts w:hint="eastAsia" w:ascii="仿宋" w:hAnsi="仿宋" w:eastAsia="仿宋" w:cs="Songti SC"/>
          <w:kern w:val="0"/>
          <w:sz w:val="32"/>
          <w:szCs w:val="32"/>
        </w:rPr>
        <w:t>月，全市新设外商投资企业</w:t>
      </w:r>
      <w:r>
        <w:rPr>
          <w:rFonts w:hint="eastAsia" w:ascii="Times New Roman" w:hAnsi="Times New Roman" w:eastAsia="仿宋" w:cs="Times New Roman"/>
          <w:kern w:val="0"/>
          <w:sz w:val="32"/>
          <w:szCs w:val="32"/>
          <w:lang w:val="en-US" w:eastAsia="zh-CN"/>
        </w:rPr>
        <w:t>83</w:t>
      </w:r>
      <w:r>
        <w:rPr>
          <w:rFonts w:hint="eastAsia" w:ascii="仿宋" w:hAnsi="仿宋" w:eastAsia="仿宋" w:cs="Songti SC"/>
          <w:kern w:val="0"/>
          <w:sz w:val="32"/>
          <w:szCs w:val="32"/>
        </w:rPr>
        <w:t>家,新设外商投资企业数量全省</w:t>
      </w:r>
      <w:r>
        <w:rPr>
          <w:rFonts w:hint="eastAsia" w:ascii="仿宋" w:hAnsi="仿宋" w:eastAsia="仿宋" w:cs="Songti SC"/>
          <w:kern w:val="0"/>
          <w:sz w:val="32"/>
          <w:szCs w:val="32"/>
          <w:lang w:val="en-US" w:eastAsia="zh-CN"/>
        </w:rPr>
        <w:t>第一</w:t>
      </w:r>
      <w:r>
        <w:rPr>
          <w:rFonts w:hint="eastAsia" w:ascii="仿宋" w:hAnsi="仿宋" w:eastAsia="仿宋" w:cs="Songti SC"/>
          <w:kern w:val="0"/>
          <w:sz w:val="32"/>
          <w:szCs w:val="32"/>
        </w:rPr>
        <w:t>，</w:t>
      </w:r>
      <w:r>
        <w:rPr>
          <w:rFonts w:hint="eastAsia" w:ascii="仿宋" w:hAnsi="仿宋" w:eastAsia="仿宋"/>
          <w:sz w:val="32"/>
          <w:szCs w:val="32"/>
        </w:rPr>
        <w:t>全市实际使用外资</w:t>
      </w:r>
      <w:r>
        <w:rPr>
          <w:rFonts w:hint="eastAsia" w:ascii="Times New Roman" w:hAnsi="Times New Roman" w:eastAsia="仿宋" w:cs="Times New Roman"/>
          <w:sz w:val="32"/>
          <w:szCs w:val="32"/>
          <w:lang w:val="en-US" w:eastAsia="zh-CN"/>
        </w:rPr>
        <w:t>1.05亿</w:t>
      </w:r>
      <w:r>
        <w:rPr>
          <w:rFonts w:hint="eastAsia" w:ascii="仿宋" w:hAnsi="仿宋" w:eastAsia="仿宋"/>
          <w:sz w:val="32"/>
          <w:szCs w:val="32"/>
        </w:rPr>
        <w:t>美元</w:t>
      </w:r>
      <w:r>
        <w:rPr>
          <w:rFonts w:hint="eastAsia" w:ascii="仿宋" w:hAnsi="仿宋" w:eastAsia="仿宋" w:cs="Songti SC"/>
          <w:kern w:val="0"/>
          <w:sz w:val="32"/>
          <w:szCs w:val="32"/>
        </w:rPr>
        <w:t>。</w:t>
      </w:r>
    </w:p>
    <w:p w14:paraId="40282564">
      <w:pPr>
        <w:spacing w:line="540" w:lineRule="exact"/>
        <w:ind w:firstLine="640"/>
        <w:rPr>
          <w:rFonts w:hint="eastAsia" w:ascii="楷体" w:hAnsi="楷体" w:eastAsia="楷体"/>
          <w:sz w:val="32"/>
          <w:szCs w:val="32"/>
        </w:rPr>
      </w:pPr>
      <w:r>
        <w:rPr>
          <w:rFonts w:hint="eastAsia" w:ascii="楷体" w:hAnsi="楷体" w:eastAsia="楷体"/>
          <w:sz w:val="32"/>
          <w:szCs w:val="32"/>
        </w:rPr>
        <w:t>（三）项目为王、深化改革，开发区能级再提升</w:t>
      </w:r>
    </w:p>
    <w:p w14:paraId="5F2F479D">
      <w:pPr>
        <w:widowControl/>
        <w:spacing w:line="540" w:lineRule="exact"/>
        <w:ind w:firstLine="643" w:firstLineChars="200"/>
        <w:rPr>
          <w:rFonts w:hint="eastAsia" w:ascii="楷体_GB2312" w:hAnsi="楷体_GB2312" w:eastAsia="楷体_GB2312" w:cs="楷体_GB2312"/>
          <w:sz w:val="32"/>
          <w:szCs w:val="32"/>
        </w:rPr>
      </w:pPr>
      <w:r>
        <w:rPr>
          <w:rFonts w:hint="eastAsia" w:ascii="仿宋" w:hAnsi="仿宋" w:eastAsia="仿宋" w:cs="楷体"/>
          <w:b/>
          <w:bCs/>
          <w:sz w:val="32"/>
          <w:szCs w:val="32"/>
        </w:rPr>
        <w:t>一是扎实推进项目建设。</w:t>
      </w:r>
      <w:r>
        <w:rPr>
          <w:rFonts w:hint="eastAsia" w:ascii="仿宋" w:hAnsi="仿宋" w:eastAsia="仿宋" w:cs="仿宋"/>
          <w:sz w:val="32"/>
          <w:szCs w:val="32"/>
        </w:rPr>
        <w:t>多次提请市领导调度开发区项目建设和经济指标情况，创新开展项目观摩活动，察实际、比成效，项目建设得到有力推进，</w:t>
      </w:r>
      <w:r>
        <w:rPr>
          <w:rFonts w:hint="eastAsia" w:ascii="Times New Roman" w:hAnsi="Times New Roman" w:eastAsia="仿宋" w:cs="Times New Roman"/>
          <w:sz w:val="32"/>
          <w:szCs w:val="32"/>
          <w:lang w:val="en-US" w:eastAsia="zh-CN"/>
        </w:rPr>
        <w:t>2024年</w:t>
      </w:r>
      <w:r>
        <w:rPr>
          <w:rFonts w:ascii="Times New Roman" w:hAnsi="Times New Roman" w:eastAsia="仿宋" w:cs="Times New Roman"/>
          <w:sz w:val="32"/>
          <w:szCs w:val="32"/>
        </w:rPr>
        <w:t>，开发区投资2000万元以上产业类项目在建</w:t>
      </w:r>
      <w:r>
        <w:rPr>
          <w:rFonts w:hint="eastAsia" w:ascii="Times New Roman" w:hAnsi="Times New Roman" w:eastAsia="仿宋" w:cs="Times New Roman"/>
          <w:sz w:val="32"/>
          <w:szCs w:val="32"/>
          <w:lang w:val="en-US" w:eastAsia="zh-CN"/>
        </w:rPr>
        <w:t>487</w:t>
      </w:r>
      <w:r>
        <w:rPr>
          <w:rFonts w:ascii="Times New Roman" w:hAnsi="Times New Roman" w:eastAsia="仿宋" w:cs="Times New Roman"/>
          <w:sz w:val="32"/>
          <w:szCs w:val="32"/>
        </w:rPr>
        <w:t>项；新投产</w:t>
      </w:r>
      <w:r>
        <w:rPr>
          <w:rFonts w:hint="eastAsia" w:ascii="Times New Roman" w:hAnsi="Times New Roman" w:eastAsia="仿宋" w:cs="Times New Roman"/>
          <w:sz w:val="32"/>
          <w:szCs w:val="32"/>
          <w:lang w:val="en-US" w:eastAsia="zh-CN"/>
        </w:rPr>
        <w:t>284</w:t>
      </w:r>
      <w:r>
        <w:rPr>
          <w:rFonts w:ascii="Times New Roman" w:hAnsi="Times New Roman" w:eastAsia="仿宋" w:cs="Times New Roman"/>
          <w:sz w:val="32"/>
          <w:szCs w:val="32"/>
        </w:rPr>
        <w:t>项。推动市财政对项目建设先进的石家庄高新区、石家庄经开区、鹿泉经开区等6家开发区共下达1100万元资金奖励，用于支持招商引资和园区基础设施建设工作。</w:t>
      </w:r>
      <w:r>
        <w:rPr>
          <w:rFonts w:hint="eastAsia" w:ascii="仿宋" w:hAnsi="仿宋" w:eastAsia="仿宋" w:cs="楷体_GB2312"/>
          <w:b/>
          <w:bCs/>
          <w:color w:val="000000" w:themeColor="text1"/>
          <w:sz w:val="32"/>
          <w:szCs w:val="32"/>
        </w:rPr>
        <w:t>二是持续开展低效用地整治提升。</w:t>
      </w:r>
      <w:r>
        <w:rPr>
          <w:rFonts w:ascii="Times New Roman" w:hAnsi="Times New Roman" w:eastAsia="仿宋" w:cs="Times New Roman"/>
          <w:sz w:val="32"/>
          <w:szCs w:val="32"/>
        </w:rPr>
        <w:t>在2023年</w:t>
      </w:r>
      <w:r>
        <w:rPr>
          <w:rFonts w:ascii="仿宋" w:hAnsi="仿宋" w:eastAsia="仿宋" w:cs="Times New Roman"/>
          <w:sz w:val="32"/>
          <w:szCs w:val="32"/>
        </w:rPr>
        <w:t>工作取得</w:t>
      </w:r>
      <w:r>
        <w:rPr>
          <w:rFonts w:hint="eastAsia" w:ascii="仿宋" w:hAnsi="仿宋" w:eastAsia="仿宋" w:cs="Times New Roman"/>
          <w:sz w:val="32"/>
          <w:szCs w:val="32"/>
        </w:rPr>
        <w:t>阶段性成效</w:t>
      </w:r>
      <w:r>
        <w:rPr>
          <w:rFonts w:ascii="仿宋" w:hAnsi="仿宋" w:eastAsia="仿宋" w:cs="Times New Roman"/>
          <w:sz w:val="32"/>
          <w:szCs w:val="32"/>
        </w:rPr>
        <w:t>并得到</w:t>
      </w:r>
      <w:r>
        <w:rPr>
          <w:rFonts w:hint="eastAsia" w:ascii="仿宋" w:hAnsi="仿宋" w:eastAsia="仿宋" w:cs="Times New Roman"/>
          <w:sz w:val="32"/>
          <w:szCs w:val="32"/>
        </w:rPr>
        <w:t>市委主要领导</w:t>
      </w:r>
      <w:r>
        <w:rPr>
          <w:rFonts w:ascii="仿宋" w:hAnsi="仿宋" w:eastAsia="仿宋" w:cs="Times New Roman"/>
          <w:sz w:val="32"/>
          <w:szCs w:val="32"/>
        </w:rPr>
        <w:t>肯定性</w:t>
      </w:r>
      <w:r>
        <w:rPr>
          <w:rFonts w:hint="eastAsia" w:ascii="仿宋" w:hAnsi="仿宋" w:eastAsia="仿宋" w:cs="Times New Roman"/>
          <w:sz w:val="32"/>
          <w:szCs w:val="32"/>
        </w:rPr>
        <w:t>批示</w:t>
      </w:r>
      <w:r>
        <w:rPr>
          <w:rFonts w:ascii="仿宋" w:hAnsi="仿宋" w:eastAsia="仿宋" w:cs="Times New Roman"/>
          <w:sz w:val="32"/>
          <w:szCs w:val="32"/>
        </w:rPr>
        <w:t>后，狠抓</w:t>
      </w:r>
      <w:r>
        <w:rPr>
          <w:rFonts w:hint="eastAsia" w:ascii="仿宋" w:hAnsi="仿宋" w:eastAsia="仿宋" w:cs="仿宋"/>
          <w:sz w:val="32"/>
          <w:szCs w:val="32"/>
        </w:rPr>
        <w:t>涉法涉诉停产、倒闭企业处置工作，建立常态化府院联动机制，联合市中院、市委市政府督查室</w:t>
      </w:r>
      <w:r>
        <w:rPr>
          <w:rFonts w:ascii="仿宋" w:hAnsi="仿宋" w:eastAsia="仿宋" w:cs="仿宋"/>
          <w:sz w:val="32"/>
          <w:szCs w:val="32"/>
        </w:rPr>
        <w:t>等部门</w:t>
      </w:r>
      <w:r>
        <w:rPr>
          <w:rFonts w:hint="eastAsia" w:ascii="仿宋" w:hAnsi="仿宋" w:eastAsia="仿宋" w:cs="仿宋"/>
          <w:sz w:val="32"/>
          <w:szCs w:val="32"/>
        </w:rPr>
        <w:t>对开发区低效用地开展多轮拉网式联合督导，对进度较慢的县（市、区）政府约谈预警</w:t>
      </w:r>
      <w:r>
        <w:rPr>
          <w:rFonts w:ascii="仿宋" w:hAnsi="仿宋" w:eastAsia="仿宋" w:cs="仿宋"/>
          <w:sz w:val="32"/>
          <w:szCs w:val="32"/>
        </w:rPr>
        <w:t>、</w:t>
      </w:r>
      <w:r>
        <w:rPr>
          <w:rFonts w:hint="eastAsia" w:ascii="仿宋" w:hAnsi="仿宋" w:eastAsia="仿宋" w:cs="仿宋"/>
          <w:sz w:val="32"/>
          <w:szCs w:val="32"/>
        </w:rPr>
        <w:t>发函督导。</w:t>
      </w:r>
      <w:r>
        <w:rPr>
          <w:rFonts w:hint="eastAsia" w:ascii="仿宋" w:hAnsi="仿宋" w:eastAsia="仿宋" w:cs="仿宋"/>
          <w:sz w:val="32"/>
          <w:szCs w:val="32"/>
          <w:lang w:val="en-US" w:eastAsia="zh-CN"/>
        </w:rPr>
        <w:t>2024年</w:t>
      </w:r>
      <w:r>
        <w:rPr>
          <w:rFonts w:hint="eastAsia" w:ascii="仿宋" w:hAnsi="仿宋" w:eastAsia="仿宋" w:cs="仿宋"/>
          <w:sz w:val="32"/>
          <w:szCs w:val="32"/>
        </w:rPr>
        <w:t>，全市开发区已处置完成停产、倒闭企业</w:t>
      </w:r>
      <w:r>
        <w:rPr>
          <w:rFonts w:ascii="Times New Roman" w:hAnsi="Times New Roman" w:eastAsia="仿宋" w:cs="Times New Roman"/>
          <w:sz w:val="32"/>
          <w:szCs w:val="32"/>
        </w:rPr>
        <w:t>170家</w:t>
      </w:r>
      <w:r>
        <w:rPr>
          <w:rFonts w:hint="eastAsia" w:ascii="Times New Roman" w:hAnsi="Times New Roman" w:eastAsia="仿宋" w:cs="Times New Roman"/>
          <w:sz w:val="32"/>
          <w:szCs w:val="32"/>
          <w:lang w:eastAsia="zh-CN"/>
        </w:rPr>
        <w:t>。</w:t>
      </w:r>
      <w:r>
        <w:rPr>
          <w:rFonts w:ascii="仿宋" w:hAnsi="仿宋" w:eastAsia="仿宋" w:cs="楷体_GB2312"/>
          <w:b/>
          <w:bCs/>
          <w:sz w:val="32"/>
          <w:szCs w:val="32"/>
        </w:rPr>
        <w:t>三是</w:t>
      </w:r>
      <w:r>
        <w:rPr>
          <w:rFonts w:hint="eastAsia" w:ascii="仿宋" w:hAnsi="仿宋" w:eastAsia="仿宋" w:cs="楷体_GB2312"/>
          <w:b/>
          <w:bCs/>
          <w:sz w:val="32"/>
          <w:szCs w:val="32"/>
        </w:rPr>
        <w:t>全面摸底低成本化园区建设情况。</w:t>
      </w:r>
      <w:r>
        <w:rPr>
          <w:rFonts w:hint="eastAsia" w:ascii="仿宋" w:hAnsi="仿宋" w:eastAsia="仿宋" w:cs="仿宋"/>
          <w:sz w:val="32"/>
          <w:szCs w:val="32"/>
        </w:rPr>
        <w:t>会同市委市政府督查室针对影响园区企业投资运营成本的用地、用能、基础设施配套服务等主要因素进行专项调研，多次组织市直</w:t>
      </w:r>
      <w:r>
        <w:rPr>
          <w:rFonts w:ascii="仿宋" w:hAnsi="仿宋" w:eastAsia="仿宋" w:cs="仿宋"/>
          <w:sz w:val="32"/>
          <w:szCs w:val="32"/>
        </w:rPr>
        <w:t>有</w:t>
      </w:r>
      <w:r>
        <w:rPr>
          <w:rFonts w:hint="eastAsia" w:ascii="仿宋" w:hAnsi="仿宋" w:eastAsia="仿宋" w:cs="仿宋"/>
          <w:sz w:val="32"/>
          <w:szCs w:val="32"/>
        </w:rPr>
        <w:t>关部门召开座谈会，</w:t>
      </w:r>
      <w:r>
        <w:rPr>
          <w:rFonts w:ascii="仿宋" w:hAnsi="仿宋" w:eastAsia="仿宋" w:cs="仿宋"/>
          <w:sz w:val="32"/>
          <w:szCs w:val="32"/>
        </w:rPr>
        <w:t>参照先进地市</w:t>
      </w:r>
      <w:r>
        <w:rPr>
          <w:rFonts w:hint="eastAsia" w:ascii="仿宋" w:hAnsi="仿宋" w:eastAsia="仿宋" w:cs="仿宋"/>
          <w:sz w:val="32"/>
          <w:szCs w:val="32"/>
        </w:rPr>
        <w:t>对我市开发区情况进行分析研判，总结经验做法提出工作建议，推动出台《石家庄市人大常委会关于加快打造具有坚强配套服务能力低成本化园区的决定》</w:t>
      </w:r>
      <w:r>
        <w:rPr>
          <w:rFonts w:ascii="仿宋" w:hAnsi="仿宋" w:eastAsia="仿宋" w:cs="仿宋"/>
          <w:sz w:val="32"/>
          <w:szCs w:val="32"/>
        </w:rPr>
        <w:t>，同时</w:t>
      </w:r>
      <w:r>
        <w:rPr>
          <w:rFonts w:hint="eastAsia" w:ascii="仿宋" w:hAnsi="仿宋" w:eastAsia="仿宋" w:cs="仿宋"/>
          <w:sz w:val="32"/>
          <w:szCs w:val="32"/>
        </w:rPr>
        <w:t>为市委市政府提供决策依据。</w:t>
      </w:r>
      <w:r>
        <w:rPr>
          <w:rFonts w:hint="eastAsia" w:ascii="仿宋" w:hAnsi="仿宋" w:eastAsia="仿宋" w:cs="楷体_GB2312"/>
          <w:b/>
          <w:bCs/>
          <w:sz w:val="32"/>
          <w:szCs w:val="32"/>
        </w:rPr>
        <w:t>四是统筹指导开发区调区扩区托管。</w:t>
      </w:r>
      <w:r>
        <w:rPr>
          <w:rFonts w:hint="eastAsia" w:ascii="仿宋" w:hAnsi="仿宋" w:eastAsia="仿宋" w:cs="Songti SC"/>
          <w:kern w:val="0"/>
          <w:sz w:val="32"/>
          <w:szCs w:val="32"/>
        </w:rPr>
        <w:t>支持开发区充分利用国土空间规划调整契机，通过扩区、调区和托管等方式，集中要素资源做大做强核心区，鹿泉经开区完成托管增容，行唐经开区、高邑经开区实现调区，充分考虑园区产业发展需求，优先保障产业建设用地和发展空间。</w:t>
      </w:r>
      <w:r>
        <w:rPr>
          <w:rFonts w:ascii="Times New Roman" w:hAnsi="Times New Roman" w:eastAsia="仿宋" w:cs="Times New Roman"/>
          <w:kern w:val="0"/>
          <w:sz w:val="32"/>
          <w:szCs w:val="32"/>
        </w:rPr>
        <w:t>1</w:t>
      </w:r>
      <w:r>
        <w:rPr>
          <w:rFonts w:ascii="仿宋" w:hAnsi="仿宋" w:eastAsia="仿宋" w:cs="Times New Roman"/>
          <w:kern w:val="0"/>
          <w:sz w:val="32"/>
          <w:szCs w:val="32"/>
        </w:rPr>
        <w:t>—</w:t>
      </w:r>
      <w:r>
        <w:rPr>
          <w:rFonts w:ascii="Times New Roman" w:hAnsi="Times New Roman" w:eastAsia="仿宋" w:cs="Times New Roman"/>
          <w:kern w:val="0"/>
          <w:sz w:val="32"/>
          <w:szCs w:val="32"/>
        </w:rPr>
        <w:t>1</w:t>
      </w:r>
      <w:r>
        <w:rPr>
          <w:rFonts w:hint="eastAsia" w:ascii="Times New Roman" w:hAnsi="Times New Roman" w:eastAsia="仿宋" w:cs="Times New Roman"/>
          <w:kern w:val="0"/>
          <w:sz w:val="32"/>
          <w:szCs w:val="32"/>
          <w:lang w:val="en-US" w:eastAsia="zh-CN"/>
        </w:rPr>
        <w:t>2</w:t>
      </w:r>
      <w:r>
        <w:rPr>
          <w:rFonts w:ascii="Times New Roman" w:hAnsi="Times New Roman" w:eastAsia="仿宋" w:cs="Times New Roman"/>
          <w:kern w:val="0"/>
          <w:sz w:val="32"/>
          <w:szCs w:val="32"/>
        </w:rPr>
        <w:t>月，全市开发区实现营业收入同比增长9.</w:t>
      </w:r>
      <w:r>
        <w:rPr>
          <w:rFonts w:hint="eastAsia" w:ascii="Times New Roman" w:hAnsi="Times New Roman" w:eastAsia="仿宋" w:cs="Times New Roman"/>
          <w:kern w:val="0"/>
          <w:sz w:val="32"/>
          <w:szCs w:val="32"/>
          <w:lang w:val="en-US" w:eastAsia="zh-CN"/>
        </w:rPr>
        <w:t>7</w:t>
      </w:r>
      <w:r>
        <w:rPr>
          <w:rFonts w:ascii="Times New Roman" w:hAnsi="Times New Roman" w:eastAsia="仿宋" w:cs="Times New Roman"/>
          <w:kern w:val="0"/>
          <w:sz w:val="32"/>
          <w:szCs w:val="32"/>
        </w:rPr>
        <w:t>%</w:t>
      </w:r>
      <w:r>
        <w:rPr>
          <w:rFonts w:hint="eastAsia" w:ascii="仿宋" w:hAnsi="仿宋" w:eastAsia="仿宋" w:cs="Songti SC"/>
          <w:kern w:val="0"/>
          <w:sz w:val="32"/>
          <w:szCs w:val="32"/>
        </w:rPr>
        <w:t>。</w:t>
      </w:r>
    </w:p>
    <w:p w14:paraId="69339F52">
      <w:pPr>
        <w:adjustRightInd w:val="0"/>
        <w:snapToGrid w:val="0"/>
        <w:spacing w:line="560" w:lineRule="exact"/>
        <w:ind w:firstLine="640" w:firstLineChars="200"/>
        <w:outlineLvl w:val="0"/>
        <w:rPr>
          <w:rFonts w:ascii="黑体" w:hAnsi="黑体" w:eastAsia="黑体"/>
          <w:sz w:val="32"/>
          <w:szCs w:val="32"/>
        </w:rPr>
      </w:pPr>
      <w:r>
        <w:rPr>
          <w:rFonts w:hint="eastAsia" w:ascii="黑体" w:hAnsi="黑体" w:eastAsia="黑体"/>
          <w:sz w:val="32"/>
          <w:szCs w:val="32"/>
        </w:rPr>
        <w:t>四、评价结论和评价等级</w:t>
      </w:r>
      <w:bookmarkEnd w:id="20"/>
    </w:p>
    <w:p w14:paraId="7C73EF0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w:t>
      </w:r>
      <w:r>
        <w:rPr>
          <w:rFonts w:hint="eastAsia" w:ascii="仿宋" w:hAnsi="仿宋" w:eastAsia="仿宋"/>
          <w:sz w:val="32"/>
          <w:szCs w:val="32"/>
          <w:lang w:eastAsia="zh-CN"/>
        </w:rPr>
        <w:t>我</w:t>
      </w:r>
      <w:r>
        <w:rPr>
          <w:rFonts w:hint="eastAsia" w:ascii="仿宋" w:hAnsi="仿宋" w:eastAsia="仿宋"/>
          <w:sz w:val="32"/>
          <w:szCs w:val="32"/>
        </w:rPr>
        <w:t>部门整体支出</w:t>
      </w:r>
      <w:r>
        <w:rPr>
          <w:rFonts w:hint="eastAsia" w:ascii="仿宋" w:hAnsi="仿宋" w:eastAsia="仿宋"/>
          <w:sz w:val="32"/>
          <w:szCs w:val="32"/>
          <w:lang w:val="en-US" w:eastAsia="zh-CN"/>
        </w:rPr>
        <w:t>绩效评价</w:t>
      </w:r>
      <w:r>
        <w:rPr>
          <w:rFonts w:hint="eastAsia" w:ascii="仿宋" w:hAnsi="仿宋" w:eastAsia="仿宋"/>
          <w:sz w:val="32"/>
          <w:szCs w:val="32"/>
        </w:rPr>
        <w:t>综合得分为</w:t>
      </w:r>
      <w:r>
        <w:rPr>
          <w:rFonts w:hint="eastAsia" w:ascii="仿宋" w:hAnsi="仿宋" w:eastAsia="仿宋"/>
          <w:sz w:val="32"/>
          <w:szCs w:val="32"/>
          <w:lang w:val="en-US" w:eastAsia="zh-CN"/>
        </w:rPr>
        <w:t>98.2</w:t>
      </w:r>
      <w:r>
        <w:rPr>
          <w:rFonts w:hint="eastAsia" w:ascii="仿宋" w:hAnsi="仿宋" w:eastAsia="仿宋"/>
          <w:sz w:val="32"/>
          <w:szCs w:val="32"/>
        </w:rPr>
        <w:t>分，等级为“优秀”。</w:t>
      </w:r>
    </w:p>
    <w:p w14:paraId="06A571AE">
      <w:pPr>
        <w:adjustRightInd w:val="0"/>
        <w:snapToGrid w:val="0"/>
        <w:spacing w:line="560" w:lineRule="exact"/>
        <w:ind w:firstLine="640" w:firstLineChars="200"/>
        <w:outlineLvl w:val="0"/>
        <w:rPr>
          <w:rFonts w:ascii="黑体" w:hAnsi="黑体" w:eastAsia="黑体"/>
          <w:sz w:val="32"/>
          <w:szCs w:val="32"/>
        </w:rPr>
      </w:pPr>
      <w:bookmarkStart w:id="21" w:name="_Toc26895"/>
      <w:r>
        <w:rPr>
          <w:rFonts w:hint="eastAsia" w:ascii="黑体" w:hAnsi="黑体" w:eastAsia="黑体"/>
          <w:sz w:val="32"/>
          <w:szCs w:val="32"/>
        </w:rPr>
        <w:t>五、存在的问题及改进措施</w:t>
      </w:r>
      <w:bookmarkEnd w:id="21"/>
    </w:p>
    <w:p w14:paraId="1406D231">
      <w:pPr>
        <w:adjustRightInd w:val="0"/>
        <w:snapToGrid w:val="0"/>
        <w:spacing w:line="560" w:lineRule="exact"/>
        <w:ind w:firstLine="640" w:firstLineChars="200"/>
        <w:outlineLvl w:val="1"/>
        <w:rPr>
          <w:rFonts w:ascii="楷体" w:hAnsi="楷体" w:eastAsia="楷体" w:cs="楷体_GB2312"/>
          <w:bCs/>
          <w:sz w:val="32"/>
          <w:szCs w:val="32"/>
        </w:rPr>
      </w:pPr>
      <w:bookmarkStart w:id="22" w:name="_Toc6352"/>
      <w:r>
        <w:rPr>
          <w:rFonts w:hint="eastAsia" w:ascii="楷体" w:hAnsi="楷体" w:eastAsia="楷体" w:cs="楷体_GB2312"/>
          <w:bCs/>
          <w:sz w:val="32"/>
          <w:szCs w:val="32"/>
        </w:rPr>
        <w:t>（一）存在的主要问题</w:t>
      </w:r>
      <w:bookmarkEnd w:id="22"/>
    </w:p>
    <w:p w14:paraId="5C496C3F">
      <w:pPr>
        <w:pStyle w:val="7"/>
        <w:spacing w:line="560" w:lineRule="exact"/>
        <w:ind w:left="0" w:firstLine="640" w:firstLineChars="200"/>
        <w:rPr>
          <w:rFonts w:ascii="仿宋" w:hAnsi="仿宋" w:eastAsia="仿宋" w:cs="仿宋"/>
          <w:sz w:val="32"/>
          <w:szCs w:val="32"/>
        </w:rPr>
      </w:pPr>
      <w:r>
        <w:rPr>
          <w:rFonts w:hint="eastAsia" w:ascii="仿宋" w:hAnsi="仿宋" w:eastAsia="仿宋" w:cs="仿宋"/>
          <w:sz w:val="32"/>
          <w:szCs w:val="32"/>
        </w:rPr>
        <w:t>绩效标准基本切实可行、客观合理，能够实际执行或实现，能够便于评价和衡量。但通过绩效自评倒查发现，有个别项目期初绩效标准设置不够全面、准确的反映项目绩效目标，标准设置不够量化、细化，绩效标准设置有待提升。</w:t>
      </w:r>
    </w:p>
    <w:p w14:paraId="07CA99FC">
      <w:pPr>
        <w:adjustRightInd w:val="0"/>
        <w:snapToGrid w:val="0"/>
        <w:spacing w:line="560" w:lineRule="exact"/>
        <w:ind w:firstLine="640" w:firstLineChars="200"/>
        <w:outlineLvl w:val="1"/>
        <w:rPr>
          <w:rFonts w:ascii="楷体" w:hAnsi="楷体" w:eastAsia="楷体" w:cs="楷体_GB2312"/>
          <w:bCs/>
          <w:sz w:val="32"/>
          <w:szCs w:val="32"/>
        </w:rPr>
      </w:pPr>
      <w:bookmarkStart w:id="23" w:name="_Toc17156"/>
      <w:r>
        <w:rPr>
          <w:rFonts w:hint="eastAsia" w:ascii="楷体" w:hAnsi="楷体" w:eastAsia="楷体" w:cs="楷体_GB2312"/>
          <w:bCs/>
          <w:sz w:val="32"/>
          <w:szCs w:val="32"/>
        </w:rPr>
        <w:t>（二）针对问题提出具体的改进措施或建议</w:t>
      </w:r>
      <w:bookmarkEnd w:id="23"/>
    </w:p>
    <w:p w14:paraId="0DFE7AC1">
      <w:pPr>
        <w:adjustRightInd w:val="0"/>
        <w:snapToGrid w:val="0"/>
        <w:spacing w:line="560" w:lineRule="exact"/>
        <w:ind w:firstLine="640" w:firstLineChars="200"/>
        <w:rPr>
          <w:rFonts w:hint="default" w:ascii="仿宋" w:hAnsi="仿宋" w:eastAsia="仿宋" w:cs="仿宋"/>
          <w:snapToGrid w:val="0"/>
          <w:kern w:val="0"/>
          <w:sz w:val="32"/>
          <w:szCs w:val="32"/>
          <w:lang w:val="en-US" w:eastAsia="zh-CN"/>
        </w:rPr>
      </w:pPr>
      <w:bookmarkStart w:id="24" w:name="_Toc22702"/>
      <w:r>
        <w:rPr>
          <w:rFonts w:hint="eastAsia" w:ascii="仿宋" w:hAnsi="仿宋" w:eastAsia="仿宋" w:cs="仿宋"/>
          <w:sz w:val="32"/>
          <w:lang w:val="en-US" w:eastAsia="zh-CN"/>
        </w:rPr>
        <w:t>1.加强预算绩效管理</w:t>
      </w:r>
      <w:r>
        <w:rPr>
          <w:rFonts w:hint="eastAsia" w:ascii="仿宋" w:hAnsi="仿宋" w:eastAsia="仿宋" w:cs="仿宋"/>
          <w:snapToGrid w:val="0"/>
          <w:kern w:val="0"/>
          <w:sz w:val="32"/>
          <w:szCs w:val="32"/>
          <w:lang w:val="en-US" w:eastAsia="zh-CN"/>
        </w:rPr>
        <w:t>水平，提高资金支出进度。按照支出计划及时支付，保证项目绩效目标中</w:t>
      </w:r>
      <w:r>
        <w:rPr>
          <w:rFonts w:hint="eastAsia" w:ascii="仿宋" w:hAnsi="仿宋" w:eastAsia="仿宋" w:cs="仿宋"/>
          <w:snapToGrid w:val="0"/>
          <w:kern w:val="0"/>
          <w:sz w:val="32"/>
          <w:szCs w:val="32"/>
          <w:highlight w:val="none"/>
          <w:lang w:val="en-US" w:eastAsia="zh-CN"/>
        </w:rPr>
        <w:t>的各项指标，</w:t>
      </w:r>
      <w:r>
        <w:rPr>
          <w:rFonts w:hint="eastAsia" w:ascii="仿宋" w:hAnsi="仿宋" w:eastAsia="仿宋" w:cs="仿宋"/>
          <w:kern w:val="0"/>
          <w:sz w:val="32"/>
          <w:szCs w:val="32"/>
          <w:highlight w:val="none"/>
          <w:lang w:val="en-US" w:eastAsia="zh-CN"/>
        </w:rPr>
        <w:t>使项目效益能够完全实现</w:t>
      </w:r>
      <w:r>
        <w:rPr>
          <w:rFonts w:hint="eastAsia" w:ascii="仿宋" w:hAnsi="仿宋" w:eastAsia="仿宋" w:cs="仿宋"/>
          <w:snapToGrid w:val="0"/>
          <w:kern w:val="0"/>
          <w:sz w:val="32"/>
          <w:szCs w:val="32"/>
          <w:highlight w:val="none"/>
          <w:lang w:val="en-US" w:eastAsia="zh-CN"/>
        </w:rPr>
        <w:t>。</w:t>
      </w:r>
    </w:p>
    <w:p w14:paraId="1B858815">
      <w:pPr>
        <w:adjustRightInd w:val="0"/>
        <w:snapToGrid w:val="0"/>
        <w:spacing w:line="560" w:lineRule="exact"/>
        <w:ind w:firstLine="640" w:firstLineChars="200"/>
        <w:rPr>
          <w:rFonts w:hint="eastAsia" w:eastAsia="仿宋" w:cs="Times New Roman"/>
          <w:sz w:val="32"/>
        </w:rPr>
      </w:pPr>
      <w:r>
        <w:rPr>
          <w:rFonts w:hint="eastAsia" w:ascii="仿宋" w:hAnsi="仿宋" w:eastAsia="仿宋" w:cs="仿宋"/>
          <w:sz w:val="32"/>
        </w:rPr>
        <w:t>2.提高</w:t>
      </w:r>
      <w:r>
        <w:rPr>
          <w:rFonts w:hint="eastAsia" w:eastAsia="仿宋" w:cs="Times New Roman"/>
          <w:sz w:val="32"/>
        </w:rPr>
        <w:t>部门绩效管理意识，把绩效理念融入到预算编制、执行、监督管理的全过程，不断完善制度建设，规范内部管理，坚持建章立制。</w:t>
      </w:r>
    </w:p>
    <w:p w14:paraId="50DA8710">
      <w:pPr>
        <w:adjustRightInd w:val="0"/>
        <w:snapToGrid w:val="0"/>
        <w:spacing w:line="560" w:lineRule="exact"/>
        <w:ind w:firstLine="640" w:firstLineChars="200"/>
        <w:rPr>
          <w:rFonts w:ascii="Times New Roman" w:hAnsi="Times New Roman" w:eastAsia="仿宋" w:cs="Times New Roman"/>
          <w:sz w:val="32"/>
        </w:rPr>
      </w:pPr>
      <w:r>
        <w:rPr>
          <w:rFonts w:hint="eastAsia" w:ascii="仿宋" w:hAnsi="仿宋" w:eastAsia="仿宋" w:cs="仿宋"/>
          <w:snapToGrid w:val="0"/>
          <w:kern w:val="0"/>
          <w:sz w:val="32"/>
          <w:szCs w:val="32"/>
          <w:lang w:val="en-US" w:eastAsia="zh-CN"/>
        </w:rPr>
        <w:t>下一步将加强预算绩效管理指导，增强各个科室的预算绩效管理意识，</w:t>
      </w:r>
      <w:r>
        <w:rPr>
          <w:rFonts w:hint="eastAsia" w:ascii="仿宋" w:hAnsi="仿宋" w:eastAsia="仿宋" w:cs="仿宋"/>
          <w:kern w:val="0"/>
          <w:sz w:val="32"/>
          <w:szCs w:val="32"/>
          <w:lang w:val="en-US" w:eastAsia="zh-CN"/>
        </w:rPr>
        <w:t>梳理项目预期产生的产出和效果，精准测算项目预算，</w:t>
      </w:r>
      <w:r>
        <w:rPr>
          <w:rFonts w:hint="eastAsia" w:ascii="仿宋" w:hAnsi="仿宋" w:eastAsia="仿宋" w:cs="仿宋"/>
          <w:kern w:val="0"/>
          <w:sz w:val="32"/>
          <w:szCs w:val="32"/>
        </w:rPr>
        <w:t>对于预计年度内无法全部支出的项目及时履行预算调整程序，</w:t>
      </w:r>
      <w:r>
        <w:rPr>
          <w:rFonts w:hint="eastAsia" w:ascii="仿宋" w:hAnsi="仿宋" w:eastAsia="仿宋" w:cs="仿宋"/>
          <w:kern w:val="0"/>
          <w:sz w:val="32"/>
          <w:szCs w:val="32"/>
          <w:lang w:val="en-US" w:eastAsia="zh-CN"/>
        </w:rPr>
        <w:t>确保</w:t>
      </w:r>
      <w:r>
        <w:rPr>
          <w:rFonts w:hint="eastAsia" w:ascii="仿宋" w:hAnsi="仿宋" w:eastAsia="仿宋" w:cs="仿宋"/>
          <w:kern w:val="0"/>
          <w:sz w:val="32"/>
          <w:szCs w:val="32"/>
        </w:rPr>
        <w:t>预算</w:t>
      </w:r>
      <w:r>
        <w:rPr>
          <w:rFonts w:hint="eastAsia" w:ascii="仿宋" w:hAnsi="仿宋" w:eastAsia="仿宋" w:cs="仿宋"/>
          <w:kern w:val="0"/>
          <w:sz w:val="32"/>
          <w:szCs w:val="32"/>
          <w:lang w:val="en-US" w:eastAsia="zh-CN"/>
        </w:rPr>
        <w:t>执行有效</w:t>
      </w:r>
      <w:r>
        <w:rPr>
          <w:rFonts w:hint="eastAsia" w:ascii="仿宋" w:hAnsi="仿宋" w:eastAsia="仿宋" w:cs="仿宋"/>
          <w:snapToGrid w:val="0"/>
          <w:kern w:val="0"/>
          <w:sz w:val="32"/>
          <w:szCs w:val="32"/>
          <w:highlight w:val="none"/>
          <w:lang w:val="en-US" w:eastAsia="zh-CN"/>
        </w:rPr>
        <w:t>。</w:t>
      </w:r>
    </w:p>
    <w:p w14:paraId="494DB159">
      <w:pPr>
        <w:adjustRightInd w:val="0"/>
        <w:snapToGrid w:val="0"/>
        <w:spacing w:line="560" w:lineRule="exact"/>
        <w:ind w:firstLine="640" w:firstLineChars="200"/>
        <w:outlineLvl w:val="0"/>
        <w:rPr>
          <w:rFonts w:ascii="仿宋" w:hAnsi="仿宋" w:eastAsia="仿宋" w:cs="Times New Roman"/>
          <w:bCs/>
          <w:sz w:val="32"/>
          <w:szCs w:val="32"/>
          <w:highlight w:val="yellow"/>
        </w:rPr>
      </w:pPr>
      <w:r>
        <w:rPr>
          <w:rFonts w:hint="eastAsia" w:ascii="黑体" w:hAnsi="黑体" w:eastAsia="黑体"/>
          <w:sz w:val="32"/>
          <w:szCs w:val="32"/>
        </w:rPr>
        <w:t>六、评价工作组人员名单及签字</w:t>
      </w:r>
      <w:bookmarkEnd w:id="24"/>
    </w:p>
    <w:p w14:paraId="429C65B3">
      <w:pPr>
        <w:spacing w:line="560" w:lineRule="exact"/>
        <w:ind w:firstLine="640" w:firstLineChars="200"/>
        <w:rPr>
          <w:rFonts w:hint="eastAsia" w:ascii="仿宋" w:hAnsi="仿宋" w:eastAsia="仿宋"/>
          <w:bCs/>
          <w:sz w:val="32"/>
          <w:szCs w:val="32"/>
          <w:lang w:val="en-US" w:eastAsia="zh-CN"/>
        </w:rPr>
      </w:pPr>
      <w:r>
        <w:rPr>
          <w:rFonts w:hint="eastAsia" w:ascii="仿宋" w:hAnsi="仿宋" w:eastAsia="仿宋"/>
          <w:bCs/>
          <w:sz w:val="32"/>
          <w:szCs w:val="32"/>
        </w:rPr>
        <w:t>组  长：</w:t>
      </w:r>
      <w:r>
        <w:rPr>
          <w:rFonts w:hint="eastAsia" w:ascii="仿宋" w:hAnsi="仿宋" w:eastAsia="仿宋"/>
          <w:sz w:val="32"/>
          <w:szCs w:val="32"/>
        </w:rPr>
        <w:t>樊石磊</w:t>
      </w:r>
      <w:r>
        <w:rPr>
          <w:rFonts w:hint="eastAsia" w:ascii="仿宋" w:hAnsi="仿宋" w:eastAsia="仿宋"/>
          <w:bCs/>
          <w:sz w:val="32"/>
          <w:szCs w:val="32"/>
        </w:rPr>
        <w:t xml:space="preserve">  </w:t>
      </w:r>
      <w:r>
        <w:rPr>
          <w:rFonts w:hint="eastAsia" w:ascii="仿宋" w:hAnsi="仿宋" w:eastAsia="仿宋"/>
          <w:bCs/>
          <w:sz w:val="32"/>
          <w:szCs w:val="32"/>
          <w:lang w:val="en-US" w:eastAsia="zh-CN"/>
        </w:rPr>
        <w:t>副局长</w:t>
      </w:r>
    </w:p>
    <w:p w14:paraId="5D6BB6A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副组长</w:t>
      </w:r>
      <w:r>
        <w:rPr>
          <w:rFonts w:hint="eastAsia" w:ascii="仿宋" w:hAnsi="仿宋" w:eastAsia="仿宋"/>
          <w:sz w:val="32"/>
          <w:szCs w:val="32"/>
        </w:rPr>
        <w:t>：姜嘉伟、李曼、</w:t>
      </w:r>
      <w:r>
        <w:rPr>
          <w:rFonts w:hint="eastAsia" w:ascii="仿宋" w:hAnsi="仿宋" w:eastAsia="仿宋"/>
          <w:sz w:val="32"/>
          <w:szCs w:val="32"/>
          <w:lang w:val="en-US" w:eastAsia="zh-CN"/>
        </w:rPr>
        <w:t>吴恺、</w:t>
      </w:r>
      <w:r>
        <w:rPr>
          <w:rFonts w:hint="eastAsia" w:ascii="仿宋" w:hAnsi="仿宋" w:eastAsia="仿宋"/>
          <w:sz w:val="32"/>
          <w:szCs w:val="32"/>
        </w:rPr>
        <w:t>李浩田、曹地、唐佳佳、</w:t>
      </w:r>
      <w:r>
        <w:rPr>
          <w:rFonts w:hint="eastAsia" w:ascii="仿宋" w:hAnsi="仿宋" w:eastAsia="仿宋"/>
          <w:sz w:val="32"/>
          <w:szCs w:val="32"/>
          <w:lang w:val="en-US" w:eastAsia="zh-CN"/>
        </w:rPr>
        <w:t>李蕴涵</w:t>
      </w:r>
      <w:r>
        <w:rPr>
          <w:rFonts w:hint="eastAsia" w:ascii="仿宋" w:hAnsi="仿宋" w:eastAsia="仿宋" w:cs="仿宋"/>
          <w:sz w:val="32"/>
          <w:szCs w:val="32"/>
        </w:rPr>
        <w:t>（均为</w:t>
      </w:r>
      <w:r>
        <w:rPr>
          <w:rFonts w:hint="eastAsia" w:ascii="仿宋" w:hAnsi="仿宋" w:eastAsia="仿宋" w:cs="仿宋"/>
          <w:sz w:val="32"/>
          <w:szCs w:val="32"/>
          <w:lang w:val="en-US" w:eastAsia="zh-CN"/>
        </w:rPr>
        <w:t>科</w:t>
      </w:r>
      <w:r>
        <w:rPr>
          <w:rFonts w:hint="eastAsia" w:ascii="仿宋" w:hAnsi="仿宋" w:eastAsia="仿宋" w:cs="仿宋"/>
          <w:sz w:val="32"/>
          <w:szCs w:val="32"/>
        </w:rPr>
        <w:t>室</w:t>
      </w:r>
      <w:r>
        <w:rPr>
          <w:rFonts w:hint="eastAsia" w:ascii="仿宋" w:hAnsi="仿宋" w:eastAsia="仿宋" w:cs="仿宋"/>
          <w:sz w:val="32"/>
          <w:szCs w:val="32"/>
          <w:lang w:val="en-US" w:eastAsia="zh-CN"/>
        </w:rPr>
        <w:t>负责人</w:t>
      </w:r>
      <w:r>
        <w:rPr>
          <w:rFonts w:hint="eastAsia" w:ascii="仿宋" w:hAnsi="仿宋" w:eastAsia="仿宋" w:cs="仿宋"/>
          <w:sz w:val="32"/>
          <w:szCs w:val="32"/>
        </w:rPr>
        <w:t>）</w:t>
      </w:r>
      <w:bookmarkStart w:id="25" w:name="_GoBack"/>
      <w:bookmarkEnd w:id="25"/>
    </w:p>
    <w:p w14:paraId="37723A28">
      <w:pPr>
        <w:spacing w:line="560" w:lineRule="exact"/>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成  员：任婧、徐倩（财务人员）</w:t>
      </w:r>
    </w:p>
    <w:p w14:paraId="057118B2">
      <w:pPr>
        <w:spacing w:line="560" w:lineRule="exact"/>
        <w:jc w:val="right"/>
        <w:rPr>
          <w:rFonts w:hint="eastAsia" w:ascii="仿宋" w:hAnsi="仿宋" w:eastAsia="仿宋"/>
          <w:sz w:val="32"/>
          <w:szCs w:val="32"/>
        </w:rPr>
      </w:pPr>
    </w:p>
    <w:p w14:paraId="73616826">
      <w:pPr>
        <w:spacing w:line="560" w:lineRule="exact"/>
        <w:jc w:val="right"/>
        <w:rPr>
          <w:rFonts w:ascii="仿宋" w:hAnsi="仿宋" w:eastAsia="仿宋"/>
          <w:sz w:val="32"/>
          <w:szCs w:val="32"/>
        </w:rPr>
      </w:pPr>
      <w:r>
        <w:rPr>
          <w:rFonts w:hint="eastAsia" w:ascii="仿宋" w:hAnsi="仿宋" w:eastAsia="仿宋"/>
          <w:sz w:val="32"/>
          <w:szCs w:val="32"/>
        </w:rPr>
        <w:t>石家庄市投资促进局</w:t>
      </w:r>
    </w:p>
    <w:p w14:paraId="7AE567B9">
      <w:pPr>
        <w:spacing w:line="560" w:lineRule="exact"/>
        <w:jc w:val="right"/>
        <w:rPr>
          <w:rFonts w:ascii="仿宋" w:hAnsi="仿宋" w:eastAsia="仿宋"/>
        </w:rPr>
      </w:pPr>
      <w:r>
        <w:rPr>
          <w:rFonts w:hint="eastAsia" w:ascii="仿宋" w:hAnsi="仿宋" w:eastAsia="仿宋"/>
          <w:sz w:val="32"/>
          <w:szCs w:val="32"/>
        </w:rPr>
        <w:t xml:space="preserve">                                        202</w:t>
      </w:r>
      <w:r>
        <w:rPr>
          <w:rFonts w:hint="eastAsia" w:ascii="仿宋" w:hAnsi="仿宋" w:eastAsia="仿宋"/>
          <w:sz w:val="32"/>
          <w:szCs w:val="32"/>
          <w:lang w:val="en-US" w:eastAsia="zh-CN"/>
        </w:rPr>
        <w:t>5</w:t>
      </w:r>
      <w:r>
        <w:rPr>
          <w:rFonts w:hint="eastAsia" w:ascii="仿宋" w:hAnsi="仿宋" w:eastAsia="仿宋"/>
          <w:sz w:val="32"/>
          <w:szCs w:val="32"/>
        </w:rPr>
        <w:t>年3月</w:t>
      </w:r>
      <w:r>
        <w:rPr>
          <w:rFonts w:hint="eastAsia" w:ascii="仿宋" w:hAnsi="仿宋" w:eastAsia="仿宋"/>
          <w:sz w:val="32"/>
          <w:szCs w:val="32"/>
          <w:lang w:val="en-US" w:eastAsia="zh-CN"/>
        </w:rPr>
        <w:t>28</w:t>
      </w:r>
      <w:r>
        <w:rPr>
          <w:rFonts w:hint="eastAsia" w:ascii="仿宋" w:hAnsi="仿宋" w:eastAsia="仿宋"/>
          <w:sz w:val="32"/>
          <w:szCs w:val="32"/>
        </w:rPr>
        <w:t>日</w:t>
      </w:r>
    </w:p>
    <w:p w14:paraId="5ACD45E9"/>
    <w:sectPr>
      <w:footerReference r:id="rId6" w:type="default"/>
      <w:pgSz w:w="11906" w:h="16838"/>
      <w:pgMar w:top="1440" w:right="1474" w:bottom="1440" w:left="1587"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Songti SC">
    <w:altName w:val="微软雅黑"/>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E5FE2">
    <w:pPr>
      <w:pStyle w:val="5"/>
    </w:pPr>
    <w:r>
      <w:rPr>
        <w:sz w:val="18"/>
      </w:rPr>
      <w:pict>
        <v:shape id="_x0000_s4104" o:spid="_x0000_s410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16404D4F">
                <w:pPr>
                  <w:pStyle w:val="5"/>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319A5">
    <w:pPr>
      <w:pStyle w:val="5"/>
    </w:pPr>
    <w:r>
      <w:rPr>
        <w:sz w:val="18"/>
      </w:rPr>
      <w:pict>
        <v:shape id="_x0000_s4105" o:spid="_x0000_s4105"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072F5133">
                <w:pPr>
                  <w:pStyle w:val="5"/>
                </w:pPr>
                <w:r>
                  <w:fldChar w:fldCharType="begin"/>
                </w:r>
                <w:r>
                  <w:instrText xml:space="preserve"> PAGE  \* MERGEFORMAT </w:instrText>
                </w:r>
                <w:r>
                  <w:fldChar w:fldCharType="separate"/>
                </w:r>
                <w:r>
                  <w:t>- 1 -</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5"/>
      <w:tabs>
        <w:tab w:val="center" w:pos="4422"/>
        <w:tab w:val="clear" w:pos="4153"/>
      </w:tabs>
      <w:rPr>
        <w:rFonts w:hint="eastAsia" w:eastAsia="宋体"/>
        <w:lang w:eastAsia="zh-CN"/>
      </w:rPr>
    </w:pPr>
    <w:r>
      <w:rPr>
        <w:sz w:val="18"/>
      </w:rPr>
      <w:pict>
        <v:shape id="_x0000_s4106" o:spid="_x0000_s4106"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12802AAF">
                <w:pPr>
                  <w:pStyle w:val="5"/>
                </w:pPr>
                <w:r>
                  <w:fldChar w:fldCharType="begin"/>
                </w:r>
                <w:r>
                  <w:instrText xml:space="preserve"> PAGE  \* MERGEFORMAT </w:instrText>
                </w:r>
                <w:r>
                  <w:fldChar w:fldCharType="separate"/>
                </w:r>
                <w:r>
                  <w:t>- 2 -</w:t>
                </w:r>
                <w:r>
                  <w:fldChar w:fldCharType="end"/>
                </w:r>
              </w:p>
            </w:txbxContent>
          </v:textbox>
        </v:shape>
      </w:pict>
    </w: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rFonts w:hint="eastAsia" w:eastAsia="宋体"/>
                    <w:sz w:val="18"/>
                    <w:lang w:val="en-US" w:eastAsia="zh-CN"/>
                  </w:rPr>
                </w:pP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CD0BAC">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FE38ED"/>
    <w:multiLevelType w:val="singleLevel"/>
    <w:tmpl w:val="82FE38ED"/>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E6284A"/>
    <w:rsid w:val="00F441CC"/>
    <w:rsid w:val="01B104CA"/>
    <w:rsid w:val="02106AB0"/>
    <w:rsid w:val="021F2659"/>
    <w:rsid w:val="02B43A28"/>
    <w:rsid w:val="037800D1"/>
    <w:rsid w:val="03C95A0C"/>
    <w:rsid w:val="04524526"/>
    <w:rsid w:val="046F331E"/>
    <w:rsid w:val="05BE78F1"/>
    <w:rsid w:val="07956271"/>
    <w:rsid w:val="08713B8A"/>
    <w:rsid w:val="09721397"/>
    <w:rsid w:val="0A894972"/>
    <w:rsid w:val="0BB63BED"/>
    <w:rsid w:val="0D5D6093"/>
    <w:rsid w:val="0E4F09B8"/>
    <w:rsid w:val="0EB97A43"/>
    <w:rsid w:val="0EBD2122"/>
    <w:rsid w:val="0EF27B3E"/>
    <w:rsid w:val="0F214EAE"/>
    <w:rsid w:val="0FEB39D9"/>
    <w:rsid w:val="102A5BB6"/>
    <w:rsid w:val="11B71E6A"/>
    <w:rsid w:val="13F2459E"/>
    <w:rsid w:val="15192D96"/>
    <w:rsid w:val="153D5F3A"/>
    <w:rsid w:val="16045900"/>
    <w:rsid w:val="168B48D7"/>
    <w:rsid w:val="1787048B"/>
    <w:rsid w:val="17B61287"/>
    <w:rsid w:val="18602A8A"/>
    <w:rsid w:val="18945BF2"/>
    <w:rsid w:val="18FC77C6"/>
    <w:rsid w:val="1AAF0063"/>
    <w:rsid w:val="1AC07876"/>
    <w:rsid w:val="1BA333BA"/>
    <w:rsid w:val="1BE140DE"/>
    <w:rsid w:val="1BE62D92"/>
    <w:rsid w:val="1C16620D"/>
    <w:rsid w:val="1C8D3531"/>
    <w:rsid w:val="1E542E40"/>
    <w:rsid w:val="1EB92B04"/>
    <w:rsid w:val="1EDF0BAD"/>
    <w:rsid w:val="1F3D775C"/>
    <w:rsid w:val="1F487B8C"/>
    <w:rsid w:val="1F8D2372"/>
    <w:rsid w:val="1F95570F"/>
    <w:rsid w:val="1FEC4FC6"/>
    <w:rsid w:val="1FF07A66"/>
    <w:rsid w:val="203A3461"/>
    <w:rsid w:val="204A02A8"/>
    <w:rsid w:val="230B0B23"/>
    <w:rsid w:val="236F0C67"/>
    <w:rsid w:val="248C197D"/>
    <w:rsid w:val="252959AF"/>
    <w:rsid w:val="264D7D03"/>
    <w:rsid w:val="27724B5C"/>
    <w:rsid w:val="277A6671"/>
    <w:rsid w:val="292D35B7"/>
    <w:rsid w:val="2B2F07C6"/>
    <w:rsid w:val="2E9E3915"/>
    <w:rsid w:val="2F2D2E8B"/>
    <w:rsid w:val="30AE03DF"/>
    <w:rsid w:val="30E97669"/>
    <w:rsid w:val="30F027A1"/>
    <w:rsid w:val="3357491A"/>
    <w:rsid w:val="33C978DE"/>
    <w:rsid w:val="33EB6CFF"/>
    <w:rsid w:val="344C23E9"/>
    <w:rsid w:val="35507CB7"/>
    <w:rsid w:val="35A12947"/>
    <w:rsid w:val="35DC779C"/>
    <w:rsid w:val="364B345E"/>
    <w:rsid w:val="36D3294D"/>
    <w:rsid w:val="36E52680"/>
    <w:rsid w:val="37387040"/>
    <w:rsid w:val="3AC60B6D"/>
    <w:rsid w:val="3B443E1A"/>
    <w:rsid w:val="3B625C0A"/>
    <w:rsid w:val="3BF770DE"/>
    <w:rsid w:val="3CE31410"/>
    <w:rsid w:val="3CEE1963"/>
    <w:rsid w:val="402F4B67"/>
    <w:rsid w:val="410F0596"/>
    <w:rsid w:val="41E257B9"/>
    <w:rsid w:val="42334353"/>
    <w:rsid w:val="436B78D3"/>
    <w:rsid w:val="43E066A9"/>
    <w:rsid w:val="45240818"/>
    <w:rsid w:val="452540F1"/>
    <w:rsid w:val="474B1A1E"/>
    <w:rsid w:val="4B39692D"/>
    <w:rsid w:val="4B5747FA"/>
    <w:rsid w:val="4C2B3A73"/>
    <w:rsid w:val="4C63256E"/>
    <w:rsid w:val="4C9C27FE"/>
    <w:rsid w:val="4D2D1640"/>
    <w:rsid w:val="4E760BA3"/>
    <w:rsid w:val="4F476274"/>
    <w:rsid w:val="4F563CC4"/>
    <w:rsid w:val="50412BC6"/>
    <w:rsid w:val="505521CD"/>
    <w:rsid w:val="50D47596"/>
    <w:rsid w:val="512247A5"/>
    <w:rsid w:val="512260B4"/>
    <w:rsid w:val="512B7CD4"/>
    <w:rsid w:val="51E7154B"/>
    <w:rsid w:val="52BD6ACB"/>
    <w:rsid w:val="55061CE8"/>
    <w:rsid w:val="55537534"/>
    <w:rsid w:val="558639E2"/>
    <w:rsid w:val="55A90FF1"/>
    <w:rsid w:val="561A74F1"/>
    <w:rsid w:val="56426B33"/>
    <w:rsid w:val="572528F9"/>
    <w:rsid w:val="57E50C82"/>
    <w:rsid w:val="58A61818"/>
    <w:rsid w:val="58B17416"/>
    <w:rsid w:val="597244E8"/>
    <w:rsid w:val="5B047F69"/>
    <w:rsid w:val="5B3E13DB"/>
    <w:rsid w:val="5B503CBD"/>
    <w:rsid w:val="5BB57758"/>
    <w:rsid w:val="5C013209"/>
    <w:rsid w:val="5C8F4507"/>
    <w:rsid w:val="5E563006"/>
    <w:rsid w:val="5EB71C30"/>
    <w:rsid w:val="5F0674B4"/>
    <w:rsid w:val="5FB332E1"/>
    <w:rsid w:val="6140493B"/>
    <w:rsid w:val="659A7E37"/>
    <w:rsid w:val="65FD5266"/>
    <w:rsid w:val="66AF0CE5"/>
    <w:rsid w:val="68AC2130"/>
    <w:rsid w:val="6981171E"/>
    <w:rsid w:val="69A94E0C"/>
    <w:rsid w:val="6AC537CF"/>
    <w:rsid w:val="6BA53000"/>
    <w:rsid w:val="6D594C53"/>
    <w:rsid w:val="6D6221CD"/>
    <w:rsid w:val="6E5B14A6"/>
    <w:rsid w:val="70CC3B11"/>
    <w:rsid w:val="711B255E"/>
    <w:rsid w:val="72385C2A"/>
    <w:rsid w:val="730E028E"/>
    <w:rsid w:val="73E34B8E"/>
    <w:rsid w:val="76790114"/>
    <w:rsid w:val="76FF4B26"/>
    <w:rsid w:val="776513AC"/>
    <w:rsid w:val="77D17A87"/>
    <w:rsid w:val="78732CBC"/>
    <w:rsid w:val="79DE7C24"/>
    <w:rsid w:val="7A39056C"/>
    <w:rsid w:val="7A440A39"/>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99"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next w:val="4"/>
    <w:unhideWhenUsed/>
    <w:qFormat/>
    <w:uiPriority w:val="99"/>
    <w:pPr>
      <w:spacing w:after="120"/>
      <w:ind w:left="420" w:leftChars="200"/>
    </w:pPr>
    <w:rPr>
      <w:rFonts w:eastAsia="仿宋_GB2312" w:cs="Times New Roman"/>
      <w:sz w:val="32"/>
    </w:rPr>
  </w:style>
  <w:style w:type="paragraph" w:styleId="4">
    <w:name w:val="Subtitle"/>
    <w:basedOn w:val="1"/>
    <w:next w:val="1"/>
    <w:qFormat/>
    <w:uiPriority w:val="0"/>
    <w:pPr>
      <w:wordWrap w:val="0"/>
      <w:spacing w:after="60"/>
      <w:jc w:val="center"/>
    </w:pPr>
    <w:rPr>
      <w:rFonts w:cs="Times New Roman"/>
      <w:sz w:val="2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index 9"/>
    <w:basedOn w:val="1"/>
    <w:next w:val="1"/>
    <w:qFormat/>
    <w:uiPriority w:val="99"/>
    <w:pPr>
      <w:ind w:left="3360"/>
      <w:jc w:val="left"/>
    </w:pPr>
  </w:style>
  <w:style w:type="paragraph" w:styleId="8">
    <w:name w:val="Body Text First Indent 2"/>
    <w:basedOn w:val="3"/>
    <w:unhideWhenUsed/>
    <w:qFormat/>
    <w:uiPriority w:val="99"/>
    <w:pPr>
      <w:ind w:firstLine="420" w:firstLineChars="200"/>
    </w:pPr>
  </w:style>
  <w:style w:type="paragraph" w:customStyle="1" w:styleId="11">
    <w:name w:val="WPSOffice手动目录 1"/>
    <w:autoRedefine/>
    <w:qFormat/>
    <w:uiPriority w:val="0"/>
    <w:rPr>
      <w:rFonts w:ascii="Times New Roman" w:hAnsi="Times New Roman" w:eastAsia="宋体" w:cs="Times New Roman"/>
      <w:lang w:val="en-US" w:eastAsia="zh-CN" w:bidi="ar-SA"/>
    </w:rPr>
  </w:style>
  <w:style w:type="paragraph" w:customStyle="1" w:styleId="12">
    <w:name w:val="WPSOffice手动目录 2"/>
    <w:autoRedefine/>
    <w:qFormat/>
    <w:uiPriority w:val="0"/>
    <w:pPr>
      <w:ind w:left="200" w:leftChars="200"/>
    </w:pPr>
    <w:rPr>
      <w:rFonts w:ascii="Times New Roman" w:hAnsi="Times New Roman" w:eastAsia="宋体" w:cs="Times New Roman"/>
      <w:lang w:val="en-US" w:eastAsia="zh-CN" w:bidi="ar-SA"/>
    </w:rPr>
  </w:style>
  <w:style w:type="paragraph" w:customStyle="1" w:styleId="1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104" textRotate="1"/>
    <customShpInfo spid="_x0000_s4105" textRotate="1"/>
    <customShpInfo spid="_x0000_s4106" textRotate="1"/>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5738</Words>
  <Characters>5990</Characters>
  <Lines>4</Lines>
  <Paragraphs>1</Paragraphs>
  <TotalTime>0</TotalTime>
  <ScaleCrop>false</ScaleCrop>
  <LinksUpToDate>false</LinksUpToDate>
  <CharactersWithSpaces>6006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Unis</cp:lastModifiedBy>
  <cp:lastPrinted>2025-03-26T08:55:00Z</cp:lastPrinted>
  <dcterms:modified xsi:type="dcterms:W3CDTF">2025-04-02T06:19:15Z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96934721B1514D3FBAA28020338CE855_12</vt:lpwstr>
  </property>
  <property fmtid="{D5CDD505-2E9C-101B-9397-08002B2CF9AE}" pid="4" name="KSOTemplateDocerSaveRecord">
    <vt:lpwstr>eyJoZGlkIjoiZmQ4MzJiOWExNjQ1MTIyYjIyYTBmNjFhZGM1ZGNlNzAifQ==</vt:lpwstr>
  </property>
</Properties>
</file>