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-1943100</wp:posOffset>
            </wp:positionH>
            <wp:positionV relativeFrom="paragraph">
              <wp:posOffset>-1402080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简体" w:hAnsi="方正小标宋简体" w:eastAsia="方正小标宋简体" w:cs="方正小标宋简体"/>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简体" w:hAnsi="方正小标宋简体" w:eastAsia="方正小标宋简体" w:cs="方正小标宋简体"/>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：石家庄市人民政府办公室</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b w:val="0"/>
          <w:sz w:val="72"/>
          <w:szCs w:val="72"/>
        </w:rPr>
        <w:t>石家庄市人民政府办公</w:t>
      </w:r>
      <w:r>
        <w:rPr>
          <w:rFonts w:hint="eastAsia" w:ascii="方正小标宋简体" w:hAnsi="方正小标宋简体" w:eastAsia="方正小标宋简体" w:cs="方正小标宋简体"/>
          <w:b w:val="0"/>
          <w:sz w:val="72"/>
          <w:szCs w:val="72"/>
          <w:lang w:eastAsia="zh-CN"/>
        </w:rPr>
        <w:t>室</w:t>
      </w:r>
      <w:r>
        <w:rPr>
          <w:rFonts w:hint="eastAsia" w:ascii="方正小标宋简体" w:hAnsi="方正小标宋简体" w:eastAsia="方正小标宋简体" w:cs="方正小标宋简体"/>
          <w:b w:val="0"/>
          <w:sz w:val="72"/>
          <w:szCs w:val="72"/>
        </w:rPr>
        <w:t>2024年度</w:t>
      </w:r>
      <w:r>
        <w:rPr>
          <w:rFonts w:hint="eastAsia" w:ascii="方正小标宋简体" w:hAnsi="方正小标宋简体" w:eastAsia="方正小标宋简体" w:cs="方正小标宋简体"/>
          <w:b w:val="0"/>
          <w:sz w:val="72"/>
          <w:szCs w:val="72"/>
          <w:lang w:eastAsia="zh-CN"/>
        </w:rPr>
        <w:t>单位</w:t>
      </w:r>
      <w:r>
        <w:rPr>
          <w:rFonts w:hint="eastAsia" w:ascii="方正小标宋简体" w:hAnsi="方正小标宋简体" w:eastAsia="方正小标宋简体" w:cs="方正小标宋简体"/>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石家庄市人民政府办公室(单位名称，加盖公章）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单位</w:t>
      </w:r>
      <w:r>
        <w:rPr>
          <w:rFonts w:ascii="Times New Roman" w:eastAsia="黑体"/>
          <w:b w:val="0"/>
          <w:sz w:val="32"/>
          <w:szCs w:val="32"/>
        </w:rPr>
        <w:t>概况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color="auto" w:sz="0" w:space="0"/>
            <w:left w:val="none" w:color="auto" w:sz="0" w:space="0"/>
            <w:bottom w:val="none" w:color="auto" w:sz="0" w:space="0"/>
            <w:right w:val="none" w:color="auto"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单位</w:t>
      </w:r>
      <w:r>
        <w:rPr>
          <w:rFonts w:ascii="Times New Roman" w:eastAsia="黑体"/>
          <w:b w:val="0"/>
          <w:sz w:val="44"/>
          <w:szCs w:val="44"/>
        </w:rPr>
        <w:t>概况</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(一)协助市政府领导组织起草或审核上报省政府、省政府办公厅和致函省政府各部门的公文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以及以市政府、市政府办公室名义发布的公文</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负责市政府、市政府办公室日常公文办理。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(二)负责市政府领导活动的组织和协调工作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负责市政府会议的准备和服务工作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协助市政府领导组织落实会议决定事项。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(三)研究市政府各部门和各县(市、 区)政府请示市政府的事项</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提出审核意见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报市政府领导审批。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(四)根据市政府领导的批示</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对市政府各部门间出现的争议问题提出处理意见</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报市政府领导决定。​</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(五)组织起草市政府领导重要讲话及其他重要文稿。​</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(六)组织承办人大代表建议和政协委员提案工作。 ​</w:t>
      </w:r>
      <w:r>
        <w:rPr>
          <w:rFonts w:hint="eastAsia" w:ascii="仿宋_GB2312" w:hAnsi="仿宋_GB2312" w:eastAsia="仿宋_GB2312" w:cs="仿宋_GB2312"/>
          <w:b w:val="0"/>
          <w:sz w:val="32"/>
          <w:szCs w:val="32"/>
          <w:lang w:val="en-US" w:eastAsia="zh-CN"/>
        </w:rPr>
        <w:t xml:space="preserve">  </w:t>
      </w:r>
      <w:r>
        <w:rPr>
          <w:rFonts w:hint="eastAsia" w:ascii="仿宋_GB2312" w:hAnsi="仿宋_GB2312" w:eastAsia="仿宋_GB2312" w:cs="仿宋_GB2312"/>
          <w:b w:val="0"/>
          <w:sz w:val="32"/>
          <w:szCs w:val="32"/>
        </w:rPr>
        <w:t>(七)负责承办市政府提请市人大常委会任免议案和提请市政府任命工作人员的行政任免有关手续</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负责承办市政府任命工作人员的宪法宣誓工作。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(八)负责市政府值班工作</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及时报告重要情况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传达和督促落实市政府领导工作要求。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(九)根据市政府工作部署和市政府领导要求</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组织专题调研</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及时反映情况</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b w:val="0"/>
          <w:sz w:val="32"/>
          <w:szCs w:val="32"/>
        </w:rPr>
        <w:t>提出建议。​</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 负责推进、指导、协调、监督、考核评估全市政务公开和政府信息公开工作。​</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(十一)负责政务信息服务工作。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b w:val="0"/>
          <w:sz w:val="32"/>
          <w:szCs w:val="32"/>
        </w:rPr>
      </w:pPr>
      <w:r>
        <w:rPr>
          <w:rFonts w:hint="eastAsia" w:ascii="仿宋_GB2312" w:hAnsi="仿宋_GB2312" w:eastAsia="仿宋_GB2312" w:cs="仿宋_GB2312"/>
          <w:b w:val="0"/>
          <w:sz w:val="32"/>
          <w:szCs w:val="32"/>
        </w:rPr>
        <w:t xml:space="preserve">(十二 )负责协调联络有关市政府新闻宣传和舆情回应等工作。 </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(十三)完成市政府交办的其他任务。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pStyle w:val="11"/>
        <w:widowControl/>
        <w:shd w:val="clear" w:color="auto" w:fill="FFFFFF"/>
        <w:spacing w:beforeAutospacing="0" w:afterAutospacing="0"/>
        <w:ind w:firstLine="640" w:firstLineChars="200"/>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4"/>
        <w:tblpPr w:leftFromText="180" w:rightFromText="180" w:vertAnchor="text" w:horzAnchor="page" w:tblpX="2082" w:tblpY="245"/>
        <w:tblOverlap w:val="never"/>
        <w:tblW w:w="91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3310"/>
        <w:gridCol w:w="2323"/>
        <w:gridCol w:w="2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6" w:hRule="atLeast"/>
          <w:jc w:val="center"/>
        </w:trPr>
        <w:tc>
          <w:tcPr>
            <w:tcW w:w="93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1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2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3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4" w:hRule="atLeast"/>
          <w:jc w:val="center"/>
        </w:trPr>
        <w:tc>
          <w:tcPr>
            <w:tcW w:w="936"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31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石家庄市人民政府办公室(本级)</w:t>
            </w:r>
          </w:p>
        </w:tc>
        <w:tc>
          <w:tcPr>
            <w:tcW w:w="2323"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531"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pStyle w:val="11"/>
        <w:widowControl/>
        <w:shd w:val="clear" w:color="auto" w:fill="FFFFFF"/>
        <w:spacing w:beforeAutospacing="0" w:afterAutospacing="0"/>
        <w:ind w:firstLine="640" w:firstLineChars="200"/>
        <w:rPr>
          <w:rFonts w:hint="eastAsia" w:ascii="Times New Roman" w:hAnsi="Times New Roman" w:eastAsia="黑体" w:cs="Times New Roman"/>
          <w:sz w:val="32"/>
          <w:szCs w:val="32"/>
          <w:highlight w:val="none"/>
        </w:rPr>
      </w:pP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4"/>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部门（单位）：石家庄市人民政府办公室(本级)</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9,586.57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9,586.57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8,177.82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2,952.36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2,952.36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5,225.45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5,225.45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939.31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613.93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613.93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325.38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207.76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261.68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4,361.12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8,177.82</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939.31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207.76</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261.68</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9,586.57</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编制部门（单位）：石家庄市人民政府办公室(本级)</w:t>
            </w:r>
          </w:p>
        </w:tc>
        <w:tc>
          <w:tcPr>
            <w:tcW w:w="2671"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9,586.57</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4,361.12</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8,177.82</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2,952.36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5,225.45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939.31</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613.93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325.38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207.76</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111.33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96.43</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01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261.68</w:t>
            </w:r>
          </w:p>
        </w:tc>
        <w:tc>
          <w:tcPr>
            <w:tcW w:w="210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部门（单位）：石家庄市人民政府办公室(本级)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3,314.30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387.88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763.26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21.51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893.23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740.93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325.38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116.50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111.33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261.68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122.06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658.93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21.72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592.21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31.60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130.39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9.56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3,973.23</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387.88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部门（单位）：石家庄市人民政府办公室(本级)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部门（单位）：石家庄市人民政府办公室(本级)</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4"/>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部门（单位）：石家庄市人民政府办公室(本级)</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5.03</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5.03</w:t>
            </w: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4.48</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4.48</w:t>
            </w: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color="auto" w:sz="0" w:space="0"/>
            <w:left w:val="none" w:color="auto" w:sz="0" w:space="0"/>
            <w:bottom w:val="none" w:color="auto" w:sz="0" w:space="0"/>
            <w:right w:val="none" w:color="auto"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本单位2024年度收、支总计（含结转和结余）均为9,586.57万元。与2023年度决算相比，收支各增加133.99万元，增长1.4%，主要原因是项目支出增加。</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本单位2024年度本年收入合计9,586.57万元，其中：财政拨款收入9,586.57万元，占10</w:t>
      </w:r>
      <w:r>
        <w:rPr>
          <w:rFonts w:hint="eastAsia" w:ascii="Times New Roman" w:eastAsia="仿宋_GB2312"/>
          <w:b w:val="0"/>
          <w:sz w:val="32"/>
          <w:szCs w:val="32"/>
          <w:lang w:eastAsia="zh-CN"/>
        </w:rPr>
        <w:t>0</w:t>
      </w:r>
      <w:r>
        <w:rPr>
          <w:rFonts w:ascii="Times New Roman" w:eastAsia="仿宋_GB2312"/>
          <w:b w:val="0"/>
          <w:sz w:val="32"/>
          <w:szCs w:val="32"/>
        </w:rPr>
        <w:t>%；上级补助收入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%；事业收入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%；其他收入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本单位2024年度本年支出合计9,586.57万元，其中：基本支出4,361.12万元，占45.5%；项目支出5,225.45万元，占54.5%；上缴上级支出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本单位2024年度财政拨款收、支总计（含结转和结余）均为9,586.57万元。与2023年度相比，财政拨款收支各增加133.99万元，增长1.4%，主要原因是项目支出增加。</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本单位2024年度财政拨款本年收入9,586.57万元,比上年增加253.98万元，增长2.7%，主要原因是项目支出预算增加；本年支出9,586.57万元，比上年增加133.99万元，增长1.4%，主要原因是项目支出增加。具体情况如下：</w:t>
      </w:r>
    </w:p>
    <w:p>
      <w:pPr>
        <w:widowControl/>
        <w:spacing w:before="0" w:beforeLines="0" w:beforeAutospacing="0" w:after="0" w:afterLines="0" w:afterAutospacing="0" w:line="360" w:lineRule="auto"/>
        <w:ind w:firstLine="20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1.一般公共预算财政拨款本年收入9,586.57万元,比上年增加253.98万元，增长2.7%，主要原因是项目支出预算增加；本年支出9,586.57万元，比上年增加133.99万元，增长1.4%，主要原因是项目支出增加。</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%，主要原因是我单位无政府性基金预算财政拨款收入；本年支出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%，主要原因是我单位无政府性基金预算财政拨款支出。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3.国有资本经营预算财政拨款本年收入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%，主要原因是我单位无国有资本经营预算财政拨款收入；本年支出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%，主要原因是我单位无国有资本经营预算财政拨款支出。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财政拨款本年收入9,586.57万元，完成年初预算的103.1%，比年初预算增加286.90万元，决算数大于预算数主要原因是年中追加项目资金；本年支出9,586.57万元，完成年初预算的103.1%，比年初预算增加286.90万元，决算数大于预算数主要原因是年中追加项目资金。具体情况如下：</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1.一般公共预算财政拨款本年收入完成年初预算的103.1%，比年初预算增加286.90万元，主要原因是年中追加项目资金；支出完成年初预算的103.1%，比年初预算增加286.90万元，主要原因是年中追加项目资金。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万元，主要原因是我单位无政府性基金预算财政拨款收入；支出完成年初预算的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万元，主要原因是我单位无政府性基金预算财政拨款支出。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万元，主要原因是我单位无国有资本经营预算财政拨款收入；支出完成年初预算的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万元，主要原因是我单位无国有资本经营预算财政拨款支出。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2024年度财政拨款支出9,586.57万元，主要用于以下方面：</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一般公共服务（类）支出8,177.82万元，占85.3%，主要用于人员经费、日常公用和项目支出等支出；社会保障和就业（类）支出939.31万元，占9.8%，主要用于养老保险等支出；卫生健康（类）支出207.76万元，占2.2%，主要用于医疗保险等支出；住房保障（类）支出261.68万元，占2.7%，主要用于住房公积金等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2024年度财政拨款基本支出4,361.12万元，其中：</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人员经费3,973.23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公用经费387.88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200" w:firstLineChars="200"/>
        <w:jc w:val="left"/>
        <w:outlineLvl w:val="1"/>
        <w:rPr>
          <w:rFonts w:hint="eastAsia" w:ascii="黑体" w:hAnsi="黑体" w:eastAsia="黑体" w:cs="黑体"/>
          <w:sz w:val="32"/>
          <w:szCs w:val="32"/>
        </w:rPr>
      </w:pPr>
      <w:r>
        <w:rPr>
          <w:rFonts w:hint="eastAsia" w:ascii="黑体" w:hAnsi="黑体" w:eastAsia="黑体" w:cs="黑体"/>
          <w:b w:val="0"/>
          <w:sz w:val="32"/>
          <w:szCs w:val="32"/>
        </w:rPr>
        <w:t>五、财政拨款“三公”经费支出决算情况说明</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5.03万元，支出决算为4.48万元，完成预算的89.1%，较预算减少0.55万元，降低10.9%，主要原因是项目支出以实际发生为准；较2023年度决算减少20.10万元，降低81.8%，主要原因是。</w:t>
      </w:r>
    </w:p>
    <w:p>
      <w:pPr>
        <w:widowControl/>
        <w:spacing w:before="0" w:beforeLines="0" w:beforeAutospacing="0" w:after="0" w:afterLines="0" w:afterAutospacing="0" w:line="360" w:lineRule="auto"/>
        <w:ind w:firstLine="200"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5.03万元,支出决算4.48万元。完成预算的89.1%。因公出国（境）费支出较预算减少0.55万元，降低10.9%,主要原因是项目支出以实际发生为准；较上年减少20.10万元，降低81.8%,主要原因是本年度因公出国1批次，上年度因公出国3批次。因公出国（境）团组1个、共2人、参加其他单位组织的因公出国（境）团组0个、共0人/无本部门组织的出国（境）团组。</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%,主要原因是我单位无公务用车，未发生“公务用车购置及运行维护”经费支出；较上年增加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%,主要原因是我单位无公务用车，未发生“公务用车购置及运行维护”经费支出。其中：</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%,主要原因是我单位无公务用车，未发生“公务用车购置”经费支出。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公务用车运行维护费支出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本单位2024年度单位公务用车保有量0辆，发生运行维护费支出</w:t>
      </w:r>
      <w:r>
        <w:rPr>
          <w:rFonts w:hint="eastAsia" w:ascii="Times New Roman" w:eastAsia="仿宋_GB2312"/>
          <w:b w:val="0"/>
          <w:sz w:val="32"/>
          <w:szCs w:val="32"/>
          <w:lang w:eastAsia="zh-CN"/>
        </w:rPr>
        <w:t>0</w:t>
      </w:r>
      <w:r>
        <w:rPr>
          <w:rFonts w:ascii="Times New Roman" w:eastAsia="仿宋_GB2312"/>
          <w:b w:val="0"/>
          <w:sz w:val="32"/>
          <w:szCs w:val="32"/>
        </w:rPr>
        <w:t>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%,主要原因是我单位无公务用车，未发生“公务用车运行维护”经费支出；较上年增加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%，主要原因是我单位无公务用车，未发生“公务用车运行维护”经费支出。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%。公务接待费支出较预算增加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%,主要原因是我单位未发生公务接待；较上年度增加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%,主要原因是我单位未发生公务接待。本年度共发生公务接待0批次、0人次。</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本单位2024年度机关运行经费支出387.88万元，较2023年度减少17.26万元，降低4.3%。主要原因是</w:t>
      </w:r>
      <w:r>
        <w:rPr>
          <w:rFonts w:hint="eastAsia" w:ascii="仿宋_GB2312" w:hAnsi="仿宋_GB2312" w:eastAsia="仿宋_GB2312" w:cs="仿宋_GB2312"/>
          <w:b w:val="0"/>
          <w:sz w:val="32"/>
          <w:szCs w:val="32"/>
          <w:lang w:eastAsia="zh-CN"/>
        </w:rPr>
        <w:t>坚持从严从简，带头过紧日子，勤俭办一切事业，降低公务活动成本。</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本单位2024年度政府采购支出总额275.67万元，从采购类型来看，政府采购货物支出6.50万元、政府采购工程支出</w:t>
      </w:r>
      <w:r>
        <w:rPr>
          <w:rFonts w:hint="eastAsia" w:ascii="仿宋_GB2312" w:hAnsi="仿宋_GB2312" w:eastAsia="仿宋_GB2312" w:cs="仿宋_GB2312"/>
          <w:b w:val="0"/>
          <w:sz w:val="32"/>
          <w:szCs w:val="32"/>
          <w:lang w:eastAsia="zh-CN"/>
        </w:rPr>
        <w:t>0</w:t>
      </w:r>
      <w:r>
        <w:rPr>
          <w:rFonts w:hint="eastAsia" w:ascii="仿宋_GB2312" w:hAnsi="仿宋_GB2312" w:eastAsia="仿宋_GB2312" w:cs="仿宋_GB2312"/>
          <w:b w:val="0"/>
          <w:sz w:val="32"/>
          <w:szCs w:val="32"/>
        </w:rPr>
        <w:t>万元、政府采购服务支出269.17万元。授予中小企业合同金额3.59万元，占政府采购支出总额的1.3%，其中授予小微企业合同金额3.59万元，占政府采购支出总额的1.3%。</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20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hd w:val="clear"/>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根据预算绩效管理要求，本单位组织对2024年度本级预算项目支出全面开展绩效自评，共涉及资金万元</w:t>
      </w:r>
      <w:r>
        <w:rPr>
          <w:rFonts w:hint="eastAsia" w:ascii="Times New Roman" w:eastAsia="仿宋_GB2312"/>
          <w:b w:val="0"/>
          <w:sz w:val="32"/>
          <w:szCs w:val="32"/>
          <w:shd w:val="clear"/>
          <w:lang w:val="en-US" w:eastAsia="zh-CN"/>
        </w:rPr>
        <w:t>5225.45</w:t>
      </w:r>
      <w:r>
        <w:rPr>
          <w:rFonts w:ascii="Times New Roman" w:eastAsia="仿宋_GB2312"/>
          <w:b w:val="0"/>
          <w:sz w:val="32"/>
          <w:szCs w:val="32"/>
          <w:shd w:val="clear"/>
        </w:rPr>
        <w:t>。</w:t>
      </w:r>
      <w:r>
        <w:rPr>
          <w:rFonts w:ascii="Times New Roman" w:eastAsia="仿宋_GB2312"/>
          <w:b w:val="0"/>
          <w:sz w:val="32"/>
          <w:szCs w:val="32"/>
        </w:rPr>
        <w:t>其中，一般公共预算项目</w:t>
      </w:r>
      <w:r>
        <w:rPr>
          <w:rFonts w:hint="eastAsia" w:ascii="Times New Roman" w:eastAsia="仿宋_GB2312"/>
          <w:b w:val="0"/>
          <w:sz w:val="32"/>
          <w:szCs w:val="32"/>
          <w:shd w:val="clear"/>
          <w:lang w:val="en-US" w:eastAsia="zh-CN"/>
        </w:rPr>
        <w:t>17</w:t>
      </w:r>
      <w:r>
        <w:rPr>
          <w:rFonts w:ascii="Times New Roman" w:eastAsia="仿宋_GB2312"/>
          <w:b w:val="0"/>
          <w:sz w:val="32"/>
          <w:szCs w:val="32"/>
          <w:shd w:val="clear"/>
        </w:rPr>
        <w:t>个</w:t>
      </w:r>
      <w:r>
        <w:rPr>
          <w:rFonts w:ascii="Times New Roman" w:eastAsia="仿宋_GB2312"/>
          <w:b w:val="0"/>
          <w:sz w:val="32"/>
          <w:szCs w:val="32"/>
        </w:rPr>
        <w:t>，涉及资金</w:t>
      </w:r>
      <w:r>
        <w:rPr>
          <w:rFonts w:hint="eastAsia" w:ascii="Times New Roman" w:eastAsia="仿宋_GB2312"/>
          <w:b w:val="0"/>
          <w:sz w:val="32"/>
          <w:szCs w:val="32"/>
          <w:lang w:val="en-US" w:eastAsia="zh-CN"/>
        </w:rPr>
        <w:t>5225.45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hd w:val="clear"/>
        <w:spacing w:before="0" w:beforeLines="0" w:beforeAutospacing="0" w:after="0" w:afterLines="0" w:afterAutospacing="0" w:line="360" w:lineRule="auto"/>
        <w:ind w:firstLine="200" w:firstLineChars="200"/>
        <w:jc w:val="left"/>
        <w:rPr>
          <w:rFonts w:hint="eastAsia" w:ascii="Times New Roman" w:eastAsia="仿宋_GB2312"/>
          <w:b w:val="0"/>
          <w:sz w:val="32"/>
          <w:szCs w:val="32"/>
          <w:lang w:val="zh-CN" w:eastAsia="zh-CN"/>
        </w:rPr>
      </w:pPr>
      <w:r>
        <w:rPr>
          <w:rFonts w:ascii="Times New Roman" w:eastAsia="仿宋_GB2312"/>
          <w:b w:val="0"/>
          <w:sz w:val="32"/>
          <w:szCs w:val="32"/>
        </w:rPr>
        <w:t>组织对</w:t>
      </w:r>
      <w:r>
        <w:rPr>
          <w:rFonts w:ascii="Times New Roman" w:eastAsia="仿宋_GB2312"/>
          <w:b w:val="0"/>
          <w:sz w:val="32"/>
          <w:szCs w:val="32"/>
          <w:lang w:val="zh-CN" w:eastAsia="zh-CN"/>
        </w:rPr>
        <w:t>“</w:t>
      </w:r>
      <w:r>
        <w:rPr>
          <w:rFonts w:hint="eastAsia" w:ascii="Times New Roman" w:eastAsia="仿宋_GB2312"/>
          <w:b w:val="0"/>
          <w:sz w:val="32"/>
          <w:szCs w:val="32"/>
          <w:lang w:val="en-US" w:eastAsia="zh-CN"/>
        </w:rPr>
        <w:t>12345及12342市政府公开电话运营经费</w:t>
      </w:r>
      <w:r>
        <w:rPr>
          <w:rFonts w:ascii="Times New Roman" w:eastAsia="仿宋_GB2312"/>
          <w:b w:val="0"/>
          <w:sz w:val="32"/>
          <w:szCs w:val="32"/>
          <w:lang w:val="zh-CN" w:eastAsia="zh-CN"/>
        </w:rPr>
        <w:t>”</w:t>
      </w:r>
      <w:r>
        <w:rPr>
          <w:rFonts w:ascii="Times New Roman" w:eastAsia="仿宋_GB2312"/>
          <w:b w:val="0"/>
          <w:sz w:val="32"/>
          <w:szCs w:val="32"/>
        </w:rPr>
        <w:t>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shd w:val="clear"/>
          <w:lang w:val="en-US" w:eastAsia="zh-CN"/>
        </w:rPr>
        <w:t>3674.18</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r>
        <w:rPr>
          <w:rFonts w:hint="eastAsia" w:ascii="Times New Roman" w:eastAsia="仿宋_GB2312"/>
          <w:b w:val="0"/>
          <w:sz w:val="32"/>
          <w:szCs w:val="32"/>
        </w:rPr>
        <w:t>从评价情况来看，</w:t>
      </w:r>
      <w:r>
        <w:rPr>
          <w:rFonts w:hint="eastAsia" w:ascii="Times New Roman" w:eastAsia="仿宋_GB2312"/>
          <w:b w:val="0"/>
          <w:sz w:val="32"/>
          <w:szCs w:val="32"/>
          <w:lang w:val="zh-CN" w:eastAsia="zh-CN"/>
        </w:rPr>
        <w:t>项目绩效目标完成良好，畅通群众诉求渠道，强化督办力度，提升政府服务能力和水平及维护社会稳定能力，提高群众满意度。对机关和接线员队伍进行组织学习，推行服务标准化，对受理的群众诉求事项一盯到底，及时交办，限时催办，提高接线率，降低市民投诉率，提高服务群众水平能力和群众满意度。</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keepNext w:val="0"/>
        <w:keepLines w:val="0"/>
        <w:pageBreakBefore w:val="0"/>
        <w:widowControl w:val="0"/>
        <w:kinsoku/>
        <w:wordWrap/>
        <w:overflowPunct/>
        <w:topLinePunct w:val="0"/>
        <w:autoSpaceDE/>
        <w:autoSpaceDN/>
        <w:bidi w:val="0"/>
        <w:adjustRightInd/>
        <w:snapToGrid/>
        <w:spacing w:beforeAutospacing="0" w:afterAutospacing="0" w:line="360" w:lineRule="auto"/>
        <w:ind w:left="0" w:leftChars="0" w:right="0" w:rightChars="0" w:firstLine="640" w:firstLineChars="200"/>
        <w:jc w:val="left"/>
        <w:textAlignment w:val="auto"/>
        <w:outlineLvl w:val="9"/>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zh-CN"/>
        </w:rPr>
        <w:t>和市政府微博、微信建设运维经费等</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个项目</w:t>
      </w:r>
      <w:r>
        <w:rPr>
          <w:rFonts w:ascii="Times New Roman" w:eastAsia="仿宋_GB2312"/>
          <w:b w:val="0"/>
          <w:sz w:val="32"/>
          <w:szCs w:val="32"/>
        </w:rPr>
        <w:t>绩效自评结果。</w:t>
      </w:r>
    </w:p>
    <w:p>
      <w:pPr>
        <w:pStyle w:val="11"/>
        <w:widowControl/>
        <w:spacing w:beforeAutospacing="0" w:afterAutospacing="0"/>
        <w:ind w:firstLine="640" w:firstLineChars="200"/>
        <w:rPr>
          <w:rFonts w:hint="eastAsia" w:ascii="仿宋_GB2312" w:hAnsi="仿宋_GB2312" w:eastAsia="仿宋_GB2312" w:cs="仿宋_GB2312"/>
          <w:color w:val="auto"/>
          <w:kern w:val="2"/>
          <w:sz w:val="32"/>
          <w:szCs w:val="32"/>
          <w:shd w:val="clear"/>
          <w:lang w:val="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3674.18</w:t>
      </w:r>
      <w:r>
        <w:rPr>
          <w:rFonts w:ascii="Times New Roman" w:eastAsia="仿宋_GB2312"/>
          <w:b w:val="0"/>
          <w:sz w:val="32"/>
          <w:szCs w:val="32"/>
        </w:rPr>
        <w:t>万元，执行数为</w:t>
      </w:r>
      <w:r>
        <w:rPr>
          <w:rFonts w:hint="eastAsia" w:ascii="Times New Roman" w:eastAsia="仿宋_GB2312"/>
          <w:b w:val="0"/>
          <w:sz w:val="32"/>
          <w:szCs w:val="32"/>
          <w:lang w:val="en-US" w:eastAsia="zh-CN"/>
        </w:rPr>
        <w:t>3673.18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99.97</w:t>
      </w:r>
      <w:r>
        <w:rPr>
          <w:rFonts w:ascii="Times New Roman" w:eastAsia="仿宋_GB2312"/>
          <w:b w:val="0"/>
          <w:sz w:val="32"/>
          <w:szCs w:val="32"/>
        </w:rPr>
        <w:t>%。</w:t>
      </w:r>
      <w:r>
        <w:rPr>
          <w:rFonts w:hint="eastAsia" w:ascii="Times New Roman" w:eastAsia="仿宋_GB2312"/>
          <w:b w:val="0"/>
          <w:color w:val="auto"/>
          <w:sz w:val="32"/>
          <w:szCs w:val="32"/>
          <w:lang w:eastAsia="zh-CN"/>
        </w:rPr>
        <w:t>通过项目实施</w:t>
      </w:r>
      <w:r>
        <w:rPr>
          <w:rFonts w:hint="eastAsia" w:ascii="仿宋_GB2312" w:hAnsi="仿宋_GB2312" w:eastAsia="仿宋_GB2312" w:cs="仿宋_GB2312"/>
          <w:color w:val="auto"/>
          <w:kern w:val="2"/>
          <w:sz w:val="32"/>
          <w:szCs w:val="32"/>
          <w:shd w:val="clear"/>
          <w:lang w:val="zh-CN"/>
        </w:rPr>
        <w:t>确保市政府公开电话正常运转，</w:t>
      </w:r>
      <w:r>
        <w:rPr>
          <w:rFonts w:hint="eastAsia" w:ascii="仿宋_GB2312" w:hAnsi="仿宋_GB2312" w:eastAsia="仿宋_GB2312" w:cs="仿宋_GB2312"/>
          <w:color w:val="auto"/>
          <w:sz w:val="32"/>
          <w:szCs w:val="32"/>
          <w:shd w:val="clear"/>
        </w:rPr>
        <w:t>畅通群众诉求渠道</w:t>
      </w:r>
      <w:r>
        <w:rPr>
          <w:rFonts w:hint="eastAsia" w:ascii="仿宋_GB2312" w:hAnsi="仿宋_GB2312" w:eastAsia="仿宋_GB2312" w:cs="仿宋_GB2312"/>
          <w:color w:val="auto"/>
          <w:sz w:val="32"/>
          <w:szCs w:val="32"/>
          <w:shd w:val="clear"/>
          <w:lang w:eastAsia="zh-CN"/>
        </w:rPr>
        <w:t>。</w:t>
      </w:r>
      <w:r>
        <w:rPr>
          <w:rFonts w:hint="eastAsia" w:ascii="仿宋_GB2312" w:hAnsi="仿宋_GB2312" w:eastAsia="仿宋_GB2312" w:cs="仿宋_GB2312"/>
          <w:color w:val="auto"/>
          <w:kern w:val="2"/>
          <w:sz w:val="32"/>
          <w:szCs w:val="32"/>
          <w:shd w:val="clear"/>
          <w:lang w:val="zh-CN"/>
        </w:rPr>
        <w:t>存在的主要问题及原因是：承办单位解决群众合理诉求的力度仍需加大，</w:t>
      </w:r>
      <w:r>
        <w:rPr>
          <w:rFonts w:hint="eastAsia" w:ascii="仿宋_GB2312" w:hAnsi="仿宋_GB2312" w:eastAsia="仿宋_GB2312" w:cs="仿宋_GB2312"/>
          <w:color w:val="auto"/>
          <w:kern w:val="2"/>
          <w:sz w:val="32"/>
          <w:szCs w:val="32"/>
          <w:shd w:val="clear" w:fill="FFFFFF" w:themeFill="background1"/>
          <w:lang w:val="zh-CN"/>
        </w:rPr>
        <w:t>下一步将</w:t>
      </w:r>
      <w:r>
        <w:rPr>
          <w:rFonts w:hint="eastAsia" w:ascii="仿宋_GB2312" w:hAnsi="仿宋_GB2312" w:eastAsia="仿宋_GB2312" w:cs="仿宋_GB2312"/>
          <w:color w:val="auto"/>
          <w:sz w:val="32"/>
          <w:szCs w:val="32"/>
          <w:shd w:val="clear"/>
          <w:lang w:eastAsia="zh-CN"/>
        </w:rPr>
        <w:t>强化</w:t>
      </w:r>
      <w:r>
        <w:rPr>
          <w:rFonts w:hint="eastAsia" w:ascii="仿宋_GB2312" w:hAnsi="仿宋_GB2312" w:eastAsia="仿宋_GB2312" w:cs="仿宋_GB2312"/>
          <w:color w:val="auto"/>
          <w:sz w:val="32"/>
          <w:szCs w:val="32"/>
          <w:shd w:val="clear"/>
        </w:rPr>
        <w:t>督办力度，</w:t>
      </w:r>
      <w:r>
        <w:rPr>
          <w:rFonts w:hint="eastAsia" w:ascii="仿宋_GB2312" w:hAnsi="仿宋_GB2312" w:eastAsia="仿宋_GB2312" w:cs="仿宋_GB2312"/>
          <w:color w:val="auto"/>
          <w:kern w:val="2"/>
          <w:sz w:val="32"/>
          <w:szCs w:val="32"/>
          <w:shd w:val="clear" w:fill="FFFFFF" w:themeFill="background1"/>
          <w:lang w:val="zh-CN"/>
        </w:rPr>
        <w:t>持续</w:t>
      </w:r>
      <w:r>
        <w:rPr>
          <w:rFonts w:hint="eastAsia" w:ascii="仿宋_GB2312" w:hAnsi="仿宋_GB2312" w:eastAsia="仿宋_GB2312" w:cs="仿宋_GB2312"/>
          <w:color w:val="auto"/>
          <w:sz w:val="32"/>
          <w:szCs w:val="32"/>
          <w:shd w:val="clear"/>
        </w:rPr>
        <w:t>提升政府服务水平</w:t>
      </w:r>
      <w:r>
        <w:rPr>
          <w:rFonts w:hint="eastAsia" w:ascii="仿宋_GB2312" w:hAnsi="仿宋_GB2312" w:eastAsia="仿宋_GB2312" w:cs="仿宋_GB2312"/>
          <w:color w:val="auto"/>
          <w:sz w:val="32"/>
          <w:szCs w:val="32"/>
          <w:shd w:val="clear"/>
          <w:lang w:eastAsia="zh-CN"/>
        </w:rPr>
        <w:t>及</w:t>
      </w:r>
      <w:r>
        <w:rPr>
          <w:rFonts w:hint="eastAsia" w:ascii="仿宋_GB2312" w:hAnsi="仿宋_GB2312" w:eastAsia="仿宋_GB2312" w:cs="仿宋_GB2312"/>
          <w:color w:val="auto"/>
          <w:sz w:val="32"/>
          <w:szCs w:val="32"/>
          <w:shd w:val="clear"/>
        </w:rPr>
        <w:t>维护社会稳定能力</w:t>
      </w:r>
      <w:r>
        <w:rPr>
          <w:rFonts w:hint="eastAsia" w:ascii="仿宋_GB2312" w:hAnsi="仿宋_GB2312" w:eastAsia="仿宋_GB2312" w:cs="仿宋_GB2312"/>
          <w:color w:val="auto"/>
          <w:kern w:val="2"/>
          <w:sz w:val="32"/>
          <w:szCs w:val="32"/>
          <w:shd w:val="clear"/>
          <w:lang w:val="zh-CN"/>
        </w:rPr>
        <w:t>。</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Times New Roman" w:hAnsi="Times New Roman" w:eastAsia="仿宋_GB2312"/>
          <w:kern w:val="2"/>
          <w:sz w:val="32"/>
          <w:szCs w:val="32"/>
          <w:lang w:val="zh-CN"/>
        </w:rPr>
        <w:t>市政府微博、微信建设运维经费项目：根据年初设定的绩效目标，市政府微博、微信建设运维经费项目绩效自评得分为</w:t>
      </w:r>
      <w:r>
        <w:rPr>
          <w:rFonts w:hint="eastAsia" w:ascii="Times New Roman" w:hAnsi="Times New Roman" w:eastAsia="仿宋_GB2312"/>
          <w:kern w:val="2"/>
          <w:sz w:val="32"/>
          <w:szCs w:val="32"/>
          <w:lang w:val="en-US" w:eastAsia="zh-CN"/>
        </w:rPr>
        <w:t>99.95分（绩效自评表附后）。全年预算数为113.9万元，执行数为113.36万元，完成预算的99.52%。通过</w:t>
      </w:r>
      <w:r>
        <w:rPr>
          <w:rFonts w:hint="eastAsia" w:ascii="仿宋_GB2312" w:hAnsi="仿宋_GB2312" w:eastAsia="仿宋_GB2312" w:cs="仿宋_GB2312"/>
          <w:b w:val="0"/>
          <w:sz w:val="32"/>
          <w:szCs w:val="32"/>
          <w:lang w:eastAsia="zh-CN"/>
        </w:rPr>
        <w:t>项目实施，将政务新媒体打造成了更加权威的信息发布、解读回应、政民互动、办事服务平台，为企业和群众提供了足够的互动机会。未发现问题。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公务服务和会务服务保障经费：根据年初设定的绩效目标，公务服务和会务服务保障经费项目绩效自评得分为</w:t>
      </w:r>
      <w:r>
        <w:rPr>
          <w:rFonts w:hint="eastAsia" w:ascii="仿宋_GB2312" w:hAnsi="仿宋_GB2312" w:eastAsia="仿宋_GB2312" w:cs="仿宋_GB2312"/>
          <w:b w:val="0"/>
          <w:sz w:val="32"/>
          <w:szCs w:val="32"/>
          <w:lang w:val="en-US" w:eastAsia="zh-CN"/>
        </w:rPr>
        <w:t>100分（绩效自评表附后）。全年预算数为184.9，执行数为184.9，完成预算的100%。通过项目实施保障5号楼的公务服务及会务服务，确保5号楼各项会议正常运转。未发现问题。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办公室综合业务保障经费：根据年初设定的绩效目标，办公室综合业务保障经费项目绩效自评得分为</w:t>
      </w:r>
      <w:r>
        <w:rPr>
          <w:rFonts w:hint="eastAsia" w:ascii="仿宋_GB2312" w:hAnsi="仿宋_GB2312" w:eastAsia="仿宋_GB2312" w:cs="仿宋_GB2312"/>
          <w:b w:val="0"/>
          <w:sz w:val="32"/>
          <w:szCs w:val="32"/>
          <w:lang w:val="en-US" w:eastAsia="zh-CN"/>
        </w:rPr>
        <w:t>95.81分（绩效自评表附后）。全年预算数为287.34，执行数为166.97，完成预算的58.11%。该经费主要用于业务委托、工作调研、会议召开等，确保市政府办公室正常运转。未发现问题。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公益损害及环境污染举报奖励经费：根据年初设定的绩效目标，公益损害及环境污染举报奖励经费项目绩效自评得分为</w:t>
      </w:r>
      <w:r>
        <w:rPr>
          <w:rFonts w:hint="eastAsia" w:ascii="仿宋_GB2312" w:hAnsi="仿宋_GB2312" w:eastAsia="仿宋_GB2312" w:cs="仿宋_GB2312"/>
          <w:b w:val="0"/>
          <w:sz w:val="32"/>
          <w:szCs w:val="32"/>
          <w:lang w:val="en-US" w:eastAsia="zh-CN"/>
        </w:rPr>
        <w:t>90.17分（绩效自评表附后）。全年预算数为2万元，执行数为0.43万元，完成预算的21.65%。通过项目实施提升市民举报积极性，维护城市良好公共环境。未发现问题。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市政府驻京联络处经费：根据年初设定的绩效目标，市政府驻京联络处经费项目绩效自评得分为</w:t>
      </w:r>
      <w:r>
        <w:rPr>
          <w:rFonts w:hint="eastAsia" w:ascii="仿宋_GB2312" w:hAnsi="仿宋_GB2312" w:eastAsia="仿宋_GB2312" w:cs="仿宋_GB2312"/>
          <w:b w:val="0"/>
          <w:sz w:val="32"/>
          <w:szCs w:val="32"/>
          <w:lang w:val="en-US" w:eastAsia="zh-CN"/>
        </w:rPr>
        <w:t>100分（绩效自评表附后）。全年预算数为45万元，执行数为45万元，完成预算的100%。该经费用于驻京联络处日常办公，确保工作正常运转。未发现问题。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私搭乱建、违章建筑专项整治办公经费：根据年初设定的绩效目标，私搭乱建、违章建筑专项整治办公经费项目绩效自评得分为</w:t>
      </w:r>
      <w:r>
        <w:rPr>
          <w:rFonts w:hint="eastAsia" w:ascii="仿宋_GB2312" w:hAnsi="仿宋_GB2312" w:eastAsia="仿宋_GB2312" w:cs="仿宋_GB2312"/>
          <w:b w:val="0"/>
          <w:sz w:val="32"/>
          <w:szCs w:val="32"/>
          <w:lang w:val="en-US" w:eastAsia="zh-CN"/>
        </w:rPr>
        <w:t>100分（绩效自评表附后）。全年预算数为426.84万元，执行数为426.84万元，完成预算的100%。通过项目实施，确保私搭乱建、违章建筑专项整治指挥部工作正常运转。未发现问题。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业务培训费：根据年初设定的绩效目标，业务培训费项目绩效自评得分为</w:t>
      </w:r>
      <w:r>
        <w:rPr>
          <w:rFonts w:hint="eastAsia" w:ascii="仿宋_GB2312" w:hAnsi="仿宋_GB2312" w:eastAsia="仿宋_GB2312" w:cs="仿宋_GB2312"/>
          <w:b w:val="0"/>
          <w:sz w:val="32"/>
          <w:szCs w:val="32"/>
          <w:lang w:val="en-US" w:eastAsia="zh-CN"/>
        </w:rPr>
        <w:t>100分（绩效自评表附后）。全年预算数为22.6万元，执行数为22.6万元，完成预算的100%。通过项目实施，组织大型培训活动，促进人员综合素质的提升。未发现问题。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业务咨询委托费：根据年初设定的绩效目标，业务咨询委托费项目绩效自评得分为</w:t>
      </w:r>
      <w:r>
        <w:rPr>
          <w:rFonts w:hint="eastAsia" w:ascii="仿宋_GB2312" w:hAnsi="仿宋_GB2312" w:eastAsia="仿宋_GB2312" w:cs="仿宋_GB2312"/>
          <w:b w:val="0"/>
          <w:sz w:val="32"/>
          <w:szCs w:val="32"/>
          <w:lang w:val="en-US" w:eastAsia="zh-CN"/>
        </w:rPr>
        <w:t>99.05分（绩效自评表附后）。全年预算数为89.3万元，执行数为80.8万元，完成预算的90.49%。通过项目实施，委托第三方专业机构进行业务咨询，确保工作合规高效开展。未发现问题。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专项邮电费：根据年初设定的绩效目标，专项邮电费项目绩效自评得分为</w:t>
      </w:r>
      <w:r>
        <w:rPr>
          <w:rFonts w:hint="eastAsia" w:ascii="仿宋_GB2312" w:hAnsi="仿宋_GB2312" w:eastAsia="仿宋_GB2312" w:cs="仿宋_GB2312"/>
          <w:b w:val="0"/>
          <w:sz w:val="32"/>
          <w:szCs w:val="32"/>
          <w:lang w:val="en-US" w:eastAsia="zh-CN"/>
        </w:rPr>
        <w:t>96.73分（绩效自评表附后）。全年预算数为10万元，执行数为10万元，完成预算的67.3%。该项目经费主要用于交换中心邮件费，确保公文在区县间正常流转。未发现问题。</w:t>
      </w:r>
    </w:p>
    <w:p>
      <w:pPr>
        <w:pStyle w:val="11"/>
        <w:widowControl/>
        <w:spacing w:beforeAutospacing="0" w:afterAutospacing="0"/>
        <w:ind w:firstLine="640" w:firstLineChars="200"/>
        <w:rPr>
          <w:rFonts w:hint="eastAsia" w:ascii="仿宋_GB2312" w:hAnsi="仿宋_GB2312" w:eastAsia="仿宋_GB2312" w:cs="仿宋_GB2312"/>
          <w:b w:val="0"/>
          <w:sz w:val="32"/>
          <w:szCs w:val="32"/>
          <w:lang w:val="zh-CN" w:eastAsia="zh-CN"/>
        </w:rPr>
      </w:pPr>
    </w:p>
    <w:p>
      <w:pPr>
        <w:widowControl/>
        <w:spacing w:before="0" w:beforeLines="0" w:beforeAutospacing="0" w:after="0" w:afterLines="0" w:afterAutospacing="0" w:line="360" w:lineRule="auto"/>
        <w:ind w:firstLine="200" w:firstLineChars="200"/>
        <w:jc w:val="left"/>
        <w:rPr>
          <w:rFonts w:hint="eastAsia" w:ascii="Times New Roman" w:eastAsia="仿宋_GB2312"/>
          <w:b/>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jc w:val="left"/>
        <w:rPr>
          <w:rFonts w:hint="eastAsia" w:ascii="Times New Roman" w:eastAsia="仿宋_GB2312"/>
          <w:b/>
          <w:sz w:val="32"/>
          <w:szCs w:val="32"/>
          <w:lang w:eastAsia="zh-CN"/>
        </w:rPr>
      </w:pPr>
      <w:r>
        <w:rPr>
          <w:rFonts w:hint="eastAsia" w:ascii="Times New Roman" w:eastAsia="仿宋_GB2312"/>
          <w:b/>
          <w:sz w:val="32"/>
          <w:szCs w:val="32"/>
          <w:lang w:eastAsia="zh-CN"/>
        </w:rPr>
        <w:t>附绩效自评表如下：</w:t>
      </w:r>
    </w:p>
    <w:p>
      <w:pPr>
        <w:widowControl/>
        <w:spacing w:before="0" w:beforeLines="0" w:beforeAutospacing="0" w:after="0" w:afterLines="0" w:afterAutospacing="0" w:line="360" w:lineRule="auto"/>
        <w:jc w:val="left"/>
        <w:rPr>
          <w:rFonts w:hint="eastAsia" w:ascii="Times New Roman" w:eastAsia="仿宋_GB2312"/>
          <w:b/>
          <w:sz w:val="32"/>
          <w:szCs w:val="32"/>
          <w:lang w:eastAsia="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p>
    <w:tbl>
      <w:tblPr>
        <w:tblStyle w:val="14"/>
        <w:tblW w:w="1001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11"/>
        <w:gridCol w:w="1039"/>
        <w:gridCol w:w="1272"/>
        <w:gridCol w:w="1241"/>
        <w:gridCol w:w="1043"/>
        <w:gridCol w:w="1467"/>
        <w:gridCol w:w="1487"/>
        <w:gridCol w:w="14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10014"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eastAsia"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14"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7073"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941"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1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5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12345市政府公开电话及12342环境举报专线专项经费（专项资金）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40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3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5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w:t>
            </w:r>
          </w:p>
        </w:tc>
        <w:tc>
          <w:tcPr>
            <w:tcW w:w="14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w:t>
            </w: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9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用于12345市政府公开电话及12342环境举报专线运营，确保工作正常进行。</w:t>
            </w:r>
          </w:p>
        </w:tc>
        <w:tc>
          <w:tcPr>
            <w:tcW w:w="399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用于12345市政府公开电话及12342环境举报专线运营，确保工作正常进行。</w:t>
            </w:r>
          </w:p>
        </w:tc>
        <w:tc>
          <w:tcPr>
            <w:tcW w:w="14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9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72"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公开电话接通率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业务完成的质量</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38"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业务完成的时效性与计划对比</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2天</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38"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≤3674.18万元</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3673.176383万元</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17"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72"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99.97%</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72"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公开电话在群众中知晓覆盖率</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72"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市民满意度</w:t>
            </w:r>
          </w:p>
        </w:tc>
        <w:tc>
          <w:tcPr>
            <w:tcW w:w="14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5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11"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0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11"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72" w:type="dxa"/>
            <w:shd w:val="clear" w:color="auto" w:fill="auto"/>
            <w:vAlign w:val="center"/>
          </w:tcPr>
          <w:p>
            <w:pPr>
              <w:jc w:val="center"/>
              <w:rPr>
                <w:rFonts w:hint="eastAsia" w:ascii="宋体" w:hAnsi="宋体" w:eastAsia="宋体" w:cs="宋体"/>
                <w:i w:val="0"/>
                <w:color w:val="000000"/>
                <w:sz w:val="20"/>
                <w:szCs w:val="20"/>
                <w:u w:val="none"/>
              </w:rPr>
            </w:pPr>
          </w:p>
        </w:tc>
        <w:tc>
          <w:tcPr>
            <w:tcW w:w="1241" w:type="dxa"/>
            <w:shd w:val="clear" w:color="auto" w:fill="auto"/>
            <w:vAlign w:val="center"/>
          </w:tcPr>
          <w:p>
            <w:pPr>
              <w:jc w:val="center"/>
              <w:rPr>
                <w:rFonts w:hint="eastAsia" w:ascii="宋体" w:hAnsi="宋体" w:eastAsia="宋体" w:cs="宋体"/>
                <w:i w:val="0"/>
                <w:color w:val="000000"/>
                <w:sz w:val="20"/>
                <w:szCs w:val="20"/>
                <w:u w:val="none"/>
              </w:rPr>
            </w:pPr>
          </w:p>
        </w:tc>
        <w:tc>
          <w:tcPr>
            <w:tcW w:w="1043" w:type="dxa"/>
            <w:shd w:val="clear" w:color="auto" w:fill="auto"/>
            <w:vAlign w:val="center"/>
          </w:tcPr>
          <w:p>
            <w:pPr>
              <w:jc w:val="center"/>
              <w:rPr>
                <w:rFonts w:hint="eastAsia" w:ascii="宋体" w:hAnsi="宋体" w:eastAsia="宋体" w:cs="宋体"/>
                <w:i w:val="0"/>
                <w:color w:val="000000"/>
                <w:sz w:val="20"/>
                <w:szCs w:val="20"/>
                <w:u w:val="none"/>
              </w:rPr>
            </w:pPr>
          </w:p>
        </w:tc>
        <w:tc>
          <w:tcPr>
            <w:tcW w:w="1467" w:type="dxa"/>
            <w:shd w:val="clear" w:color="auto" w:fill="auto"/>
            <w:vAlign w:val="center"/>
          </w:tcPr>
          <w:p>
            <w:pPr>
              <w:jc w:val="center"/>
              <w:rPr>
                <w:rFonts w:hint="eastAsia" w:ascii="宋体" w:hAnsi="宋体" w:eastAsia="宋体" w:cs="宋体"/>
                <w:i w:val="0"/>
                <w:color w:val="000000"/>
                <w:sz w:val="20"/>
                <w:szCs w:val="20"/>
                <w:u w:val="none"/>
              </w:rPr>
            </w:pPr>
          </w:p>
        </w:tc>
        <w:tc>
          <w:tcPr>
            <w:tcW w:w="148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454"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Times New Roman" w:eastAsia="仿宋_GB2312"/>
          <w:b/>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jc w:val="left"/>
        <w:rPr>
          <w:rFonts w:hint="eastAsia" w:ascii="Times New Roman" w:hAnsi="Times New Roman" w:eastAsia="仿宋_GB2312"/>
          <w:kern w:val="2"/>
          <w:sz w:val="32"/>
          <w:szCs w:val="32"/>
          <w:lang w:val="zh-CN"/>
        </w:rPr>
      </w:pPr>
      <w:r>
        <w:rPr>
          <w:rFonts w:hint="eastAsia" w:ascii="Times New Roman" w:hAnsi="Times New Roman" w:eastAsia="仿宋_GB2312"/>
          <w:kern w:val="2"/>
          <w:sz w:val="32"/>
          <w:szCs w:val="32"/>
          <w:lang w:val="zh-CN"/>
        </w:rPr>
        <w:t>市政府微博、微信建设运维经费项目</w:t>
      </w:r>
    </w:p>
    <w:tbl>
      <w:tblPr>
        <w:tblStyle w:val="14"/>
        <w:tblpPr w:leftFromText="180" w:rightFromText="180" w:vertAnchor="text" w:horzAnchor="page" w:tblpX="1441" w:tblpY="160"/>
        <w:tblOverlap w:val="never"/>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0"/>
        <w:gridCol w:w="1026"/>
        <w:gridCol w:w="1235"/>
        <w:gridCol w:w="1223"/>
        <w:gridCol w:w="1012"/>
        <w:gridCol w:w="1431"/>
        <w:gridCol w:w="1443"/>
        <w:gridCol w:w="13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7"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4"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市政府微博、微信建设运维及政务公开培训经费(专项资金)</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w:t>
            </w: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用于市政府微博、微信建设运维及政务公开培训，确保工作正常开展。</w:t>
            </w:r>
          </w:p>
        </w:tc>
        <w:tc>
          <w:tcPr>
            <w:tcW w:w="38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用于市政府微博、微信建设运维及政务公开培训，确保工作正常开展。</w:t>
            </w:r>
          </w:p>
        </w:tc>
        <w:tc>
          <w:tcPr>
            <w:tcW w:w="13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atLeast"/>
        </w:trPr>
        <w:tc>
          <w:tcPr>
            <w:tcW w:w="1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7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35"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实际发送微博、微信公众号条数</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≥30条/月</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40条/月</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业务完成的质量</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5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业务完成的时效性与计划差额</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1天</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≤113.9万元</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113.3566万元</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35"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99.52%</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35"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微博、微信公众号市民知晓程度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85%</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35"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4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99.95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0"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6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2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35" w:type="dxa"/>
            <w:shd w:val="clear" w:color="auto" w:fill="auto"/>
            <w:vAlign w:val="center"/>
          </w:tcPr>
          <w:p>
            <w:pPr>
              <w:jc w:val="center"/>
              <w:rPr>
                <w:rFonts w:hint="eastAsia" w:ascii="宋体" w:hAnsi="宋体" w:eastAsia="宋体" w:cs="宋体"/>
                <w:i w:val="0"/>
                <w:color w:val="000000"/>
                <w:sz w:val="20"/>
                <w:szCs w:val="20"/>
                <w:u w:val="none"/>
              </w:rPr>
            </w:pPr>
          </w:p>
        </w:tc>
        <w:tc>
          <w:tcPr>
            <w:tcW w:w="1223" w:type="dxa"/>
            <w:shd w:val="clear" w:color="auto" w:fill="auto"/>
            <w:vAlign w:val="center"/>
          </w:tcPr>
          <w:p>
            <w:pPr>
              <w:jc w:val="center"/>
              <w:rPr>
                <w:rFonts w:hint="eastAsia" w:ascii="宋体" w:hAnsi="宋体" w:eastAsia="宋体" w:cs="宋体"/>
                <w:i w:val="0"/>
                <w:color w:val="000000"/>
                <w:sz w:val="20"/>
                <w:szCs w:val="20"/>
                <w:u w:val="none"/>
              </w:rPr>
            </w:pPr>
          </w:p>
        </w:tc>
        <w:tc>
          <w:tcPr>
            <w:tcW w:w="1012" w:type="dxa"/>
            <w:shd w:val="clear" w:color="auto" w:fill="auto"/>
            <w:vAlign w:val="center"/>
          </w:tcPr>
          <w:p>
            <w:pPr>
              <w:jc w:val="center"/>
              <w:rPr>
                <w:rFonts w:hint="eastAsia" w:ascii="宋体" w:hAnsi="宋体" w:eastAsia="宋体" w:cs="宋体"/>
                <w:i w:val="0"/>
                <w:color w:val="000000"/>
                <w:sz w:val="20"/>
                <w:szCs w:val="20"/>
                <w:u w:val="none"/>
              </w:rPr>
            </w:pPr>
          </w:p>
        </w:tc>
        <w:tc>
          <w:tcPr>
            <w:tcW w:w="1431" w:type="dxa"/>
            <w:shd w:val="clear" w:color="auto" w:fill="auto"/>
            <w:vAlign w:val="center"/>
          </w:tcPr>
          <w:p>
            <w:pPr>
              <w:jc w:val="center"/>
              <w:rPr>
                <w:rFonts w:hint="eastAsia" w:ascii="宋体" w:hAnsi="宋体" w:eastAsia="宋体" w:cs="宋体"/>
                <w:i w:val="0"/>
                <w:color w:val="000000"/>
                <w:sz w:val="20"/>
                <w:szCs w:val="20"/>
                <w:u w:val="none"/>
              </w:rPr>
            </w:pPr>
          </w:p>
        </w:tc>
        <w:tc>
          <w:tcPr>
            <w:tcW w:w="144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公务服务和会务服务保障经费</w:t>
      </w:r>
    </w:p>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eastAsia="zh-CN"/>
        </w:rPr>
      </w:pPr>
    </w:p>
    <w:tbl>
      <w:tblPr>
        <w:tblStyle w:val="14"/>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85"/>
        <w:gridCol w:w="1010"/>
        <w:gridCol w:w="1261"/>
        <w:gridCol w:w="1202"/>
        <w:gridCol w:w="1043"/>
        <w:gridCol w:w="1457"/>
        <w:gridCol w:w="1427"/>
        <w:gridCol w:w="13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58"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0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85"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公务服务和会务服务保障费(专项资金)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w:t>
            </w: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right"/>
              <w:outlineLvl w:val="9"/>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right"/>
              <w:outlineLvl w:val="9"/>
              <w:rPr>
                <w:rFonts w:hint="eastAsia" w:ascii="宋体" w:hAnsi="宋体" w:eastAsia="宋体" w:cs="宋体"/>
                <w:i w:val="0"/>
                <w:color w:val="000000"/>
                <w:sz w:val="20"/>
                <w:szCs w:val="20"/>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用于5号楼公务服务及会务服务，确保5号楼正常运转。</w:t>
            </w:r>
          </w:p>
        </w:tc>
        <w:tc>
          <w:tcPr>
            <w:tcW w:w="39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用于5号楼公务服务及会务服务，确保5号楼正常运转。</w:t>
            </w:r>
          </w:p>
        </w:tc>
        <w:tc>
          <w:tcPr>
            <w:tcW w:w="13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39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34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39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宋体" w:hAnsi="宋体" w:eastAsia="宋体" w:cs="宋体"/>
                <w:i w:val="0"/>
                <w:color w:val="000000"/>
                <w:sz w:val="20"/>
                <w:szCs w:val="20"/>
                <w:u w:val="none"/>
              </w:rPr>
            </w:pPr>
          </w:p>
        </w:tc>
        <w:tc>
          <w:tcPr>
            <w:tcW w:w="13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1"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实际服务人数</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≥18人</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18人</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服务质量合格率</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委托服务时间</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≤24小时</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24小时</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184.9015万元</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公务服务及会务服务工作质量</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得到提升</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得到提升</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干部职工满意度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4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85"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1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1" w:type="dxa"/>
            <w:shd w:val="clear" w:color="auto" w:fill="auto"/>
            <w:vAlign w:val="center"/>
          </w:tcPr>
          <w:p>
            <w:pPr>
              <w:jc w:val="center"/>
              <w:rPr>
                <w:rFonts w:hint="eastAsia" w:ascii="宋体" w:hAnsi="宋体" w:eastAsia="宋体" w:cs="宋体"/>
                <w:i w:val="0"/>
                <w:color w:val="000000"/>
                <w:sz w:val="20"/>
                <w:szCs w:val="20"/>
                <w:u w:val="none"/>
              </w:rPr>
            </w:pPr>
          </w:p>
        </w:tc>
        <w:tc>
          <w:tcPr>
            <w:tcW w:w="1202" w:type="dxa"/>
            <w:shd w:val="clear" w:color="auto" w:fill="auto"/>
            <w:vAlign w:val="center"/>
          </w:tcPr>
          <w:p>
            <w:pPr>
              <w:jc w:val="center"/>
              <w:rPr>
                <w:rFonts w:hint="eastAsia" w:ascii="宋体" w:hAnsi="宋体" w:eastAsia="宋体" w:cs="宋体"/>
                <w:i w:val="0"/>
                <w:color w:val="000000"/>
                <w:sz w:val="20"/>
                <w:szCs w:val="20"/>
                <w:u w:val="none"/>
              </w:rPr>
            </w:pPr>
          </w:p>
        </w:tc>
        <w:tc>
          <w:tcPr>
            <w:tcW w:w="1043" w:type="dxa"/>
            <w:shd w:val="clear" w:color="auto" w:fill="auto"/>
            <w:vAlign w:val="center"/>
          </w:tcPr>
          <w:p>
            <w:pPr>
              <w:jc w:val="center"/>
              <w:rPr>
                <w:rFonts w:hint="eastAsia" w:ascii="宋体" w:hAnsi="宋体" w:eastAsia="宋体" w:cs="宋体"/>
                <w:i w:val="0"/>
                <w:color w:val="000000"/>
                <w:sz w:val="20"/>
                <w:szCs w:val="20"/>
                <w:u w:val="none"/>
              </w:rPr>
            </w:pPr>
          </w:p>
        </w:tc>
        <w:tc>
          <w:tcPr>
            <w:tcW w:w="1457" w:type="dxa"/>
            <w:shd w:val="clear" w:color="auto" w:fill="auto"/>
            <w:vAlign w:val="center"/>
          </w:tcPr>
          <w:p>
            <w:pPr>
              <w:jc w:val="center"/>
              <w:rPr>
                <w:rFonts w:hint="eastAsia" w:ascii="宋体" w:hAnsi="宋体" w:eastAsia="宋体" w:cs="宋体"/>
                <w:i w:val="0"/>
                <w:color w:val="000000"/>
                <w:sz w:val="20"/>
                <w:szCs w:val="20"/>
                <w:u w:val="none"/>
              </w:rPr>
            </w:pPr>
          </w:p>
        </w:tc>
        <w:tc>
          <w:tcPr>
            <w:tcW w:w="142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7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jc w:val="left"/>
        <w:rPr>
          <w:rFonts w:hint="eastAsia" w:ascii="仿宋_GB2312" w:hAnsi="仿宋_GB2312" w:eastAsia="仿宋_GB2312" w:cs="仿宋_GB2312"/>
          <w:b w:val="0"/>
          <w:sz w:val="32"/>
          <w:szCs w:val="32"/>
          <w:lang w:val="zh-CN"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办公室综合业务保障经费</w:t>
      </w:r>
    </w:p>
    <w:tbl>
      <w:tblPr>
        <w:tblStyle w:val="14"/>
        <w:tblW w:w="98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3"/>
        <w:gridCol w:w="1031"/>
        <w:gridCol w:w="1265"/>
        <w:gridCol w:w="1230"/>
        <w:gridCol w:w="1039"/>
        <w:gridCol w:w="1460"/>
        <w:gridCol w:w="1472"/>
        <w:gridCol w:w="1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895"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95"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7028"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67"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办公室综合业务保障经费（专项资金）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3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w:t>
            </w: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7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用于业务委托、调研等，确保市政府办公室正常运转。</w:t>
            </w:r>
          </w:p>
        </w:tc>
        <w:tc>
          <w:tcPr>
            <w:tcW w:w="397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用于业务委托、调研等，确保市政府办公室正常运转。</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52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委托服务单位数量</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≥5个</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5个</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业务完成质量</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业务完成的时效性</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1天</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≤287.342万元</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166.967244万元</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58.11%</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5.81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政府办整体运转效率</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有所提高</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有所提高</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委托服务申请科室满意度</w:t>
            </w:r>
          </w:p>
        </w:tc>
        <w:tc>
          <w:tcPr>
            <w:tcW w:w="14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4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95.81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3"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厉行勤俭节约、绿色办公，节约开支。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3"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5" w:type="dxa"/>
            <w:shd w:val="clear" w:color="auto" w:fill="auto"/>
            <w:vAlign w:val="center"/>
          </w:tcPr>
          <w:p>
            <w:pPr>
              <w:jc w:val="center"/>
              <w:rPr>
                <w:rFonts w:hint="eastAsia" w:ascii="宋体" w:hAnsi="宋体" w:eastAsia="宋体" w:cs="宋体"/>
                <w:i w:val="0"/>
                <w:color w:val="000000"/>
                <w:sz w:val="20"/>
                <w:szCs w:val="20"/>
                <w:u w:val="none"/>
              </w:rPr>
            </w:pPr>
          </w:p>
        </w:tc>
        <w:tc>
          <w:tcPr>
            <w:tcW w:w="1230" w:type="dxa"/>
            <w:shd w:val="clear" w:color="auto" w:fill="auto"/>
            <w:vAlign w:val="center"/>
          </w:tcPr>
          <w:p>
            <w:pPr>
              <w:jc w:val="center"/>
              <w:rPr>
                <w:rFonts w:hint="eastAsia" w:ascii="宋体" w:hAnsi="宋体" w:eastAsia="宋体" w:cs="宋体"/>
                <w:i w:val="0"/>
                <w:color w:val="000000"/>
                <w:sz w:val="20"/>
                <w:szCs w:val="20"/>
                <w:u w:val="none"/>
              </w:rPr>
            </w:pPr>
          </w:p>
        </w:tc>
        <w:tc>
          <w:tcPr>
            <w:tcW w:w="1039" w:type="dxa"/>
            <w:shd w:val="clear" w:color="auto" w:fill="auto"/>
            <w:vAlign w:val="center"/>
          </w:tcPr>
          <w:p>
            <w:pPr>
              <w:jc w:val="center"/>
              <w:rPr>
                <w:rFonts w:hint="eastAsia" w:ascii="宋体" w:hAnsi="宋体" w:eastAsia="宋体" w:cs="宋体"/>
                <w:i w:val="0"/>
                <w:color w:val="000000"/>
                <w:sz w:val="20"/>
                <w:szCs w:val="20"/>
                <w:u w:val="none"/>
              </w:rPr>
            </w:pPr>
          </w:p>
        </w:tc>
        <w:tc>
          <w:tcPr>
            <w:tcW w:w="1460" w:type="dxa"/>
            <w:shd w:val="clear" w:color="auto" w:fill="auto"/>
            <w:vAlign w:val="center"/>
          </w:tcPr>
          <w:p>
            <w:pPr>
              <w:jc w:val="center"/>
              <w:rPr>
                <w:rFonts w:hint="eastAsia" w:ascii="宋体" w:hAnsi="宋体" w:eastAsia="宋体" w:cs="宋体"/>
                <w:i w:val="0"/>
                <w:color w:val="000000"/>
                <w:sz w:val="20"/>
                <w:szCs w:val="20"/>
                <w:u w:val="none"/>
              </w:rPr>
            </w:pPr>
          </w:p>
        </w:tc>
        <w:tc>
          <w:tcPr>
            <w:tcW w:w="147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公益损害及环境污染举报奖励经费</w:t>
      </w:r>
    </w:p>
    <w:tbl>
      <w:tblPr>
        <w:tblStyle w:val="14"/>
        <w:tblW w:w="97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9"/>
        <w:gridCol w:w="1036"/>
        <w:gridCol w:w="1215"/>
        <w:gridCol w:w="1237"/>
        <w:gridCol w:w="1009"/>
        <w:gridCol w:w="1421"/>
        <w:gridCol w:w="1432"/>
        <w:gridCol w:w="14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9"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9"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7"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2"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9"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公益损害及环境污染举报奖励经费(专项资金)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w:t>
            </w: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w:t>
            </w: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用于公益损害及环境污染举报奖励，提升市民举报积极性。</w:t>
            </w:r>
          </w:p>
        </w:tc>
        <w:tc>
          <w:tcPr>
            <w:tcW w:w="386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用于公益损害及环境污染举报奖励，提升市民举报积极性。</w:t>
            </w: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实际奖励次数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≥20次</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92次</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举报核实后奖励覆盖率</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奖励的时效性</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≤2星期</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2星期</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≤2万元</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0.433万元</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21.65%</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群众举报积极性</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举报人满意度</w:t>
            </w:r>
          </w:p>
        </w:tc>
        <w:tc>
          <w:tcPr>
            <w:tcW w:w="14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4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9"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按照市民实际举报和核实情况进行奖励。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9"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5" w:type="dxa"/>
            <w:shd w:val="clear" w:color="auto" w:fill="auto"/>
            <w:vAlign w:val="center"/>
          </w:tcPr>
          <w:p>
            <w:pPr>
              <w:jc w:val="center"/>
              <w:rPr>
                <w:rFonts w:hint="eastAsia" w:ascii="宋体" w:hAnsi="宋体" w:eastAsia="宋体" w:cs="宋体"/>
                <w:i w:val="0"/>
                <w:color w:val="000000"/>
                <w:sz w:val="20"/>
                <w:szCs w:val="20"/>
                <w:u w:val="none"/>
              </w:rPr>
            </w:pPr>
          </w:p>
        </w:tc>
        <w:tc>
          <w:tcPr>
            <w:tcW w:w="1237" w:type="dxa"/>
            <w:shd w:val="clear" w:color="auto" w:fill="auto"/>
            <w:vAlign w:val="center"/>
          </w:tcPr>
          <w:p>
            <w:pPr>
              <w:jc w:val="center"/>
              <w:rPr>
                <w:rFonts w:hint="eastAsia" w:ascii="宋体" w:hAnsi="宋体" w:eastAsia="宋体" w:cs="宋体"/>
                <w:i w:val="0"/>
                <w:color w:val="000000"/>
                <w:sz w:val="20"/>
                <w:szCs w:val="20"/>
                <w:u w:val="none"/>
              </w:rPr>
            </w:pPr>
          </w:p>
        </w:tc>
        <w:tc>
          <w:tcPr>
            <w:tcW w:w="1009" w:type="dxa"/>
            <w:shd w:val="clear" w:color="auto" w:fill="auto"/>
            <w:vAlign w:val="center"/>
          </w:tcPr>
          <w:p>
            <w:pPr>
              <w:jc w:val="center"/>
              <w:rPr>
                <w:rFonts w:hint="eastAsia" w:ascii="宋体" w:hAnsi="宋体" w:eastAsia="宋体" w:cs="宋体"/>
                <w:i w:val="0"/>
                <w:color w:val="000000"/>
                <w:sz w:val="20"/>
                <w:szCs w:val="20"/>
                <w:u w:val="none"/>
              </w:rPr>
            </w:pPr>
          </w:p>
        </w:tc>
        <w:tc>
          <w:tcPr>
            <w:tcW w:w="1421" w:type="dxa"/>
            <w:shd w:val="clear" w:color="auto" w:fill="auto"/>
            <w:vAlign w:val="center"/>
          </w:tcPr>
          <w:p>
            <w:pPr>
              <w:jc w:val="center"/>
              <w:rPr>
                <w:rFonts w:hint="eastAsia" w:ascii="宋体" w:hAnsi="宋体" w:eastAsia="宋体" w:cs="宋体"/>
                <w:i w:val="0"/>
                <w:color w:val="000000"/>
                <w:sz w:val="20"/>
                <w:szCs w:val="20"/>
                <w:u w:val="none"/>
              </w:rPr>
            </w:pPr>
          </w:p>
        </w:tc>
        <w:tc>
          <w:tcPr>
            <w:tcW w:w="143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40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市政府驻京联络处经费</w:t>
      </w:r>
    </w:p>
    <w:tbl>
      <w:tblPr>
        <w:tblStyle w:val="14"/>
        <w:tblW w:w="97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8"/>
        <w:gridCol w:w="1035"/>
        <w:gridCol w:w="1213"/>
        <w:gridCol w:w="1235"/>
        <w:gridCol w:w="1008"/>
        <w:gridCol w:w="1420"/>
        <w:gridCol w:w="1442"/>
        <w:gridCol w:w="1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0"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0"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19"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41"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8"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市政府驻京联络处经费(专项资金)</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3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w:t>
            </w: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用于驻京联络处日常办公，确保工作正常开展。</w:t>
            </w:r>
          </w:p>
        </w:tc>
        <w:tc>
          <w:tcPr>
            <w:tcW w:w="38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用于驻京联络处日常办公，确保工作正常开展。</w:t>
            </w:r>
          </w:p>
        </w:tc>
        <w:tc>
          <w:tcPr>
            <w:tcW w:w="139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3"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购买办公用品批次</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12次</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办公用品合格率</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购置频次</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≥1次/月</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1次/月</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≤45万元</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45万元</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3"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3"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驻京联络处工作效能</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得到提高</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3"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驻京联络处干部职工满意度</w:t>
            </w:r>
          </w:p>
        </w:tc>
        <w:tc>
          <w:tcPr>
            <w:tcW w:w="14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8"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3" w:type="dxa"/>
            <w:shd w:val="clear" w:color="auto" w:fill="auto"/>
            <w:vAlign w:val="center"/>
          </w:tcPr>
          <w:p>
            <w:pPr>
              <w:jc w:val="center"/>
              <w:rPr>
                <w:rFonts w:hint="eastAsia" w:ascii="宋体" w:hAnsi="宋体" w:eastAsia="宋体" w:cs="宋体"/>
                <w:i w:val="0"/>
                <w:color w:val="000000"/>
                <w:sz w:val="20"/>
                <w:szCs w:val="20"/>
                <w:u w:val="none"/>
              </w:rPr>
            </w:pPr>
          </w:p>
        </w:tc>
        <w:tc>
          <w:tcPr>
            <w:tcW w:w="1235" w:type="dxa"/>
            <w:shd w:val="clear" w:color="auto" w:fill="auto"/>
            <w:vAlign w:val="center"/>
          </w:tcPr>
          <w:p>
            <w:pPr>
              <w:jc w:val="center"/>
              <w:rPr>
                <w:rFonts w:hint="eastAsia" w:ascii="宋体" w:hAnsi="宋体" w:eastAsia="宋体" w:cs="宋体"/>
                <w:i w:val="0"/>
                <w:color w:val="000000"/>
                <w:sz w:val="20"/>
                <w:szCs w:val="20"/>
                <w:u w:val="none"/>
              </w:rPr>
            </w:pPr>
          </w:p>
        </w:tc>
        <w:tc>
          <w:tcPr>
            <w:tcW w:w="1008" w:type="dxa"/>
            <w:shd w:val="clear" w:color="auto" w:fill="auto"/>
            <w:vAlign w:val="center"/>
          </w:tcPr>
          <w:p>
            <w:pPr>
              <w:jc w:val="center"/>
              <w:rPr>
                <w:rFonts w:hint="eastAsia" w:ascii="宋体" w:hAnsi="宋体" w:eastAsia="宋体" w:cs="宋体"/>
                <w:i w:val="0"/>
                <w:color w:val="000000"/>
                <w:sz w:val="20"/>
                <w:szCs w:val="20"/>
                <w:u w:val="none"/>
              </w:rPr>
            </w:pPr>
          </w:p>
        </w:tc>
        <w:tc>
          <w:tcPr>
            <w:tcW w:w="1420" w:type="dxa"/>
            <w:shd w:val="clear" w:color="auto" w:fill="auto"/>
            <w:vAlign w:val="center"/>
          </w:tcPr>
          <w:p>
            <w:pPr>
              <w:jc w:val="center"/>
              <w:rPr>
                <w:rFonts w:hint="eastAsia" w:ascii="宋体" w:hAnsi="宋体" w:eastAsia="宋体" w:cs="宋体"/>
                <w:i w:val="0"/>
                <w:color w:val="000000"/>
                <w:sz w:val="20"/>
                <w:szCs w:val="20"/>
                <w:u w:val="none"/>
              </w:rPr>
            </w:pPr>
          </w:p>
        </w:tc>
        <w:tc>
          <w:tcPr>
            <w:tcW w:w="144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9"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私搭乱建、违章建筑专项整治办公经费</w:t>
      </w:r>
    </w:p>
    <w:tbl>
      <w:tblPr>
        <w:tblStyle w:val="14"/>
        <w:tblW w:w="98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1"/>
        <w:gridCol w:w="1017"/>
        <w:gridCol w:w="1266"/>
        <w:gridCol w:w="1211"/>
        <w:gridCol w:w="1046"/>
        <w:gridCol w:w="1461"/>
        <w:gridCol w:w="1448"/>
        <w:gridCol w:w="13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822"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822"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92"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0"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91"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私搭乱建、违章建筑专项整治办公经费(专项资金)</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9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w:t>
            </w: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用于市私搭乱建、违章建筑专项整治指挥部办公经费，确保指挥部工作正常运转。</w:t>
            </w:r>
          </w:p>
        </w:tc>
        <w:tc>
          <w:tcPr>
            <w:tcW w:w="39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用于市私搭乱建、违章建筑专项整治指挥部办公经费，确保指挥部工作正常运转。</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66"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指挥部实际工作人数</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≥20人</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清理私搭乱建、违章建筑效果与计划对比</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实际工作时长</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≥1.5年</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1.5年</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预算成本</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≤426.8367万元</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426.83662万元</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6"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66"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市容市貌达到预期效果</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66"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指挥部工作人员满意度</w:t>
            </w:r>
          </w:p>
        </w:tc>
        <w:tc>
          <w:tcPr>
            <w:tcW w:w="14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44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91"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83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1"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17"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66" w:type="dxa"/>
            <w:shd w:val="clear" w:color="auto" w:fill="auto"/>
            <w:vAlign w:val="center"/>
          </w:tcPr>
          <w:p>
            <w:pPr>
              <w:jc w:val="center"/>
              <w:rPr>
                <w:rFonts w:hint="eastAsia" w:ascii="宋体" w:hAnsi="宋体" w:eastAsia="宋体" w:cs="宋体"/>
                <w:i w:val="0"/>
                <w:color w:val="000000"/>
                <w:sz w:val="20"/>
                <w:szCs w:val="20"/>
                <w:u w:val="none"/>
              </w:rPr>
            </w:pPr>
          </w:p>
        </w:tc>
        <w:tc>
          <w:tcPr>
            <w:tcW w:w="1211" w:type="dxa"/>
            <w:shd w:val="clear" w:color="auto" w:fill="auto"/>
            <w:vAlign w:val="center"/>
          </w:tcPr>
          <w:p>
            <w:pPr>
              <w:jc w:val="center"/>
              <w:rPr>
                <w:rFonts w:hint="eastAsia" w:ascii="宋体" w:hAnsi="宋体" w:eastAsia="宋体" w:cs="宋体"/>
                <w:i w:val="0"/>
                <w:color w:val="000000"/>
                <w:sz w:val="20"/>
                <w:szCs w:val="20"/>
                <w:u w:val="none"/>
              </w:rPr>
            </w:pPr>
          </w:p>
        </w:tc>
        <w:tc>
          <w:tcPr>
            <w:tcW w:w="1046" w:type="dxa"/>
            <w:shd w:val="clear" w:color="auto" w:fill="auto"/>
            <w:vAlign w:val="center"/>
          </w:tcPr>
          <w:p>
            <w:pPr>
              <w:jc w:val="center"/>
              <w:rPr>
                <w:rFonts w:hint="eastAsia" w:ascii="宋体" w:hAnsi="宋体" w:eastAsia="宋体" w:cs="宋体"/>
                <w:i w:val="0"/>
                <w:color w:val="000000"/>
                <w:sz w:val="20"/>
                <w:szCs w:val="20"/>
                <w:u w:val="none"/>
              </w:rPr>
            </w:pPr>
          </w:p>
        </w:tc>
        <w:tc>
          <w:tcPr>
            <w:tcW w:w="1461" w:type="dxa"/>
            <w:shd w:val="clear" w:color="auto" w:fill="auto"/>
            <w:vAlign w:val="center"/>
          </w:tcPr>
          <w:p>
            <w:pPr>
              <w:jc w:val="center"/>
              <w:rPr>
                <w:rFonts w:hint="eastAsia" w:ascii="宋体" w:hAnsi="宋体" w:eastAsia="宋体" w:cs="宋体"/>
                <w:i w:val="0"/>
                <w:color w:val="000000"/>
                <w:sz w:val="20"/>
                <w:szCs w:val="20"/>
                <w:u w:val="none"/>
              </w:rPr>
            </w:pPr>
          </w:p>
        </w:tc>
        <w:tc>
          <w:tcPr>
            <w:tcW w:w="1448"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8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业务培训费</w:t>
      </w:r>
    </w:p>
    <w:tbl>
      <w:tblPr>
        <w:tblStyle w:val="14"/>
        <w:tblW w:w="97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6"/>
        <w:gridCol w:w="1023"/>
        <w:gridCol w:w="1244"/>
        <w:gridCol w:w="1219"/>
        <w:gridCol w:w="1022"/>
        <w:gridCol w:w="1439"/>
        <w:gridCol w:w="1427"/>
        <w:gridCol w:w="13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8"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8"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43"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15"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99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业务培训费</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3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w:t>
            </w: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组织大型培训活动，确保培训人员综合素质提高。</w:t>
            </w:r>
          </w:p>
        </w:tc>
        <w:tc>
          <w:tcPr>
            <w:tcW w:w="38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组织大型培训活动，确保培训人员综合素质提高。</w:t>
            </w:r>
          </w:p>
        </w:tc>
        <w:tc>
          <w:tcPr>
            <w:tcW w:w="138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8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44"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培训次数</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1次</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培训人员综合素质提高</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培训人员综合素质提高</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按计划计时培训</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≤22.596万元</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22.596万元</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44"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44"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44"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资金使用人满意度</w:t>
            </w:r>
          </w:p>
        </w:tc>
        <w:tc>
          <w:tcPr>
            <w:tcW w:w="14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7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996"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96"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23"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44" w:type="dxa"/>
            <w:shd w:val="clear" w:color="auto" w:fill="auto"/>
            <w:vAlign w:val="center"/>
          </w:tcPr>
          <w:p>
            <w:pPr>
              <w:jc w:val="center"/>
              <w:rPr>
                <w:rFonts w:hint="eastAsia" w:ascii="宋体" w:hAnsi="宋体" w:eastAsia="宋体" w:cs="宋体"/>
                <w:i w:val="0"/>
                <w:color w:val="000000"/>
                <w:sz w:val="20"/>
                <w:szCs w:val="20"/>
                <w:u w:val="none"/>
              </w:rPr>
            </w:pPr>
          </w:p>
        </w:tc>
        <w:tc>
          <w:tcPr>
            <w:tcW w:w="1219" w:type="dxa"/>
            <w:shd w:val="clear" w:color="auto" w:fill="auto"/>
            <w:vAlign w:val="center"/>
          </w:tcPr>
          <w:p>
            <w:pPr>
              <w:jc w:val="center"/>
              <w:rPr>
                <w:rFonts w:hint="eastAsia" w:ascii="宋体" w:hAnsi="宋体" w:eastAsia="宋体" w:cs="宋体"/>
                <w:i w:val="0"/>
                <w:color w:val="000000"/>
                <w:sz w:val="20"/>
                <w:szCs w:val="20"/>
                <w:u w:val="none"/>
              </w:rPr>
            </w:pPr>
          </w:p>
        </w:tc>
        <w:tc>
          <w:tcPr>
            <w:tcW w:w="1022" w:type="dxa"/>
            <w:shd w:val="clear" w:color="auto" w:fill="auto"/>
            <w:vAlign w:val="center"/>
          </w:tcPr>
          <w:p>
            <w:pPr>
              <w:jc w:val="center"/>
              <w:rPr>
                <w:rFonts w:hint="eastAsia" w:ascii="宋体" w:hAnsi="宋体" w:eastAsia="宋体" w:cs="宋体"/>
                <w:i w:val="0"/>
                <w:color w:val="000000"/>
                <w:sz w:val="20"/>
                <w:szCs w:val="20"/>
                <w:u w:val="none"/>
              </w:rPr>
            </w:pPr>
          </w:p>
        </w:tc>
        <w:tc>
          <w:tcPr>
            <w:tcW w:w="1439" w:type="dxa"/>
            <w:shd w:val="clear" w:color="auto" w:fill="auto"/>
            <w:vAlign w:val="center"/>
          </w:tcPr>
          <w:p>
            <w:pPr>
              <w:jc w:val="center"/>
              <w:rPr>
                <w:rFonts w:hint="eastAsia" w:ascii="宋体" w:hAnsi="宋体" w:eastAsia="宋体" w:cs="宋体"/>
                <w:i w:val="0"/>
                <w:color w:val="000000"/>
                <w:sz w:val="20"/>
                <w:szCs w:val="20"/>
                <w:u w:val="none"/>
              </w:rPr>
            </w:pPr>
          </w:p>
        </w:tc>
        <w:tc>
          <w:tcPr>
            <w:tcW w:w="142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88"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业务咨询委托费</w:t>
      </w:r>
    </w:p>
    <w:tbl>
      <w:tblPr>
        <w:tblStyle w:val="14"/>
        <w:tblW w:w="975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5"/>
        <w:gridCol w:w="1031"/>
        <w:gridCol w:w="1229"/>
        <w:gridCol w:w="1229"/>
        <w:gridCol w:w="1005"/>
        <w:gridCol w:w="1425"/>
        <w:gridCol w:w="1437"/>
        <w:gridCol w:w="13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57"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57"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6924" w:type="dxa"/>
            <w:gridSpan w:val="6"/>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2833"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业务咨询委托费</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w:t>
            </w: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委托第三方专业机构进行业务咨询等，确保工作正常开展。</w:t>
            </w:r>
          </w:p>
        </w:tc>
        <w:tc>
          <w:tcPr>
            <w:tcW w:w="386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委托第三方专业机构进行业务咨询等，确保工作正常开展。</w:t>
            </w:r>
          </w:p>
        </w:tc>
        <w:tc>
          <w:tcPr>
            <w:tcW w:w="1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29"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委托次数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≥6次</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6次</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业务完成质量</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与文件规定相符</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与文件规定相符</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工作完成的时效性</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1星期</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≤89.3万元</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80.8045万元</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29"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90.49%</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29"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29"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资金使用人满意度</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735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99.05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5"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5"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1"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29" w:type="dxa"/>
            <w:shd w:val="clear" w:color="auto" w:fill="auto"/>
            <w:vAlign w:val="center"/>
          </w:tcPr>
          <w:p>
            <w:pPr>
              <w:jc w:val="center"/>
              <w:rPr>
                <w:rFonts w:hint="eastAsia" w:ascii="宋体" w:hAnsi="宋体" w:eastAsia="宋体" w:cs="宋体"/>
                <w:i w:val="0"/>
                <w:color w:val="000000"/>
                <w:sz w:val="20"/>
                <w:szCs w:val="20"/>
                <w:u w:val="none"/>
              </w:rPr>
            </w:pPr>
          </w:p>
        </w:tc>
        <w:tc>
          <w:tcPr>
            <w:tcW w:w="1229" w:type="dxa"/>
            <w:shd w:val="clear" w:color="auto" w:fill="auto"/>
            <w:vAlign w:val="center"/>
          </w:tcPr>
          <w:p>
            <w:pPr>
              <w:jc w:val="center"/>
              <w:rPr>
                <w:rFonts w:hint="eastAsia" w:ascii="宋体" w:hAnsi="宋体" w:eastAsia="宋体" w:cs="宋体"/>
                <w:i w:val="0"/>
                <w:color w:val="000000"/>
                <w:sz w:val="20"/>
                <w:szCs w:val="20"/>
                <w:u w:val="none"/>
              </w:rPr>
            </w:pPr>
          </w:p>
        </w:tc>
        <w:tc>
          <w:tcPr>
            <w:tcW w:w="1005" w:type="dxa"/>
            <w:shd w:val="clear" w:color="auto" w:fill="auto"/>
            <w:vAlign w:val="center"/>
          </w:tcPr>
          <w:p>
            <w:pPr>
              <w:jc w:val="center"/>
              <w:rPr>
                <w:rFonts w:hint="eastAsia" w:ascii="宋体" w:hAnsi="宋体" w:eastAsia="宋体" w:cs="宋体"/>
                <w:i w:val="0"/>
                <w:color w:val="000000"/>
                <w:sz w:val="20"/>
                <w:szCs w:val="20"/>
                <w:u w:val="none"/>
              </w:rPr>
            </w:pPr>
          </w:p>
        </w:tc>
        <w:tc>
          <w:tcPr>
            <w:tcW w:w="1425" w:type="dxa"/>
            <w:shd w:val="clear" w:color="auto" w:fill="auto"/>
            <w:vAlign w:val="center"/>
          </w:tcPr>
          <w:p>
            <w:pPr>
              <w:jc w:val="center"/>
              <w:rPr>
                <w:rFonts w:hint="eastAsia" w:ascii="宋体" w:hAnsi="宋体" w:eastAsia="宋体" w:cs="宋体"/>
                <w:i w:val="0"/>
                <w:color w:val="000000"/>
                <w:sz w:val="20"/>
                <w:szCs w:val="20"/>
                <w:u w:val="none"/>
              </w:rPr>
            </w:pPr>
          </w:p>
        </w:tc>
        <w:tc>
          <w:tcPr>
            <w:tcW w:w="143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6"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pPr>
      <w:r>
        <w:rPr>
          <w:rFonts w:hint="eastAsia" w:ascii="仿宋_GB2312" w:hAnsi="仿宋_GB2312" w:eastAsia="仿宋_GB2312" w:cs="仿宋_GB2312"/>
          <w:b w:val="0"/>
          <w:sz w:val="32"/>
          <w:szCs w:val="32"/>
          <w:lang w:eastAsia="zh-CN"/>
        </w:rPr>
        <w:t>专项邮电费</w:t>
      </w:r>
    </w:p>
    <w:tbl>
      <w:tblPr>
        <w:tblStyle w:val="14"/>
        <w:tblW w:w="97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07"/>
        <w:gridCol w:w="1034"/>
        <w:gridCol w:w="1211"/>
        <w:gridCol w:w="1234"/>
        <w:gridCol w:w="1007"/>
        <w:gridCol w:w="1418"/>
        <w:gridCol w:w="1452"/>
        <w:gridCol w:w="13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510" w:hRule="atLeast"/>
        </w:trPr>
        <w:tc>
          <w:tcPr>
            <w:tcW w:w="9761"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bookmarkStart w:id="0" w:name="_GoBack"/>
            <w:r>
              <w:rPr>
                <w:rFonts w:hint="default" w:ascii="方正小标宋简体" w:hAnsi="方正小标宋简体" w:eastAsia="方正小标宋简体" w:cs="方正小标宋简体"/>
                <w:i w:val="0"/>
                <w:color w:val="000000"/>
                <w:kern w:val="0"/>
                <w:sz w:val="40"/>
                <w:szCs w:val="40"/>
                <w:u w:val="none"/>
                <w:lang w:val="en-US" w:eastAsia="zh-CN" w:bidi="ar"/>
              </w:rPr>
              <w:t>市级部门预算项目绩效自评表</w:t>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9761"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5493" w:type="dxa"/>
            <w:gridSpan w:val="5"/>
            <w:shd w:val="clear" w:color="auto" w:fill="auto"/>
            <w:vAlign w:val="center"/>
          </w:tcPr>
          <w:p>
            <w:pPr>
              <w:jc w:val="left"/>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填报单位：石家庄市人民政府办公室</w:t>
            </w:r>
          </w:p>
        </w:tc>
        <w:tc>
          <w:tcPr>
            <w:tcW w:w="1418" w:type="dxa"/>
            <w:shd w:val="clear" w:color="auto" w:fill="auto"/>
            <w:vAlign w:val="center"/>
          </w:tcPr>
          <w:p>
            <w:pPr>
              <w:jc w:val="center"/>
              <w:rPr>
                <w:rFonts w:hint="eastAsia" w:ascii="宋体" w:hAnsi="宋体" w:eastAsia="宋体" w:cs="宋体"/>
                <w:i w:val="0"/>
                <w:color w:val="000000"/>
                <w:sz w:val="20"/>
                <w:szCs w:val="20"/>
                <w:u w:val="none"/>
              </w:rPr>
            </w:pPr>
          </w:p>
        </w:tc>
        <w:tc>
          <w:tcPr>
            <w:tcW w:w="2850" w:type="dxa"/>
            <w:gridSpan w:val="2"/>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80" w:hRule="atLeast"/>
        </w:trPr>
        <w:tc>
          <w:tcPr>
            <w:tcW w:w="1007"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专项邮电费</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6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w:t>
            </w:r>
          </w:p>
        </w:tc>
        <w:tc>
          <w:tcPr>
            <w:tcW w:w="1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w:t>
            </w: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47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7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用于交换中心邮件费，确保公文在区县间正常流转。</w:t>
            </w:r>
          </w:p>
        </w:tc>
        <w:tc>
          <w:tcPr>
            <w:tcW w:w="387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用于交换中心邮件费，确保公文在区县间正常流转。</w:t>
            </w:r>
          </w:p>
        </w:tc>
        <w:tc>
          <w:tcPr>
            <w:tcW w:w="13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347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87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13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产出指标（40分）</w:t>
            </w:r>
          </w:p>
        </w:tc>
        <w:tc>
          <w:tcPr>
            <w:tcW w:w="1211" w:type="dxa"/>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邮寄次数</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≥300次</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300余次</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0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邮寄的合格率</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及时到达</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≤3天</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2天</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≤10万元</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6.729561万元</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72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1" w:type="dxa"/>
            <w:tcBorders>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67.30%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6.73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left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121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产生一定的社会效益</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211" w:type="dxa"/>
            <w:tcBorders>
              <w:top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4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寄件人及收件人满意度</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4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宋体" w:hAnsi="宋体" w:eastAsia="宋体" w:cs="宋体"/>
                <w:i w:val="0"/>
                <w:color w:val="000000"/>
                <w:sz w:val="20"/>
                <w:szCs w:val="20"/>
                <w:u w:val="none"/>
              </w:rPr>
            </w:pPr>
          </w:p>
        </w:tc>
        <w:tc>
          <w:tcPr>
            <w:tcW w:w="735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96.73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75" w:hRule="atLeast"/>
        </w:trPr>
        <w:tc>
          <w:tcPr>
            <w:tcW w:w="1007" w:type="dxa"/>
            <w:tcBorders>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87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实行无纸化办公，文件线上流转，线下邮寄文件次数减少。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285" w:hRule="atLeast"/>
        </w:trPr>
        <w:tc>
          <w:tcPr>
            <w:tcW w:w="1007"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w:t>
            </w: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李艺鸣</w:t>
            </w:r>
          </w:p>
        </w:tc>
        <w:tc>
          <w:tcPr>
            <w:tcW w:w="1211" w:type="dxa"/>
            <w:shd w:val="clear" w:color="auto" w:fill="auto"/>
            <w:vAlign w:val="center"/>
          </w:tcPr>
          <w:p>
            <w:pPr>
              <w:jc w:val="center"/>
              <w:rPr>
                <w:rFonts w:hint="eastAsia" w:ascii="宋体" w:hAnsi="宋体" w:eastAsia="宋体" w:cs="宋体"/>
                <w:i w:val="0"/>
                <w:color w:val="000000"/>
                <w:sz w:val="20"/>
                <w:szCs w:val="20"/>
                <w:u w:val="none"/>
              </w:rPr>
            </w:pPr>
          </w:p>
        </w:tc>
        <w:tc>
          <w:tcPr>
            <w:tcW w:w="1234" w:type="dxa"/>
            <w:shd w:val="clear" w:color="auto" w:fill="auto"/>
            <w:vAlign w:val="center"/>
          </w:tcPr>
          <w:p>
            <w:pPr>
              <w:jc w:val="center"/>
              <w:rPr>
                <w:rFonts w:hint="eastAsia" w:ascii="宋体" w:hAnsi="宋体" w:eastAsia="宋体" w:cs="宋体"/>
                <w:i w:val="0"/>
                <w:color w:val="000000"/>
                <w:sz w:val="20"/>
                <w:szCs w:val="20"/>
                <w:u w:val="none"/>
              </w:rPr>
            </w:pPr>
          </w:p>
        </w:tc>
        <w:tc>
          <w:tcPr>
            <w:tcW w:w="1007" w:type="dxa"/>
            <w:shd w:val="clear" w:color="auto" w:fill="auto"/>
            <w:vAlign w:val="center"/>
          </w:tcPr>
          <w:p>
            <w:pPr>
              <w:jc w:val="center"/>
              <w:rPr>
                <w:rFonts w:hint="eastAsia" w:ascii="宋体" w:hAnsi="宋体" w:eastAsia="宋体" w:cs="宋体"/>
                <w:i w:val="0"/>
                <w:color w:val="000000"/>
                <w:sz w:val="20"/>
                <w:szCs w:val="20"/>
                <w:u w:val="none"/>
              </w:rPr>
            </w:pPr>
          </w:p>
        </w:tc>
        <w:tc>
          <w:tcPr>
            <w:tcW w:w="1418" w:type="dxa"/>
            <w:shd w:val="clear" w:color="auto" w:fill="auto"/>
            <w:vAlign w:val="center"/>
          </w:tcPr>
          <w:p>
            <w:pPr>
              <w:jc w:val="center"/>
              <w:rPr>
                <w:rFonts w:hint="eastAsia" w:ascii="宋体" w:hAnsi="宋体" w:eastAsia="宋体" w:cs="宋体"/>
                <w:i w:val="0"/>
                <w:color w:val="000000"/>
                <w:sz w:val="20"/>
                <w:szCs w:val="20"/>
                <w:u w:val="none"/>
              </w:rPr>
            </w:pPr>
          </w:p>
        </w:tc>
        <w:tc>
          <w:tcPr>
            <w:tcW w:w="1452"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w:t>
            </w:r>
          </w:p>
        </w:tc>
        <w:tc>
          <w:tcPr>
            <w:tcW w:w="1398"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86688508</w:t>
            </w:r>
          </w:p>
        </w:tc>
      </w:tr>
    </w:tbl>
    <w:p>
      <w:pPr>
        <w:widowControl/>
        <w:spacing w:before="0" w:beforeLines="0" w:beforeAutospacing="0" w:after="0" w:afterLines="0" w:afterAutospacing="0" w:line="360" w:lineRule="auto"/>
        <w:ind w:firstLine="200" w:firstLineChars="200"/>
        <w:jc w:val="left"/>
        <w:rPr>
          <w:rFonts w:hint="eastAsia" w:ascii="仿宋_GB2312" w:hAnsi="仿宋_GB2312" w:eastAsia="仿宋_GB2312" w:cs="仿宋_GB2312"/>
          <w:b w:val="0"/>
          <w:sz w:val="32"/>
          <w:szCs w:val="32"/>
          <w:lang w:eastAsia="zh-CN"/>
        </w:rPr>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pPr>
    </w:p>
    <w:p>
      <w:pPr>
        <w:widowControl/>
        <w:spacing w:before="0" w:beforeLines="0" w:beforeAutospacing="0" w:after="0" w:afterLines="0" w:afterAutospacing="0" w:line="360" w:lineRule="auto"/>
        <w:ind w:firstLine="200" w:firstLineChars="200"/>
        <w:jc w:val="left"/>
        <w:rPr>
          <w:rFonts w:hint="eastAsia" w:ascii="Times New Roman" w:eastAsia="仿宋_GB2312"/>
          <w:b/>
          <w:sz w:val="32"/>
          <w:szCs w:val="32"/>
          <w:lang w:eastAsia="zh-CN"/>
        </w:rPr>
      </w:pPr>
    </w:p>
    <w:p>
      <w:pPr>
        <w:widowControl/>
        <w:spacing w:before="0" w:beforeLines="0" w:beforeAutospacing="0" w:after="0" w:afterLines="0" w:afterAutospacing="0" w:line="360" w:lineRule="auto"/>
        <w:ind w:firstLine="20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200" w:firstLineChars="200"/>
        <w:jc w:val="left"/>
        <w:rPr>
          <w:rFonts w:ascii="Times New Roman" w:eastAsia="仿宋_GB2312"/>
          <w:b w:val="0"/>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填列由各级非发展与改革部门集中安排的用于购置固定资产、战备性和应急性储备、土地和无形资产，以及购建基础设施、大型修缮和财政支持企业更新改造所发的支出。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200"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color="auto" w:sz="0" w:space="0"/>
        <w:left w:val="none" w:color="auto" w:sz="0" w:space="0"/>
        <w:bottom w:val="none" w:color="auto" w:sz="0" w:space="0"/>
        <w:right w:val="none" w:color="auto"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06D4580-0E10-46F2-A165-740D3C1BD766}"/>
  </w:font>
  <w:font w:name="黑体">
    <w:panose1 w:val="02010609060101010101"/>
    <w:charset w:val="86"/>
    <w:family w:val="auto"/>
    <w:pitch w:val="default"/>
    <w:sig w:usb0="800002BF" w:usb1="38CF7CFA" w:usb2="00000016" w:usb3="00000000" w:csb0="00040001" w:csb1="00000000"/>
    <w:embedRegular r:id="rId2" w:fontKey="{C3E05766-D42F-46AA-95BA-CBBA697A463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embedRegular r:id="rId3" w:fontKey="{D49C7D5C-7EC0-4B96-9D00-3C38296DA6F9}"/>
  </w:font>
  <w:font w:name="仿宋">
    <w:panose1 w:val="02010609060101010101"/>
    <w:charset w:val="86"/>
    <w:family w:val="modern"/>
    <w:pitch w:val="default"/>
    <w:sig w:usb0="800002BF" w:usb1="38CF7CFA" w:usb2="00000016" w:usb3="00000000" w:csb0="00040001" w:csb1="00000000"/>
    <w:embedRegular r:id="rId4" w:fontKey="{F30807FD-435D-4436-9CE3-3DDC912FC9B7}"/>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266DE73F-ED34-414D-9CC8-CBA3AC75E8C4}"/>
  </w:font>
  <w:font w:name="方正小标宋_GBK">
    <w:panose1 w:val="02000000000000000000"/>
    <w:charset w:val="86"/>
    <w:family w:val="script"/>
    <w:pitch w:val="default"/>
    <w:sig w:usb0="00000000" w:usb1="00000000" w:usb2="00000000" w:usb3="00000000" w:csb0="00000000" w:csb1="00000000"/>
    <w:embedRegular r:id="rId6" w:fontKey="{C13265D5-6EF7-4183-8B8F-FDC81A1BFA06}"/>
  </w:font>
  <w:font w:name="仿宋_GB2312">
    <w:panose1 w:val="02010609030101010101"/>
    <w:charset w:val="86"/>
    <w:family w:val="auto"/>
    <w:pitch w:val="default"/>
    <w:sig w:usb0="00000001" w:usb1="080E0000" w:usb2="00000000" w:usb3="00000000" w:csb0="00040000" w:csb1="00000000"/>
    <w:embedRegular r:id="rId7" w:fontKey="{ADBFD3F8-03FF-4A9E-B63D-583443AB164A}"/>
  </w:font>
  <w:font w:name="ArialUnicodeMS">
    <w:altName w:val="Malgun Gothic"/>
    <w:panose1 w:val="00000000000000000000"/>
    <w:charset w:val="81"/>
    <w:family w:val="auto"/>
    <w:pitch w:val="default"/>
    <w:sig w:usb0="00000000" w:usb1="00000000" w:usb2="00000010" w:usb3="00000000" w:csb0="00080001" w:csb1="00000000"/>
    <w:embedRegular r:id="rId8" w:fontKey="{751304B8-E57D-4AB5-950D-A71C875B312A}"/>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00000000" w:usb1="00000000" w:usb2="00000000" w:usb3="00000000" w:csb0="00000000" w:csb1="00000000"/>
    <w:embedRegular r:id="rId9" w:fontKey="{2D3A3EC8-FB19-4AFF-9DC1-3F8DD7989128}"/>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10" w:fontKey="{8DED31E9-8008-48A5-AB41-36CDDC0FA121}"/>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Dotum">
    <w:panose1 w:val="020B0600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GulimChe">
    <w:panose1 w:val="020B0609000101010101"/>
    <w:charset w:val="81"/>
    <w:family w:val="auto"/>
    <w:pitch w:val="default"/>
    <w:sig w:usb0="B00002AF" w:usb1="69D77CFB" w:usb2="00000030" w:usb3="00000000" w:csb0="4008009F" w:csb1="DFD70000"/>
  </w:font>
  <w:font w:name="Microsoft JhengHei">
    <w:panose1 w:val="020B0604030504040204"/>
    <w:charset w:val="88"/>
    <w:family w:val="auto"/>
    <w:pitch w:val="default"/>
    <w:sig w:usb0="00000087" w:usb1="28AF4000" w:usb2="00000016" w:usb3="00000000" w:csb0="00100009" w:csb1="00000000"/>
  </w:font>
  <w:font w:name="AngsanaUPC">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Blackadder ITC">
    <w:panose1 w:val="04020505051007020D02"/>
    <w:charset w:val="00"/>
    <w:family w:val="auto"/>
    <w:pitch w:val="default"/>
    <w:sig w:usb0="00000003" w:usb1="00000000" w:usb2="00000000" w:usb3="00000000" w:csb0="20000001" w:csb1="00000000"/>
  </w:font>
  <w:font w:name="Bodoni MT Black">
    <w:panose1 w:val="02070A03080606020203"/>
    <w:charset w:val="00"/>
    <w:family w:val="auto"/>
    <w:pitch w:val="default"/>
    <w:sig w:usb0="00000003" w:usb1="00000000" w:usb2="00000000" w:usb3="00000000" w:csb0="20000001" w:csb1="00000000"/>
  </w:font>
  <w:font w:name="Brush Script MT">
    <w:panose1 w:val="03060802040406070304"/>
    <w:charset w:val="00"/>
    <w:family w:val="auto"/>
    <w:pitch w:val="default"/>
    <w:sig w:usb0="00000003" w:usb1="00000000" w:usb2="00000000" w:usb3="00000000" w:csb0="20000001" w:csb1="00000000"/>
  </w:font>
  <w:font w:name="Cambria Math">
    <w:panose1 w:val="02040503050406030204"/>
    <w:charset w:val="00"/>
    <w:family w:val="auto"/>
    <w:pitch w:val="default"/>
    <w:sig w:usb0="E00002FF" w:usb1="420024FF" w:usb2="00000000" w:usb3="00000000" w:csb0="2000019F" w:csb1="00000000"/>
  </w:font>
  <w:font w:name="Candara">
    <w:panose1 w:val="020E0502030303020204"/>
    <w:charset w:val="00"/>
    <w:family w:val="auto"/>
    <w:pitch w:val="default"/>
    <w:sig w:usb0="A00002EF" w:usb1="4000A44B" w:usb2="00000000" w:usb3="00000000" w:csb0="2000019F" w:csb1="00000000"/>
  </w:font>
  <w:font w:name="Arial">
    <w:panose1 w:val="020B0604020202020204"/>
    <w:charset w:val="00"/>
    <w:family w:val="auto"/>
    <w:pitch w:val="default"/>
    <w:sig w:usb0="E0002AFF" w:usb1="C0007843" w:usb2="00000009" w:usb3="00000000" w:csb0="400001FF" w:csb1="FFFF0000"/>
  </w:font>
  <w:font w:name="方正小标宋_GBK">
    <w:panose1 w:val="02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45A47"/>
    <w:rsid w:val="01A03C5A"/>
    <w:rsid w:val="01A5267D"/>
    <w:rsid w:val="01AF6A8D"/>
    <w:rsid w:val="024808A2"/>
    <w:rsid w:val="025C3821"/>
    <w:rsid w:val="02DA3B1B"/>
    <w:rsid w:val="02E57B4D"/>
    <w:rsid w:val="02EE667F"/>
    <w:rsid w:val="03450B90"/>
    <w:rsid w:val="037B12D4"/>
    <w:rsid w:val="03804D63"/>
    <w:rsid w:val="03FB73B0"/>
    <w:rsid w:val="04093107"/>
    <w:rsid w:val="04806B11"/>
    <w:rsid w:val="0490246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E63D75"/>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600023"/>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56262C"/>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322B1"/>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4364F3"/>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AC3C10"/>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6067EA"/>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00137C"/>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861949"/>
    <w:rsid w:val="73177841"/>
    <w:rsid w:val="733774FE"/>
    <w:rsid w:val="73617E1B"/>
    <w:rsid w:val="736D7653"/>
    <w:rsid w:val="738035CB"/>
    <w:rsid w:val="73852C46"/>
    <w:rsid w:val="7396335C"/>
    <w:rsid w:val="73F46595"/>
    <w:rsid w:val="73F47FAE"/>
    <w:rsid w:val="74283FA2"/>
    <w:rsid w:val="742C135B"/>
    <w:rsid w:val="74463733"/>
    <w:rsid w:val="747A71B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paragraph" w:styleId="6">
    <w:name w:val="heading 6"/>
    <w:basedOn w:val="1"/>
    <w:next w:val="1"/>
    <w:unhideWhenUsed/>
    <w:qFormat/>
    <w:uiPriority w:val="9"/>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unhideWhenUsed/>
    <w:qFormat/>
    <w:uiPriority w:val="1"/>
  </w:style>
  <w:style w:type="table" w:default="1" w:styleId="14">
    <w:name w:val="Normal Table"/>
    <w:unhideWhenUsed/>
    <w:qFormat/>
    <w:uiPriority w:val="99"/>
    <w:tblPr>
      <w:tblLayout w:type="fixed"/>
      <w:tblCellMar>
        <w:top w:w="0" w:type="dxa"/>
        <w:left w:w="108" w:type="dxa"/>
        <w:bottom w:w="0" w:type="dxa"/>
        <w:right w:w="108" w:type="dxa"/>
      </w:tblCellMar>
    </w:tblPr>
  </w:style>
  <w:style w:type="paragraph" w:styleId="7">
    <w:name w:val="annotation text"/>
    <w:basedOn w:val="1"/>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13">
    <w:name w:val="Strong"/>
    <w:basedOn w:val="12"/>
    <w:qFormat/>
    <w:uiPriority w:val="22"/>
    <w:rPr>
      <w:b/>
    </w:rPr>
  </w:style>
  <w:style w:type="table" w:styleId="15">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2"/>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2"/>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2"/>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2"/>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2"/>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2"/>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2"/>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2"/>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2"/>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formatCode="General">
                  <c:v>9452.58</c:v>
                </c:pt>
                <c:pt idx="1" c:formatCode="General">
                  <c:v>9586.57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formatCode="General">
                  <c:v>95865701.46</c:v>
                </c:pt>
                <c:pt idx="1" c:formatCode="General">
                  <c:v>0</c:v>
                </c:pt>
                <c:pt idx="2" c:formatCode="General">
                  <c:v>0</c:v>
                </c:pt>
                <c:pt idx="3" c:formatCode="General">
                  <c:v>0</c:v>
                </c:pt>
                <c:pt idx="4" c:formatCode="General">
                  <c:v>0</c:v>
                </c:pt>
                <c:pt idx="5"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formatCode="General">
                  <c:v>43611159.35</c:v>
                </c:pt>
                <c:pt idx="1" c:formatCode="General">
                  <c:v>52254542.11</c:v>
                </c:pt>
                <c:pt idx="2" c:formatCode="General">
                  <c:v>0</c:v>
                </c:pt>
                <c:pt idx="3" c:formatCode="General">
                  <c:v>0</c:v>
                </c:pt>
                <c:pt idx="4"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formatCode="General">
                  <c:v>9332.59</c:v>
                </c:pt>
                <c:pt idx="1" c:formatCode="General">
                  <c:v>9452.58</c:v>
                </c:pt>
                <c:pt idx="2" c:formatCode="General">
                  <c:v>9332.59</c:v>
                </c:pt>
                <c:pt idx="3" c:formatCode="General">
                  <c:v>9452.58</c:v>
                </c:pt>
                <c:pt idx="4" c:formatCode="General">
                  <c:v>0</c:v>
                </c:pt>
                <c:pt idx="5" c:formatCode="General">
                  <c:v>0</c:v>
                </c:pt>
                <c:pt idx="6" c:formatCode="General">
                  <c:v>0</c:v>
                </c:pt>
                <c:pt idx="7" c:formatCode="General">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formatCode="General">
                  <c:v>9586.57</c:v>
                </c:pt>
                <c:pt idx="1" c:formatCode="General">
                  <c:v>9586.57</c:v>
                </c:pt>
                <c:pt idx="2" c:formatCode="General">
                  <c:v>9586.57</c:v>
                </c:pt>
                <c:pt idx="3" c:formatCode="General">
                  <c:v>9586.57</c:v>
                </c:pt>
                <c:pt idx="4" c:formatCode="General">
                  <c:v>0</c:v>
                </c:pt>
                <c:pt idx="5" c:formatCode="General">
                  <c:v>0</c:v>
                </c:pt>
                <c:pt idx="6" c:formatCode="General">
                  <c:v>0</c:v>
                </c:pt>
                <c:pt idx="7" c:formatCode="General">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formatCode="General">
                  <c:v>9299.67</c:v>
                </c:pt>
                <c:pt idx="1" c:formatCode="General">
                  <c:v>9299.67</c:v>
                </c:pt>
                <c:pt idx="2" c:formatCode="General">
                  <c:v>9299.67</c:v>
                </c:pt>
                <c:pt idx="3" c:formatCode="General">
                  <c:v>9299.67</c:v>
                </c:pt>
                <c:pt idx="4" c:formatCode="General">
                  <c:v>0</c:v>
                </c:pt>
                <c:pt idx="5" c:formatCode="General">
                  <c:v>0</c:v>
                </c:pt>
                <c:pt idx="6" c:formatCode="General">
                  <c:v>0</c:v>
                </c:pt>
                <c:pt idx="7" c:formatCode="General">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formatCode="General">
                  <c:v>9586.57</c:v>
                </c:pt>
                <c:pt idx="1" c:formatCode="General">
                  <c:v>9586.57</c:v>
                </c:pt>
                <c:pt idx="2" c:formatCode="General">
                  <c:v>9586.57</c:v>
                </c:pt>
                <c:pt idx="3" c:formatCode="General">
                  <c:v>9586.57</c:v>
                </c:pt>
                <c:pt idx="4" c:formatCode="General">
                  <c:v>0</c:v>
                </c:pt>
                <c:pt idx="5" c:formatCode="General">
                  <c:v>0</c:v>
                </c:pt>
                <c:pt idx="6" c:formatCode="General">
                  <c:v>0</c:v>
                </c:pt>
                <c:pt idx="7" c:formatCode="General">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formatCode="General">
                  <c:v>8177.82</c:v>
                </c:pt>
                <c:pt idx="1" c:formatCode="General">
                  <c:v>0</c:v>
                </c:pt>
                <c:pt idx="2" c:formatCode="General">
                  <c:v>0</c:v>
                </c:pt>
                <c:pt idx="3" c:formatCode="General">
                  <c:v>0</c:v>
                </c:pt>
                <c:pt idx="4" c:formatCode="General">
                  <c:v>0</c:v>
                </c:pt>
                <c:pt idx="5" c:formatCode="General">
                  <c:v>0</c:v>
                </c:pt>
                <c:pt idx="6" c:formatCode="General">
                  <c:v>0</c:v>
                </c:pt>
                <c:pt idx="7" c:formatCode="General">
                  <c:v>939.31</c:v>
                </c:pt>
                <c:pt idx="8" c:formatCode="General">
                  <c:v>207.76</c:v>
                </c:pt>
                <c:pt idx="9" c:formatCode="General">
                  <c:v>0</c:v>
                </c:pt>
                <c:pt idx="10" c:formatCode="General">
                  <c:v>0</c:v>
                </c:pt>
                <c:pt idx="11" c:formatCode="General">
                  <c:v>0</c:v>
                </c:pt>
                <c:pt idx="12" c:formatCode="General">
                  <c:v>0</c:v>
                </c:pt>
                <c:pt idx="13" c:formatCode="General">
                  <c:v>0</c:v>
                </c:pt>
                <c:pt idx="14" c:formatCode="General">
                  <c:v>0</c:v>
                </c:pt>
                <c:pt idx="15" c:formatCode="General">
                  <c:v>0</c:v>
                </c:pt>
                <c:pt idx="16" c:formatCode="General">
                  <c:v>0</c:v>
                </c:pt>
                <c:pt idx="17" c:formatCode="General">
                  <c:v>0</c:v>
                </c:pt>
                <c:pt idx="18" c:formatCode="General">
                  <c:v>261.68</c:v>
                </c:pt>
                <c:pt idx="19" c:formatCode="General">
                  <c:v>0</c:v>
                </c:pt>
                <c:pt idx="20" c:formatCode="General">
                  <c:v>0</c:v>
                </c:pt>
                <c:pt idx="21" c:formatCode="General">
                  <c:v>0</c:v>
                </c:pt>
                <c:pt idx="22" c:formatCode="General">
                  <c:v>0</c:v>
                </c:pt>
                <c:pt idx="23" c:formatCode="General">
                  <c:v>0</c:v>
                </c:pt>
                <c:pt idx="24" c:formatCode="General">
                  <c:v>0</c:v>
                </c:pt>
                <c:pt idx="25" c:formatCode="General">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ScaleCrop>false</ScaleCrop>
  <LinksUpToDate>false</LinksUpToDate>
  <CharactersWithSpaces>2170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lenovo</cp:lastModifiedBy>
  <cp:lastPrinted>2023-08-04T01:00:00Z</cp:lastPrinted>
  <dcterms:modified xsi:type="dcterms:W3CDTF">2025-09-09T09:31:09Z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