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rPr>
          <w:rFonts w:ascii="仿宋" w:hAnsi="仿宋" w:eastAsia="仿宋" w:cs="仿宋"/>
          <w:sz w:val="32"/>
          <w:szCs w:val="32"/>
        </w:rPr>
      </w:pPr>
    </w:p>
    <w:p>
      <w:pPr>
        <w:snapToGrid w:val="0"/>
        <w:spacing w:line="360" w:lineRule="auto"/>
        <w:jc w:val="center"/>
        <w:rPr>
          <w:rFonts w:hint="eastAsia" w:ascii="宋体" w:hAnsi="宋体" w:cs="宋体"/>
          <w:b/>
          <w:bCs/>
          <w:kern w:val="0"/>
          <w:sz w:val="44"/>
          <w:szCs w:val="44"/>
        </w:rPr>
      </w:pPr>
    </w:p>
    <w:p>
      <w:pPr>
        <w:snapToGrid w:val="0"/>
        <w:spacing w:line="360" w:lineRule="auto"/>
        <w:jc w:val="center"/>
        <w:rPr>
          <w:rFonts w:ascii="宋体" w:hAnsi="宋体" w:cs="宋体"/>
          <w:b/>
          <w:bCs/>
          <w:sz w:val="44"/>
          <w:szCs w:val="44"/>
        </w:rPr>
      </w:pPr>
      <w:r>
        <w:rPr>
          <w:rFonts w:hint="eastAsia" w:ascii="宋体" w:hAnsi="宋体" w:cs="宋体"/>
          <w:b/>
          <w:bCs/>
          <w:kern w:val="0"/>
          <w:sz w:val="44"/>
          <w:szCs w:val="44"/>
        </w:rPr>
        <w:t>市</w:t>
      </w:r>
      <w:r>
        <w:rPr>
          <w:rFonts w:hint="eastAsia" w:ascii="宋体" w:hAnsi="宋体" w:cs="宋体"/>
          <w:b/>
          <w:bCs/>
          <w:kern w:val="0"/>
          <w:sz w:val="44"/>
          <w:szCs w:val="44"/>
          <w:lang w:eastAsia="zh-CN"/>
        </w:rPr>
        <w:t>侨联</w:t>
      </w:r>
      <w:r>
        <w:rPr>
          <w:rFonts w:hint="eastAsia" w:ascii="宋体" w:hAnsi="宋体" w:cs="宋体"/>
          <w:b/>
          <w:bCs/>
          <w:kern w:val="0"/>
          <w:sz w:val="44"/>
          <w:szCs w:val="44"/>
        </w:rPr>
        <w:t>202</w:t>
      </w:r>
      <w:r>
        <w:rPr>
          <w:rFonts w:hint="eastAsia" w:ascii="宋体" w:hAnsi="宋体" w:cs="宋体"/>
          <w:b/>
          <w:bCs/>
          <w:kern w:val="0"/>
          <w:sz w:val="44"/>
          <w:szCs w:val="44"/>
          <w:lang w:val="en-US" w:eastAsia="zh-CN"/>
        </w:rPr>
        <w:t>4</w:t>
      </w:r>
      <w:r>
        <w:rPr>
          <w:rFonts w:hint="eastAsia" w:ascii="宋体" w:hAnsi="宋体" w:cs="宋体"/>
          <w:b/>
          <w:bCs/>
          <w:kern w:val="0"/>
          <w:sz w:val="44"/>
          <w:szCs w:val="44"/>
        </w:rPr>
        <w:t>年度整体支出</w:t>
      </w:r>
      <w:r>
        <w:rPr>
          <w:rFonts w:hint="eastAsia" w:ascii="宋体" w:hAnsi="宋体" w:cs="宋体"/>
          <w:b/>
          <w:bCs/>
          <w:sz w:val="44"/>
          <w:szCs w:val="44"/>
        </w:rPr>
        <w:t>绩效自评报告</w:t>
      </w:r>
    </w:p>
    <w:p>
      <w:pPr>
        <w:snapToGrid w:val="0"/>
        <w:spacing w:line="360" w:lineRule="auto"/>
        <w:ind w:firstLine="640" w:firstLineChars="200"/>
        <w:rPr>
          <w:rFonts w:hint="eastAsia" w:ascii="仿宋" w:hAnsi="仿宋" w:eastAsia="仿宋" w:cs="仿宋"/>
          <w:sz w:val="32"/>
          <w:szCs w:val="32"/>
        </w:rPr>
      </w:pP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贯彻落实市委市政府《关于全面落实预算绩效管理的实施意见》（石发【2019】8号）文件精神，遵循“科学性、规范性、客观性和公正性”的原则，对</w:t>
      </w:r>
      <w:r>
        <w:rPr>
          <w:rFonts w:hint="eastAsia" w:ascii="仿宋" w:hAnsi="仿宋" w:eastAsia="仿宋" w:cs="仿宋"/>
          <w:sz w:val="32"/>
          <w:szCs w:val="32"/>
          <w:lang w:eastAsia="zh-CN"/>
        </w:rPr>
        <w:t>市侨联</w:t>
      </w: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年整体支出情况实施了财政支出绩效自评价，形成本评价报告。</w:t>
      </w:r>
    </w:p>
    <w:p>
      <w:pPr>
        <w:pStyle w:val="24"/>
        <w:numPr>
          <w:ilvl w:val="0"/>
          <w:numId w:val="1"/>
        </w:numPr>
        <w:snapToGrid w:val="0"/>
        <w:spacing w:line="360" w:lineRule="auto"/>
        <w:ind w:firstLineChars="0"/>
        <w:rPr>
          <w:rFonts w:ascii="黑体" w:hAnsi="黑体" w:eastAsia="黑体" w:cs="黑体"/>
          <w:sz w:val="32"/>
          <w:szCs w:val="32"/>
        </w:rPr>
      </w:pPr>
      <w:r>
        <w:rPr>
          <w:rFonts w:hint="eastAsia" w:ascii="黑体" w:hAnsi="黑体" w:eastAsia="黑体" w:cs="黑体"/>
          <w:sz w:val="32"/>
          <w:szCs w:val="32"/>
        </w:rPr>
        <w:t>部门基本情况</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（一）部门概况</w:t>
      </w:r>
    </w:p>
    <w:p>
      <w:pPr>
        <w:snapToGrid w:val="0"/>
        <w:spacing w:line="360" w:lineRule="auto"/>
        <w:ind w:firstLine="800" w:firstLineChars="250"/>
        <w:rPr>
          <w:rFonts w:ascii="黑体" w:hAnsi="黑体" w:eastAsia="黑体" w:cs="黑体"/>
          <w:sz w:val="32"/>
          <w:szCs w:val="32"/>
        </w:rPr>
      </w:pPr>
      <w:r>
        <w:rPr>
          <w:rFonts w:hint="eastAsia" w:ascii="仿宋_GB2312" w:hAnsi="仿宋" w:eastAsia="仿宋_GB2312"/>
          <w:sz w:val="32"/>
          <w:szCs w:val="32"/>
        </w:rPr>
        <w:t>1．主要职能</w:t>
      </w:r>
    </w:p>
    <w:p>
      <w:pPr>
        <w:snapToGrid w:val="0"/>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1</w:t>
      </w:r>
      <w:r>
        <w:rPr>
          <w:rFonts w:hint="eastAsia" w:ascii="仿宋_GB2312" w:hAnsi="仿宋" w:eastAsia="仿宋_GB2312"/>
          <w:sz w:val="32"/>
          <w:szCs w:val="32"/>
        </w:rPr>
        <w:t>）密切联系广大归侨侨眷和海外侨胞，了解侨情民意，沟通渠道，化解矛盾；加强归侨侨眷的法制教育和思想道德教育，为国家的改革发展稳定服务。</w:t>
      </w:r>
    </w:p>
    <w:p>
      <w:pPr>
        <w:snapToGrid w:val="0"/>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2</w:t>
      </w:r>
      <w:r>
        <w:rPr>
          <w:rFonts w:hint="eastAsia" w:ascii="仿宋_GB2312" w:hAnsi="仿宋" w:eastAsia="仿宋_GB2312"/>
          <w:sz w:val="32"/>
          <w:szCs w:val="32"/>
        </w:rPr>
        <w:t>）依法维护归侨侨眷的合法权益和海外侨胞在国内的正当利益；反映归侨侨眷和海外侨胞的意见和要求；参与起草有关法律、法规；为归侨侨眷和海外侨胞提供法律咨询服务。</w:t>
      </w:r>
    </w:p>
    <w:p>
      <w:pPr>
        <w:snapToGrid w:val="0"/>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3</w:t>
      </w:r>
      <w:r>
        <w:rPr>
          <w:rFonts w:hint="eastAsia" w:ascii="仿宋_GB2312" w:hAnsi="仿宋" w:eastAsia="仿宋_GB2312"/>
          <w:sz w:val="32"/>
          <w:szCs w:val="32"/>
        </w:rPr>
        <w:t>）配合有关部门做好推荐市人大代表和政协委员的人事安排工作，为他们履行参政议政和民主监督职能提供服务。</w:t>
      </w:r>
    </w:p>
    <w:p>
      <w:pPr>
        <w:snapToGrid w:val="0"/>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4</w:t>
      </w:r>
      <w:r>
        <w:rPr>
          <w:rFonts w:hint="eastAsia" w:ascii="仿宋_GB2312" w:hAnsi="仿宋" w:eastAsia="仿宋_GB2312"/>
          <w:sz w:val="32"/>
          <w:szCs w:val="32"/>
        </w:rPr>
        <w:t>）促进海外侨胞与祖国进行经济合作和科技交流；为归侨侨眷兴办企业和海外侨胞来华投资服务。</w:t>
      </w:r>
    </w:p>
    <w:p>
      <w:pPr>
        <w:snapToGrid w:val="0"/>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5</w:t>
      </w:r>
      <w:r>
        <w:rPr>
          <w:rFonts w:hint="eastAsia" w:ascii="仿宋_GB2312" w:hAnsi="仿宋" w:eastAsia="仿宋_GB2312"/>
          <w:sz w:val="32"/>
          <w:szCs w:val="32"/>
        </w:rPr>
        <w:t>）配合有关部门进一步拓展与台湾同胞的联络渠道；加强同港澳侨团的联系，密切与海外侨胞及其社团的联系，参与以地缘、血缘、业缘为纽带组成的侨社团的联谊活动。</w:t>
      </w:r>
    </w:p>
    <w:p>
      <w:pPr>
        <w:snapToGrid w:val="0"/>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6</w:t>
      </w:r>
      <w:r>
        <w:rPr>
          <w:rFonts w:hint="eastAsia" w:ascii="仿宋_GB2312" w:hAnsi="仿宋" w:eastAsia="仿宋_GB2312"/>
          <w:sz w:val="32"/>
          <w:szCs w:val="32"/>
        </w:rPr>
        <w:t>）宣传党和政府侨务工作的方针、政策，宣传归侨、侨眷的先进事迹和海外侨胞回国服务、为国服务的爱国爱乡行动；开展海内外民间文化、学术交流与合作；为归侨、侨眷和海外侨胞在国内兴办文教、卫生和其他社会公益事业服务。</w:t>
      </w:r>
    </w:p>
    <w:p>
      <w:pPr>
        <w:snapToGrid w:val="0"/>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7</w:t>
      </w:r>
      <w:r>
        <w:rPr>
          <w:rFonts w:hint="eastAsia" w:ascii="仿宋_GB2312" w:hAnsi="仿宋" w:eastAsia="仿宋_GB2312"/>
          <w:sz w:val="32"/>
          <w:szCs w:val="32"/>
        </w:rPr>
        <w:t>）根据《中国侨联章程》提出的任务和要求，研究制定工作计划和发展规划，组织实施我市归侨侨眷代表大会、委员会、常务委员会的决议、决定。指导各县（市）区级侨联及基层侨联组织工作。</w:t>
      </w:r>
    </w:p>
    <w:p>
      <w:pPr>
        <w:snapToGrid w:val="0"/>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8</w:t>
      </w:r>
      <w:r>
        <w:rPr>
          <w:rFonts w:hint="eastAsia" w:ascii="仿宋_GB2312" w:hAnsi="仿宋" w:eastAsia="仿宋_GB2312"/>
          <w:sz w:val="32"/>
          <w:szCs w:val="32"/>
        </w:rPr>
        <w:t>）加强侨联组织建设和干部队伍建设，提高人员素质和办事效率，注重调查研究工作，协调有关部门提供可靠依据，并实施发挥监督作用。</w:t>
      </w:r>
    </w:p>
    <w:p>
      <w:pPr>
        <w:snapToGrid w:val="0"/>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9</w:t>
      </w:r>
      <w:r>
        <w:rPr>
          <w:rFonts w:hint="eastAsia" w:ascii="仿宋_GB2312" w:hAnsi="仿宋" w:eastAsia="仿宋_GB2312"/>
          <w:sz w:val="32"/>
          <w:szCs w:val="32"/>
        </w:rPr>
        <w:t>）承担中共石家庄市委、市政府授权的有关事项。</w:t>
      </w:r>
    </w:p>
    <w:p>
      <w:pPr>
        <w:snapToGrid w:val="0"/>
        <w:spacing w:line="360" w:lineRule="auto"/>
        <w:ind w:firstLine="640" w:firstLineChars="200"/>
        <w:rPr>
          <w:rFonts w:ascii="仿宋_GB2312" w:hAnsi="仿宋" w:eastAsia="仿宋_GB2312"/>
          <w:sz w:val="32"/>
          <w:szCs w:val="32"/>
        </w:rPr>
      </w:pPr>
      <w:r>
        <w:rPr>
          <w:rFonts w:hint="eastAsia" w:ascii="仿宋_GB2312" w:hAnsi="仿宋" w:eastAsia="仿宋_GB2312"/>
          <w:sz w:val="32"/>
          <w:szCs w:val="32"/>
        </w:rPr>
        <w:t>2．机构及人员情况</w:t>
      </w:r>
    </w:p>
    <w:p>
      <w:pPr>
        <w:snapToGrid w:val="0"/>
        <w:spacing w:line="360" w:lineRule="auto"/>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石家庄市</w:t>
      </w:r>
      <w:r>
        <w:rPr>
          <w:rFonts w:hint="eastAsia" w:ascii="仿宋" w:hAnsi="仿宋" w:eastAsia="仿宋" w:cs="仿宋"/>
          <w:color w:val="auto"/>
          <w:sz w:val="32"/>
          <w:szCs w:val="32"/>
          <w:lang w:eastAsia="zh-CN"/>
        </w:rPr>
        <w:t>归国华侨联合会</w:t>
      </w:r>
      <w:r>
        <w:rPr>
          <w:rFonts w:hint="eastAsia" w:ascii="仿宋" w:hAnsi="仿宋" w:eastAsia="仿宋" w:cs="仿宋"/>
          <w:color w:val="auto"/>
          <w:sz w:val="32"/>
          <w:szCs w:val="32"/>
        </w:rPr>
        <w:t>执行政府会计制度，为一级预算单位</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无下属单位</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202</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年末实有</w:t>
      </w:r>
      <w:r>
        <w:rPr>
          <w:rFonts w:hint="eastAsia" w:ascii="仿宋" w:hAnsi="仿宋" w:eastAsia="仿宋" w:cs="仿宋"/>
          <w:color w:val="auto"/>
          <w:sz w:val="32"/>
          <w:szCs w:val="32"/>
          <w:lang w:val="en-US" w:eastAsia="zh-CN"/>
        </w:rPr>
        <w:t>23</w:t>
      </w:r>
      <w:r>
        <w:rPr>
          <w:rFonts w:hint="eastAsia" w:ascii="仿宋" w:hAnsi="仿宋" w:eastAsia="仿宋" w:cs="仿宋"/>
          <w:color w:val="auto"/>
          <w:sz w:val="32"/>
          <w:szCs w:val="32"/>
        </w:rPr>
        <w:t>人，其中在职</w:t>
      </w:r>
      <w:r>
        <w:rPr>
          <w:rFonts w:hint="eastAsia" w:ascii="仿宋" w:hAnsi="仿宋" w:eastAsia="仿宋" w:cs="仿宋"/>
          <w:color w:val="auto"/>
          <w:sz w:val="32"/>
          <w:szCs w:val="32"/>
          <w:lang w:val="en-US" w:eastAsia="zh-CN"/>
        </w:rPr>
        <w:t>17</w:t>
      </w:r>
      <w:r>
        <w:rPr>
          <w:rFonts w:hint="eastAsia" w:ascii="仿宋" w:hAnsi="仿宋" w:eastAsia="仿宋" w:cs="仿宋"/>
          <w:color w:val="auto"/>
          <w:sz w:val="32"/>
          <w:szCs w:val="32"/>
        </w:rPr>
        <w:t>人，退休</w:t>
      </w:r>
      <w:r>
        <w:rPr>
          <w:rFonts w:hint="eastAsia" w:ascii="仿宋" w:hAnsi="仿宋" w:eastAsia="仿宋" w:cs="仿宋"/>
          <w:color w:val="auto"/>
          <w:sz w:val="32"/>
          <w:szCs w:val="32"/>
          <w:lang w:val="en-US" w:eastAsia="zh-CN"/>
        </w:rPr>
        <w:t>6</w:t>
      </w:r>
      <w:r>
        <w:rPr>
          <w:rFonts w:hint="eastAsia" w:ascii="仿宋" w:hAnsi="仿宋" w:eastAsia="仿宋" w:cs="仿宋"/>
          <w:color w:val="auto"/>
          <w:sz w:val="32"/>
          <w:szCs w:val="32"/>
        </w:rPr>
        <w:t>人。</w:t>
      </w:r>
    </w:p>
    <w:p>
      <w:pPr>
        <w:snapToGrid w:val="0"/>
        <w:spacing w:line="360" w:lineRule="auto"/>
        <w:ind w:firstLine="640" w:firstLineChars="200"/>
        <w:rPr>
          <w:rFonts w:ascii="仿宋_GB2312" w:hAnsi="仿宋" w:eastAsia="仿宋_GB2312"/>
          <w:sz w:val="32"/>
          <w:szCs w:val="32"/>
        </w:rPr>
      </w:pPr>
      <w:r>
        <w:rPr>
          <w:rFonts w:hint="eastAsia" w:ascii="仿宋_GB2312" w:hAnsi="仿宋" w:eastAsia="仿宋_GB2312"/>
          <w:sz w:val="32"/>
          <w:szCs w:val="32"/>
        </w:rPr>
        <w:t>3．资产情况</w:t>
      </w:r>
    </w:p>
    <w:p>
      <w:pPr>
        <w:snapToGrid w:val="0"/>
        <w:spacing w:line="360" w:lineRule="auto"/>
        <w:ind w:firstLine="640" w:firstLineChars="200"/>
        <w:rPr>
          <w:rFonts w:hint="eastAsia" w:ascii="仿宋" w:hAnsi="仿宋" w:eastAsia="仿宋" w:cs="仿宋"/>
          <w:color w:val="auto"/>
          <w:sz w:val="32"/>
          <w:szCs w:val="32"/>
          <w:shd w:val="clear" w:color="auto" w:fill="auto"/>
        </w:rPr>
      </w:pPr>
      <w:r>
        <w:rPr>
          <w:rFonts w:hint="eastAsia" w:ascii="仿宋" w:hAnsi="仿宋" w:eastAsia="仿宋" w:cs="仿宋"/>
          <w:color w:val="auto"/>
          <w:sz w:val="32"/>
          <w:szCs w:val="32"/>
          <w:shd w:val="clear" w:color="auto" w:fill="auto"/>
        </w:rPr>
        <w:t>202</w:t>
      </w:r>
      <w:r>
        <w:rPr>
          <w:rFonts w:hint="eastAsia" w:ascii="仿宋" w:hAnsi="仿宋" w:eastAsia="仿宋" w:cs="仿宋"/>
          <w:color w:val="auto"/>
          <w:sz w:val="32"/>
          <w:szCs w:val="32"/>
          <w:shd w:val="clear" w:color="auto" w:fill="auto"/>
          <w:lang w:val="en-US" w:eastAsia="zh-CN"/>
        </w:rPr>
        <w:t>4</w:t>
      </w:r>
      <w:r>
        <w:rPr>
          <w:rFonts w:hint="eastAsia" w:ascii="仿宋" w:hAnsi="仿宋" w:eastAsia="仿宋" w:cs="仿宋"/>
          <w:color w:val="auto"/>
          <w:sz w:val="32"/>
          <w:szCs w:val="32"/>
          <w:shd w:val="clear" w:color="auto" w:fill="auto"/>
        </w:rPr>
        <w:t>年末流动资产合计</w:t>
      </w:r>
      <w:r>
        <w:rPr>
          <w:rFonts w:hint="eastAsia" w:ascii="仿宋" w:hAnsi="仿宋" w:eastAsia="仿宋" w:cs="仿宋"/>
          <w:color w:val="auto"/>
          <w:sz w:val="32"/>
          <w:szCs w:val="32"/>
          <w:shd w:val="clear" w:color="auto" w:fill="auto"/>
          <w:lang w:val="en-US" w:eastAsia="zh-CN"/>
        </w:rPr>
        <w:t>18637.24</w:t>
      </w:r>
      <w:r>
        <w:rPr>
          <w:rFonts w:hint="eastAsia" w:ascii="仿宋" w:hAnsi="仿宋" w:eastAsia="仿宋" w:cs="仿宋"/>
          <w:color w:val="auto"/>
          <w:sz w:val="32"/>
          <w:szCs w:val="32"/>
          <w:shd w:val="clear" w:color="auto" w:fill="auto"/>
        </w:rPr>
        <w:t>元，</w:t>
      </w:r>
      <w:r>
        <w:rPr>
          <w:rFonts w:hint="eastAsia" w:ascii="仿宋" w:hAnsi="仿宋" w:eastAsia="仿宋" w:cs="仿宋"/>
          <w:color w:val="auto"/>
          <w:sz w:val="32"/>
          <w:szCs w:val="32"/>
          <w:shd w:val="clear" w:color="auto" w:fill="auto"/>
          <w:lang w:eastAsia="zh-CN"/>
        </w:rPr>
        <w:t>其中</w:t>
      </w:r>
      <w:r>
        <w:rPr>
          <w:rFonts w:hint="eastAsia" w:ascii="仿宋" w:hAnsi="仿宋" w:eastAsia="仿宋" w:cs="仿宋"/>
          <w:color w:val="auto"/>
          <w:sz w:val="32"/>
          <w:szCs w:val="32"/>
          <w:shd w:val="clear" w:color="auto" w:fill="auto"/>
        </w:rPr>
        <w:t>银行存款</w:t>
      </w:r>
      <w:r>
        <w:rPr>
          <w:rFonts w:hint="eastAsia" w:ascii="仿宋" w:hAnsi="仿宋" w:eastAsia="仿宋" w:cs="仿宋"/>
          <w:color w:val="auto"/>
          <w:sz w:val="32"/>
          <w:szCs w:val="32"/>
          <w:shd w:val="clear" w:color="auto" w:fill="auto"/>
          <w:lang w:val="en-US" w:eastAsia="zh-CN"/>
        </w:rPr>
        <w:t>18545.03元,库存现金92.21元</w:t>
      </w:r>
      <w:r>
        <w:rPr>
          <w:rFonts w:hint="eastAsia" w:ascii="仿宋" w:hAnsi="仿宋" w:eastAsia="仿宋" w:cs="仿宋"/>
          <w:color w:val="auto"/>
          <w:sz w:val="32"/>
          <w:szCs w:val="32"/>
          <w:shd w:val="clear" w:color="auto" w:fill="auto"/>
        </w:rPr>
        <w:t>。负债合计</w:t>
      </w:r>
      <w:r>
        <w:rPr>
          <w:rFonts w:hint="eastAsia" w:ascii="仿宋" w:hAnsi="仿宋" w:eastAsia="仿宋" w:cs="仿宋"/>
          <w:color w:val="auto"/>
          <w:sz w:val="32"/>
          <w:szCs w:val="32"/>
          <w:shd w:val="clear" w:color="auto" w:fill="auto"/>
          <w:lang w:val="en-US" w:eastAsia="zh-CN"/>
        </w:rPr>
        <w:t>16994.24</w:t>
      </w:r>
      <w:r>
        <w:rPr>
          <w:rFonts w:hint="eastAsia" w:ascii="仿宋" w:hAnsi="仿宋" w:eastAsia="仿宋" w:cs="仿宋"/>
          <w:color w:val="auto"/>
          <w:sz w:val="32"/>
          <w:szCs w:val="32"/>
          <w:shd w:val="clear" w:color="auto" w:fill="auto"/>
        </w:rPr>
        <w:t>元，均为其他应付款。资产原值为</w:t>
      </w:r>
      <w:r>
        <w:rPr>
          <w:rFonts w:hint="eastAsia" w:ascii="仿宋" w:hAnsi="仿宋" w:eastAsia="仿宋" w:cs="仿宋"/>
          <w:color w:val="auto"/>
          <w:sz w:val="32"/>
          <w:szCs w:val="32"/>
          <w:shd w:val="clear" w:color="auto" w:fill="auto"/>
          <w:lang w:val="en-US" w:eastAsia="zh-CN"/>
        </w:rPr>
        <w:t>634625</w:t>
      </w:r>
      <w:r>
        <w:rPr>
          <w:rFonts w:hint="eastAsia" w:ascii="仿宋" w:hAnsi="仿宋" w:eastAsia="仿宋" w:cs="仿宋"/>
          <w:color w:val="auto"/>
          <w:sz w:val="32"/>
          <w:szCs w:val="32"/>
          <w:shd w:val="clear" w:color="auto" w:fill="auto"/>
        </w:rPr>
        <w:t>元，资产净值为</w:t>
      </w:r>
      <w:r>
        <w:rPr>
          <w:rFonts w:hint="eastAsia" w:ascii="仿宋" w:hAnsi="仿宋" w:eastAsia="仿宋" w:cs="仿宋"/>
          <w:color w:val="auto"/>
          <w:sz w:val="32"/>
          <w:szCs w:val="32"/>
          <w:shd w:val="clear" w:color="auto" w:fill="auto"/>
          <w:lang w:val="en-US" w:eastAsia="zh-CN"/>
        </w:rPr>
        <w:t>96183.55</w:t>
      </w:r>
      <w:r>
        <w:rPr>
          <w:rFonts w:hint="eastAsia" w:ascii="仿宋" w:hAnsi="仿宋" w:eastAsia="仿宋" w:cs="仿宋"/>
          <w:color w:val="auto"/>
          <w:sz w:val="32"/>
          <w:szCs w:val="32"/>
          <w:shd w:val="clear" w:color="auto" w:fill="auto"/>
        </w:rPr>
        <w:t>元。</w:t>
      </w:r>
    </w:p>
    <w:p>
      <w:pPr>
        <w:numPr>
          <w:ilvl w:val="0"/>
          <w:numId w:val="2"/>
        </w:numPr>
        <w:snapToGrid w:val="0"/>
        <w:spacing w:line="360" w:lineRule="auto"/>
        <w:ind w:firstLine="640" w:firstLineChars="200"/>
        <w:rPr>
          <w:rFonts w:hint="eastAsia" w:ascii="黑体" w:hAnsi="黑体" w:eastAsia="黑体" w:cs="黑体"/>
          <w:color w:val="auto"/>
          <w:sz w:val="32"/>
          <w:szCs w:val="32"/>
        </w:rPr>
      </w:pPr>
      <w:r>
        <w:rPr>
          <w:rFonts w:hint="eastAsia" w:ascii="黑体" w:hAnsi="黑体" w:eastAsia="黑体" w:cs="黑体"/>
          <w:color w:val="auto"/>
          <w:sz w:val="32"/>
          <w:szCs w:val="32"/>
        </w:rPr>
        <w:t>部门收支预决算情况</w:t>
      </w:r>
    </w:p>
    <w:p>
      <w:pPr>
        <w:numPr>
          <w:ilvl w:val="0"/>
          <w:numId w:val="0"/>
        </w:numPr>
        <w:snapToGrid w:val="0"/>
        <w:spacing w:line="360" w:lineRule="auto"/>
        <w:ind w:firstLine="640" w:firstLineChars="200"/>
        <w:rPr>
          <w:rFonts w:hint="eastAsia" w:ascii="仿宋" w:hAnsi="仿宋" w:eastAsia="仿宋" w:cs="仿宋"/>
          <w:color w:val="auto"/>
          <w:sz w:val="32"/>
          <w:szCs w:val="32"/>
          <w:shd w:val="clear" w:color="auto" w:fill="FFFFFF"/>
        </w:rPr>
      </w:pPr>
      <w:r>
        <w:rPr>
          <w:rFonts w:hint="eastAsia" w:ascii="仿宋" w:hAnsi="仿宋" w:eastAsia="仿宋" w:cs="仿宋"/>
          <w:color w:val="auto"/>
          <w:sz w:val="32"/>
          <w:szCs w:val="32"/>
          <w:shd w:val="clear" w:color="auto" w:fill="FFFFFF"/>
        </w:rPr>
        <w:t>石家庄市归国华侨联合会20</w:t>
      </w:r>
      <w:r>
        <w:rPr>
          <w:rFonts w:hint="eastAsia" w:ascii="仿宋" w:hAnsi="仿宋" w:eastAsia="仿宋" w:cs="仿宋"/>
          <w:color w:val="auto"/>
          <w:sz w:val="32"/>
          <w:szCs w:val="32"/>
          <w:shd w:val="clear" w:color="auto" w:fill="FFFFFF"/>
          <w:lang w:val="en-US" w:eastAsia="zh-CN"/>
        </w:rPr>
        <w:t>24</w:t>
      </w:r>
      <w:r>
        <w:rPr>
          <w:rFonts w:hint="eastAsia" w:ascii="仿宋" w:hAnsi="仿宋" w:eastAsia="仿宋" w:cs="仿宋"/>
          <w:color w:val="auto"/>
          <w:sz w:val="32"/>
          <w:szCs w:val="32"/>
          <w:shd w:val="clear" w:color="auto" w:fill="FFFFFF"/>
        </w:rPr>
        <w:t>年</w:t>
      </w:r>
      <w:r>
        <w:rPr>
          <w:rFonts w:hint="eastAsia" w:ascii="仿宋" w:hAnsi="仿宋" w:eastAsia="仿宋" w:cs="仿宋"/>
          <w:color w:val="auto"/>
          <w:sz w:val="32"/>
          <w:szCs w:val="32"/>
          <w:shd w:val="clear" w:color="auto" w:fill="FFFFFF"/>
          <w:lang w:eastAsia="zh-CN"/>
        </w:rPr>
        <w:t>度</w:t>
      </w:r>
      <w:r>
        <w:rPr>
          <w:rFonts w:hint="eastAsia" w:ascii="仿宋" w:hAnsi="仿宋" w:eastAsia="仿宋" w:cs="仿宋"/>
          <w:color w:val="auto"/>
          <w:sz w:val="32"/>
          <w:szCs w:val="32"/>
          <w:shd w:val="clear" w:color="auto" w:fill="FFFFFF"/>
        </w:rPr>
        <w:t>预算收入</w:t>
      </w:r>
      <w:r>
        <w:rPr>
          <w:rFonts w:hint="eastAsia" w:ascii="仿宋" w:hAnsi="仿宋" w:eastAsia="仿宋" w:cs="仿宋"/>
          <w:color w:val="auto"/>
          <w:sz w:val="32"/>
          <w:szCs w:val="32"/>
          <w:shd w:val="clear" w:color="auto" w:fill="FFFFFF"/>
          <w:lang w:eastAsia="zh-CN"/>
        </w:rPr>
        <w:t>总计</w:t>
      </w:r>
      <w:r>
        <w:rPr>
          <w:rFonts w:hint="eastAsia" w:ascii="仿宋" w:hAnsi="仿宋" w:eastAsia="仿宋" w:cs="仿宋"/>
          <w:color w:val="auto"/>
          <w:sz w:val="32"/>
          <w:szCs w:val="32"/>
          <w:shd w:val="clear" w:color="auto" w:fill="FFFFFF"/>
          <w:lang w:val="en-US" w:eastAsia="zh-CN"/>
        </w:rPr>
        <w:t>422.153141</w:t>
      </w:r>
      <w:r>
        <w:rPr>
          <w:rFonts w:hint="eastAsia" w:ascii="仿宋" w:hAnsi="仿宋" w:eastAsia="仿宋" w:cs="仿宋"/>
          <w:color w:val="auto"/>
          <w:sz w:val="32"/>
          <w:szCs w:val="32"/>
          <w:shd w:val="clear" w:color="auto" w:fill="FFFFFF"/>
        </w:rPr>
        <w:t>万元</w:t>
      </w:r>
      <w:r>
        <w:rPr>
          <w:rFonts w:hint="eastAsia" w:ascii="仿宋" w:hAnsi="仿宋" w:eastAsia="仿宋" w:cs="仿宋"/>
          <w:color w:val="auto"/>
          <w:sz w:val="32"/>
          <w:szCs w:val="32"/>
          <w:shd w:val="clear" w:color="auto" w:fill="FFFFFF"/>
          <w:lang w:eastAsia="zh-CN"/>
        </w:rPr>
        <w:t>，</w:t>
      </w:r>
      <w:r>
        <w:rPr>
          <w:rFonts w:hint="eastAsia" w:ascii="仿宋" w:hAnsi="仿宋" w:eastAsia="仿宋" w:cs="仿宋"/>
          <w:color w:val="auto"/>
          <w:sz w:val="32"/>
          <w:szCs w:val="32"/>
          <w:shd w:val="clear" w:color="auto" w:fill="FFFFFF"/>
        </w:rPr>
        <w:t>其中，一般公共预算收入</w:t>
      </w:r>
      <w:r>
        <w:rPr>
          <w:rFonts w:hint="eastAsia" w:ascii="仿宋" w:hAnsi="仿宋" w:eastAsia="仿宋" w:cs="仿宋"/>
          <w:color w:val="auto"/>
          <w:sz w:val="32"/>
          <w:szCs w:val="32"/>
          <w:shd w:val="clear" w:color="auto" w:fill="FFFFFF"/>
          <w:lang w:val="en-US" w:eastAsia="zh-CN"/>
        </w:rPr>
        <w:t>422.153141</w:t>
      </w:r>
      <w:r>
        <w:rPr>
          <w:rFonts w:hint="eastAsia" w:ascii="仿宋" w:hAnsi="仿宋" w:eastAsia="仿宋" w:cs="仿宋"/>
          <w:color w:val="auto"/>
          <w:sz w:val="32"/>
          <w:szCs w:val="32"/>
          <w:shd w:val="clear" w:color="auto" w:fill="FFFFFF"/>
        </w:rPr>
        <w:t>万元。20</w:t>
      </w:r>
      <w:r>
        <w:rPr>
          <w:rFonts w:hint="eastAsia" w:ascii="仿宋" w:hAnsi="仿宋" w:eastAsia="仿宋" w:cs="仿宋"/>
          <w:color w:val="auto"/>
          <w:sz w:val="32"/>
          <w:szCs w:val="32"/>
          <w:shd w:val="clear" w:color="auto" w:fill="FFFFFF"/>
          <w:lang w:val="en-US" w:eastAsia="zh-CN"/>
        </w:rPr>
        <w:t>24</w:t>
      </w:r>
      <w:r>
        <w:rPr>
          <w:rFonts w:hint="eastAsia" w:ascii="仿宋" w:hAnsi="仿宋" w:eastAsia="仿宋" w:cs="仿宋"/>
          <w:color w:val="auto"/>
          <w:sz w:val="32"/>
          <w:szCs w:val="32"/>
          <w:shd w:val="clear" w:color="auto" w:fill="FFFFFF"/>
        </w:rPr>
        <w:t>年</w:t>
      </w:r>
      <w:r>
        <w:rPr>
          <w:rFonts w:hint="eastAsia" w:ascii="仿宋" w:hAnsi="仿宋" w:eastAsia="仿宋" w:cs="仿宋"/>
          <w:color w:val="auto"/>
          <w:sz w:val="32"/>
          <w:szCs w:val="32"/>
          <w:shd w:val="clear" w:color="auto" w:fill="FFFFFF"/>
          <w:lang w:eastAsia="zh-CN"/>
        </w:rPr>
        <w:t>度</w:t>
      </w:r>
      <w:r>
        <w:rPr>
          <w:rFonts w:hint="eastAsia" w:ascii="仿宋" w:hAnsi="仿宋" w:eastAsia="仿宋" w:cs="仿宋"/>
          <w:color w:val="auto"/>
          <w:sz w:val="32"/>
          <w:szCs w:val="32"/>
          <w:shd w:val="clear" w:color="auto" w:fill="FFFFFF"/>
        </w:rPr>
        <w:t>支出</w:t>
      </w:r>
      <w:r>
        <w:rPr>
          <w:rFonts w:hint="eastAsia" w:ascii="仿宋" w:hAnsi="仿宋" w:eastAsia="仿宋" w:cs="仿宋"/>
          <w:color w:val="auto"/>
          <w:sz w:val="32"/>
          <w:szCs w:val="32"/>
          <w:shd w:val="clear" w:color="auto" w:fill="FFFFFF"/>
          <w:lang w:val="en-US" w:eastAsia="zh-CN"/>
        </w:rPr>
        <w:t>422.153141万元</w:t>
      </w:r>
      <w:r>
        <w:rPr>
          <w:rFonts w:hint="eastAsia" w:ascii="仿宋" w:hAnsi="仿宋" w:eastAsia="仿宋" w:cs="仿宋"/>
          <w:color w:val="auto"/>
          <w:sz w:val="32"/>
          <w:szCs w:val="32"/>
          <w:shd w:val="clear" w:color="auto" w:fill="FFFFFF"/>
          <w:lang w:eastAsia="zh-CN"/>
        </w:rPr>
        <w:t>，</w:t>
      </w:r>
      <w:r>
        <w:rPr>
          <w:rFonts w:hint="eastAsia" w:ascii="仿宋" w:hAnsi="仿宋" w:eastAsia="仿宋" w:cs="仿宋"/>
          <w:color w:val="auto"/>
          <w:sz w:val="32"/>
          <w:szCs w:val="32"/>
          <w:shd w:val="clear" w:color="auto" w:fill="FFFFFF"/>
        </w:rPr>
        <w:t>结转结余</w:t>
      </w:r>
      <w:r>
        <w:rPr>
          <w:rFonts w:hint="eastAsia" w:ascii="仿宋" w:hAnsi="仿宋" w:eastAsia="仿宋" w:cs="仿宋"/>
          <w:color w:val="auto"/>
          <w:sz w:val="32"/>
          <w:szCs w:val="32"/>
          <w:shd w:val="clear" w:color="auto" w:fill="FFFFFF"/>
          <w:lang w:val="en-US" w:eastAsia="zh-CN"/>
        </w:rPr>
        <w:t>0</w:t>
      </w:r>
      <w:r>
        <w:rPr>
          <w:rFonts w:hint="eastAsia" w:ascii="仿宋" w:hAnsi="仿宋" w:eastAsia="仿宋" w:cs="仿宋"/>
          <w:color w:val="auto"/>
          <w:sz w:val="32"/>
          <w:szCs w:val="32"/>
          <w:shd w:val="clear" w:color="auto" w:fill="FFFFFF"/>
        </w:rPr>
        <w:t>万元</w:t>
      </w:r>
      <w:r>
        <w:rPr>
          <w:rFonts w:hint="eastAsia" w:ascii="仿宋" w:hAnsi="仿宋" w:eastAsia="仿宋" w:cs="仿宋"/>
          <w:color w:val="auto"/>
          <w:sz w:val="32"/>
          <w:szCs w:val="32"/>
          <w:shd w:val="clear" w:color="auto" w:fill="FFFFFF"/>
          <w:lang w:eastAsia="zh-CN"/>
        </w:rPr>
        <w:t>。</w:t>
      </w:r>
      <w:r>
        <w:rPr>
          <w:rFonts w:hint="eastAsia" w:ascii="仿宋" w:hAnsi="仿宋" w:eastAsia="仿宋" w:cs="仿宋"/>
          <w:color w:val="auto"/>
          <w:sz w:val="32"/>
          <w:szCs w:val="32"/>
          <w:shd w:val="clear" w:color="auto" w:fill="FFFFFF"/>
        </w:rPr>
        <w:t>其中，人员经费支出</w:t>
      </w:r>
      <w:r>
        <w:rPr>
          <w:rFonts w:hint="eastAsia" w:ascii="仿宋" w:hAnsi="仿宋" w:eastAsia="仿宋" w:cs="仿宋"/>
          <w:color w:val="auto"/>
          <w:sz w:val="32"/>
          <w:szCs w:val="32"/>
          <w:shd w:val="clear" w:color="auto" w:fill="FFFFFF"/>
          <w:lang w:val="en-US" w:eastAsia="zh-CN"/>
        </w:rPr>
        <w:t>337.654771</w:t>
      </w:r>
      <w:r>
        <w:rPr>
          <w:rFonts w:hint="eastAsia" w:ascii="仿宋" w:hAnsi="仿宋" w:eastAsia="仿宋" w:cs="仿宋"/>
          <w:color w:val="auto"/>
          <w:sz w:val="32"/>
          <w:szCs w:val="32"/>
          <w:shd w:val="clear" w:color="auto" w:fill="FFFFFF"/>
        </w:rPr>
        <w:t>万元，正常公用经费</w:t>
      </w:r>
      <w:r>
        <w:rPr>
          <w:rFonts w:hint="eastAsia" w:ascii="仿宋" w:hAnsi="仿宋" w:eastAsia="仿宋" w:cs="仿宋"/>
          <w:color w:val="auto"/>
          <w:sz w:val="32"/>
          <w:szCs w:val="32"/>
          <w:shd w:val="clear" w:color="auto" w:fill="FFFFFF"/>
          <w:lang w:val="en-US" w:eastAsia="zh-CN"/>
        </w:rPr>
        <w:t>36.383732</w:t>
      </w:r>
      <w:r>
        <w:rPr>
          <w:rFonts w:hint="eastAsia" w:ascii="仿宋" w:hAnsi="仿宋" w:eastAsia="仿宋" w:cs="仿宋"/>
          <w:color w:val="auto"/>
          <w:sz w:val="32"/>
          <w:szCs w:val="32"/>
          <w:shd w:val="clear" w:color="auto" w:fill="FFFFFF"/>
        </w:rPr>
        <w:t>万元，项目支出</w:t>
      </w:r>
      <w:r>
        <w:rPr>
          <w:rFonts w:hint="eastAsia" w:ascii="仿宋" w:hAnsi="仿宋" w:eastAsia="仿宋" w:cs="仿宋"/>
          <w:color w:val="auto"/>
          <w:sz w:val="32"/>
          <w:szCs w:val="32"/>
          <w:shd w:val="clear" w:color="auto" w:fill="FFFFFF"/>
          <w:lang w:val="en-US" w:eastAsia="zh-CN"/>
        </w:rPr>
        <w:t>48.114638</w:t>
      </w:r>
      <w:r>
        <w:rPr>
          <w:rFonts w:hint="eastAsia" w:ascii="仿宋" w:hAnsi="仿宋" w:eastAsia="仿宋" w:cs="仿宋"/>
          <w:color w:val="auto"/>
          <w:sz w:val="32"/>
          <w:szCs w:val="32"/>
          <w:shd w:val="clear" w:color="auto" w:fill="FFFFFF"/>
        </w:rPr>
        <w:t>万元。</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（三）部门整体支出绩效目标、指标</w:t>
      </w:r>
    </w:p>
    <w:p>
      <w:pPr>
        <w:snapToGrid w:val="0"/>
        <w:spacing w:line="360" w:lineRule="auto"/>
        <w:ind w:firstLine="640" w:firstLineChars="200"/>
        <w:rPr>
          <w:rFonts w:hint="eastAsia" w:ascii="仿宋" w:hAnsi="仿宋" w:eastAsia="仿宋" w:cs="仿宋"/>
          <w:color w:val="333333"/>
          <w:sz w:val="32"/>
          <w:szCs w:val="32"/>
          <w:shd w:val="clear" w:color="auto" w:fill="FFFFFF"/>
        </w:rPr>
      </w:pPr>
      <w:r>
        <w:rPr>
          <w:rFonts w:hint="eastAsia" w:ascii="仿宋" w:hAnsi="仿宋" w:eastAsia="仿宋" w:cs="仿宋"/>
          <w:color w:val="333333"/>
          <w:sz w:val="32"/>
          <w:szCs w:val="32"/>
          <w:shd w:val="clear" w:color="auto" w:fill="FFFFFF"/>
          <w:lang w:val="en-US" w:eastAsia="zh-CN"/>
        </w:rPr>
        <w:t>坚持以习近平新时代中国特色社会主义思想为指导，深入学习贯彻党的二十大和二十届三中全会精神，认真贯彻落实市委市政府决策部署，积极发挥省会侨界人才荟萃、智力密集、联系广泛的优势，为建设现代化、国际化美丽省会城市做出了侨界贡献。</w:t>
      </w:r>
    </w:p>
    <w:p>
      <w:pPr>
        <w:snapToGrid w:val="0"/>
        <w:spacing w:line="360" w:lineRule="auto"/>
        <w:ind w:firstLine="640" w:firstLineChars="200"/>
        <w:rPr>
          <w:rFonts w:ascii="仿宋" w:hAnsi="仿宋" w:eastAsia="仿宋"/>
          <w:sz w:val="32"/>
        </w:rPr>
      </w:pPr>
      <w:r>
        <w:rPr>
          <w:rFonts w:hint="eastAsia" w:ascii="黑体" w:hAnsi="黑体" w:eastAsia="黑体" w:cs="黑体"/>
          <w:sz w:val="32"/>
          <w:szCs w:val="32"/>
        </w:rPr>
        <w:t>二、绩效自评工作组织开展情况</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（一）自评的组织工作</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color w:val="333333"/>
          <w:sz w:val="32"/>
          <w:szCs w:val="32"/>
          <w:shd w:val="clear" w:color="auto" w:fill="FFFFFF"/>
        </w:rPr>
        <w:t>我</w:t>
      </w:r>
      <w:r>
        <w:rPr>
          <w:rFonts w:hint="eastAsia" w:ascii="仿宋" w:hAnsi="仿宋" w:eastAsia="仿宋" w:cs="仿宋"/>
          <w:color w:val="333333"/>
          <w:sz w:val="32"/>
          <w:szCs w:val="32"/>
          <w:shd w:val="clear" w:color="auto" w:fill="FFFFFF"/>
          <w:lang w:eastAsia="zh-CN"/>
        </w:rPr>
        <w:t>会</w:t>
      </w:r>
      <w:r>
        <w:rPr>
          <w:rFonts w:hint="eastAsia" w:ascii="仿宋" w:hAnsi="仿宋" w:eastAsia="仿宋" w:cs="仿宋"/>
          <w:color w:val="333333"/>
          <w:sz w:val="32"/>
          <w:szCs w:val="32"/>
          <w:shd w:val="clear" w:color="auto" w:fill="FFFFFF"/>
        </w:rPr>
        <w:t>成立了预算绩效管理领导小组，定期或不定期召开会议，研究、协调、解决预算绩效管理工作中存在的问題，确保我</w:t>
      </w:r>
      <w:r>
        <w:rPr>
          <w:rFonts w:hint="eastAsia" w:ascii="仿宋" w:hAnsi="仿宋" w:eastAsia="仿宋" w:cs="仿宋"/>
          <w:color w:val="333333"/>
          <w:sz w:val="32"/>
          <w:szCs w:val="32"/>
          <w:shd w:val="clear" w:color="auto" w:fill="FFFFFF"/>
          <w:lang w:eastAsia="zh-CN"/>
        </w:rPr>
        <w:t>会</w:t>
      </w:r>
      <w:r>
        <w:rPr>
          <w:rFonts w:hint="eastAsia" w:ascii="仿宋" w:hAnsi="仿宋" w:eastAsia="仿宋" w:cs="仿宋"/>
          <w:color w:val="333333"/>
          <w:sz w:val="32"/>
          <w:szCs w:val="32"/>
          <w:shd w:val="clear" w:color="auto" w:fill="FFFFFF"/>
        </w:rPr>
        <w:t>预算绩效管理工作顺利推进。绩效自评工作中，多次召开会议，确保自评工作顺利开展。</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（二）自评的方法和过程</w:t>
      </w:r>
    </w:p>
    <w:p>
      <w:pPr>
        <w:snapToGrid w:val="0"/>
        <w:spacing w:line="360" w:lineRule="auto"/>
        <w:ind w:firstLine="640" w:firstLineChars="200"/>
        <w:rPr>
          <w:rFonts w:ascii="仿宋" w:hAnsi="仿宋" w:eastAsia="仿宋" w:cs="仿宋"/>
          <w:color w:val="333333"/>
          <w:sz w:val="32"/>
          <w:szCs w:val="32"/>
          <w:shd w:val="clear" w:color="auto" w:fill="FFFFFF"/>
        </w:rPr>
      </w:pPr>
      <w:r>
        <w:rPr>
          <w:rFonts w:hint="eastAsia" w:ascii="仿宋" w:hAnsi="仿宋" w:eastAsia="仿宋" w:cs="仿宋"/>
          <w:sz w:val="32"/>
          <w:szCs w:val="32"/>
        </w:rPr>
        <w:t>我</w:t>
      </w:r>
      <w:r>
        <w:rPr>
          <w:rFonts w:hint="eastAsia" w:ascii="仿宋" w:hAnsi="仿宋" w:eastAsia="仿宋" w:cs="仿宋"/>
          <w:sz w:val="32"/>
          <w:szCs w:val="32"/>
          <w:lang w:eastAsia="zh-CN"/>
        </w:rPr>
        <w:t>会</w:t>
      </w:r>
      <w:r>
        <w:rPr>
          <w:rFonts w:hint="eastAsia" w:ascii="仿宋" w:hAnsi="仿宋" w:eastAsia="仿宋" w:cs="仿宋"/>
          <w:sz w:val="32"/>
          <w:szCs w:val="32"/>
        </w:rPr>
        <w:t>以绩效目标实现为导向，进一步加强制度建设，提升自评质量。一是抓好绩效目标编制，及时报送绩效目标。二是做好了绩效跟踪监控，按要求加强过程监控。三是深入开展财政支出绩效评价，对202</w:t>
      </w:r>
      <w:r>
        <w:rPr>
          <w:rFonts w:hint="eastAsia" w:ascii="仿宋" w:hAnsi="仿宋" w:eastAsia="仿宋" w:cs="仿宋"/>
          <w:sz w:val="32"/>
          <w:szCs w:val="32"/>
          <w:lang w:val="en-US" w:eastAsia="zh-CN"/>
        </w:rPr>
        <w:t>4</w:t>
      </w:r>
      <w:r>
        <w:rPr>
          <w:rFonts w:hint="eastAsia" w:ascii="仿宋" w:hAnsi="仿宋" w:eastAsia="仿宋" w:cs="仿宋"/>
          <w:sz w:val="32"/>
          <w:szCs w:val="32"/>
        </w:rPr>
        <w:t>年度项目按照年初绩效目标逐一核查，</w:t>
      </w:r>
      <w:r>
        <w:rPr>
          <w:rFonts w:hint="eastAsia" w:ascii="仿宋" w:hAnsi="仿宋" w:eastAsia="仿宋" w:cs="仿宋"/>
          <w:color w:val="333333"/>
          <w:sz w:val="32"/>
          <w:szCs w:val="32"/>
          <w:shd w:val="clear" w:color="auto" w:fill="FFFFFF"/>
        </w:rPr>
        <w:t>预算项目绩效目标完成达标，达到了年初预算项目安排的工作目标。</w:t>
      </w:r>
      <w:r>
        <w:rPr>
          <w:rFonts w:hint="eastAsia" w:ascii="仿宋" w:hAnsi="仿宋" w:eastAsia="仿宋" w:cs="仿宋"/>
          <w:sz w:val="32"/>
          <w:szCs w:val="32"/>
        </w:rPr>
        <w:t>四是强化评价结果应用。组织绩效自评和绩效跟踪监控，对发现的问题及时改正，加强评价结果与项目资金安排的衔接。五是健全绩效管理工作机制，明确职责分工，努力提高了绩效管理工作水平。</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三、部门整体支出绩效目标实现情况及指标分析</w:t>
      </w:r>
    </w:p>
    <w:p>
      <w:pPr>
        <w:snapToGrid w:val="0"/>
        <w:spacing w:line="360" w:lineRule="auto"/>
        <w:ind w:firstLine="640" w:firstLineChars="200"/>
        <w:jc w:val="left"/>
        <w:rPr>
          <w:rFonts w:ascii="黑体" w:hAnsi="黑体" w:eastAsia="黑体" w:cs="黑体"/>
          <w:sz w:val="32"/>
          <w:szCs w:val="32"/>
        </w:rPr>
      </w:pPr>
      <w:r>
        <w:rPr>
          <w:rFonts w:hint="eastAsia" w:ascii="黑体" w:hAnsi="黑体" w:eastAsia="黑体" w:cs="黑体"/>
          <w:sz w:val="32"/>
          <w:szCs w:val="32"/>
        </w:rPr>
        <w:t>（一）总体绩效目标实现情况</w:t>
      </w:r>
    </w:p>
    <w:p>
      <w:pPr>
        <w:snapToGrid w:val="0"/>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年石家庄市侨联</w:t>
      </w:r>
      <w:r>
        <w:rPr>
          <w:rFonts w:hint="eastAsia" w:ascii="仿宋" w:hAnsi="仿宋" w:eastAsia="仿宋" w:cs="仿宋"/>
          <w:sz w:val="32"/>
          <w:szCs w:val="32"/>
          <w:lang w:val="en-US" w:eastAsia="zh-CN"/>
        </w:rPr>
        <w:t>坚持以习近平新时代中国特色社会主义思想为指导，深入学习贯彻党的二十大和二十届三中全会精神，认真贯彻落实市委市政府决策部署，积极发挥省会侨界人才荟萃、智力密集、联系广泛的优势，为建设现代化、国际化美丽省会城市做出了侨界贡献。</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（二）分项绩效目标实现情况及指标分析</w:t>
      </w:r>
    </w:p>
    <w:p>
      <w:pPr>
        <w:keepNext w:val="0"/>
        <w:keepLines w:val="0"/>
        <w:pageBreakBefore w:val="0"/>
        <w:widowControl w:val="0"/>
        <w:suppressLineNumbers w:val="0"/>
        <w:pBdr>
          <w:top w:val="none" w:color="auto" w:sz="0" w:space="0"/>
          <w:left w:val="none" w:color="auto" w:sz="0" w:space="0"/>
          <w:bottom w:val="single" w:color="FFFFFF" w:sz="4" w:space="31"/>
          <w:right w:val="none" w:color="auto" w:sz="0" w:space="0"/>
        </w:pBdr>
        <w:kinsoku/>
        <w:wordWrap/>
        <w:overflowPunct/>
        <w:topLinePunct w:val="0"/>
        <w:autoSpaceDE/>
        <w:autoSpaceDN/>
        <w:bidi w:val="0"/>
        <w:spacing w:line="600" w:lineRule="exact"/>
        <w:ind w:left="0" w:firstLine="640" w:firstLineChars="200"/>
        <w:textAlignment w:val="auto"/>
        <w:rPr>
          <w:rFonts w:ascii="仿宋_GB2312" w:eastAsia="仿宋_GB2312" w:cs="仿宋_GB2312"/>
          <w:snapToGrid w:val="0"/>
          <w:kern w:val="0"/>
          <w:sz w:val="32"/>
          <w:szCs w:val="32"/>
          <w:lang w:val="en-US" w:eastAsia="zh-CN"/>
        </w:rPr>
      </w:pPr>
      <w:r>
        <w:rPr>
          <w:rFonts w:hint="eastAsia" w:ascii="楷体_GB2312" w:eastAsia="楷体_GB2312" w:cs="楷体_GB2312"/>
          <w:snapToGrid w:val="0"/>
          <w:kern w:val="0"/>
          <w:sz w:val="32"/>
          <w:szCs w:val="32"/>
          <w:lang w:val="en-US" w:eastAsia="zh-CN"/>
        </w:rPr>
        <w:t>1.主动作为，为省会发展凝聚侨力。</w:t>
      </w:r>
      <w:r>
        <w:rPr>
          <w:rFonts w:hint="eastAsia" w:ascii="仿宋_GB2312" w:eastAsia="仿宋_GB2312" w:cs="仿宋_GB2312"/>
          <w:bCs/>
          <w:kern w:val="0"/>
          <w:sz w:val="32"/>
          <w:szCs w:val="32"/>
          <w:lang w:val="en-US" w:eastAsia="zh-CN"/>
        </w:rPr>
        <w:t>积极争取</w:t>
      </w:r>
      <w:r>
        <w:rPr>
          <w:rFonts w:hint="eastAsia" w:ascii="仿宋_GB2312" w:eastAsia="仿宋_GB2312" w:cs="仿宋_GB2312"/>
          <w:snapToGrid w:val="0"/>
          <w:kern w:val="0"/>
          <w:sz w:val="32"/>
          <w:szCs w:val="32"/>
          <w:lang w:val="en-US" w:eastAsia="zh-CN"/>
        </w:rPr>
        <w:t>上级侨联和市委市政府支持，成功组织了“一带一路”华商走进石家庄活动。</w:t>
      </w:r>
      <w:r>
        <w:rPr>
          <w:rFonts w:hint="eastAsia" w:ascii="仿宋_GB2312" w:eastAsia="仿宋_GB2312" w:cs="仿宋_GB2312"/>
          <w:kern w:val="0"/>
          <w:sz w:val="32"/>
          <w:szCs w:val="32"/>
          <w:lang w:val="en-US" w:eastAsia="zh-CN"/>
        </w:rPr>
        <w:t>4</w:t>
      </w:r>
      <w:r>
        <w:rPr>
          <w:rFonts w:hint="eastAsia" w:ascii="仿宋_GB2312" w:eastAsia="仿宋_GB2312" w:cs="仿宋_GB2312"/>
          <w:snapToGrid w:val="0"/>
          <w:kern w:val="0"/>
          <w:sz w:val="32"/>
          <w:szCs w:val="32"/>
          <w:lang w:val="en-US" w:eastAsia="zh-CN"/>
        </w:rPr>
        <w:t>月</w:t>
      </w:r>
      <w:r>
        <w:rPr>
          <w:rFonts w:hint="eastAsia" w:ascii="仿宋_GB2312" w:eastAsia="仿宋_GB2312" w:cs="仿宋_GB2312"/>
          <w:kern w:val="0"/>
          <w:sz w:val="32"/>
          <w:szCs w:val="32"/>
          <w:lang w:val="en-US" w:eastAsia="zh-CN"/>
        </w:rPr>
        <w:t>22</w:t>
      </w:r>
      <w:r>
        <w:rPr>
          <w:rFonts w:hint="eastAsia" w:ascii="仿宋_GB2312" w:eastAsia="仿宋_GB2312" w:cs="仿宋_GB2312"/>
          <w:snapToGrid w:val="0"/>
          <w:kern w:val="0"/>
          <w:sz w:val="32"/>
          <w:szCs w:val="32"/>
          <w:lang w:val="en-US" w:eastAsia="zh-CN"/>
        </w:rPr>
        <w:t>日至</w:t>
      </w:r>
      <w:r>
        <w:rPr>
          <w:rFonts w:hint="eastAsia" w:ascii="仿宋_GB2312" w:eastAsia="仿宋_GB2312" w:cs="仿宋_GB2312"/>
          <w:kern w:val="0"/>
          <w:sz w:val="32"/>
          <w:szCs w:val="32"/>
          <w:lang w:val="en-US" w:eastAsia="zh-CN"/>
        </w:rPr>
        <w:t>23</w:t>
      </w:r>
      <w:r>
        <w:rPr>
          <w:rFonts w:hint="eastAsia" w:ascii="仿宋_GB2312" w:eastAsia="仿宋_GB2312" w:cs="仿宋_GB2312"/>
          <w:snapToGrid w:val="0"/>
          <w:kern w:val="0"/>
          <w:sz w:val="32"/>
          <w:szCs w:val="32"/>
          <w:lang w:val="en-US" w:eastAsia="zh-CN"/>
        </w:rPr>
        <w:t>日，由中国侨联经济科技部、中国侨商联合会指导，省侨联、市委、市政府主办</w:t>
      </w:r>
      <w:r>
        <w:rPr>
          <w:rFonts w:ascii="仿宋_GB2312" w:eastAsia="仿宋_GB2312" w:cs="仿宋_GB2312"/>
          <w:snapToGrid w:val="0"/>
          <w:kern w:val="0"/>
          <w:sz w:val="32"/>
          <w:szCs w:val="32"/>
          <w:lang w:val="en-US" w:eastAsia="zh-CN"/>
        </w:rPr>
        <w:t>的</w:t>
      </w:r>
      <w:r>
        <w:rPr>
          <w:rFonts w:hint="eastAsia" w:ascii="仿宋_GB2312" w:eastAsia="仿宋_GB2312" w:cs="仿宋_GB2312"/>
          <w:snapToGrid w:val="0"/>
          <w:kern w:val="0"/>
          <w:sz w:val="32"/>
          <w:szCs w:val="32"/>
          <w:lang w:val="en-US" w:eastAsia="zh-CN"/>
        </w:rPr>
        <w:t>“一带一路”华商走进石家庄活动在我市举行，来自“一带一路”</w:t>
      </w:r>
      <w:r>
        <w:rPr>
          <w:rFonts w:hint="eastAsia" w:ascii="仿宋_GB2312" w:eastAsia="仿宋_GB2312" w:cs="仿宋_GB2312"/>
          <w:kern w:val="0"/>
          <w:sz w:val="32"/>
          <w:szCs w:val="32"/>
          <w:lang w:val="en-US" w:eastAsia="zh-CN"/>
        </w:rPr>
        <w:t>17</w:t>
      </w:r>
      <w:r>
        <w:rPr>
          <w:rFonts w:hint="eastAsia" w:ascii="仿宋_GB2312" w:eastAsia="仿宋_GB2312" w:cs="仿宋_GB2312"/>
          <w:snapToGrid w:val="0"/>
          <w:kern w:val="0"/>
          <w:sz w:val="32"/>
          <w:szCs w:val="32"/>
          <w:lang w:val="en-US" w:eastAsia="zh-CN"/>
        </w:rPr>
        <w:t>个国家</w:t>
      </w:r>
      <w:r>
        <w:rPr>
          <w:rFonts w:hint="eastAsia" w:ascii="仿宋_GB2312" w:eastAsia="仿宋_GB2312" w:cs="仿宋_GB2312"/>
          <w:kern w:val="0"/>
          <w:sz w:val="32"/>
          <w:szCs w:val="32"/>
          <w:lang w:val="en-US" w:eastAsia="zh-CN"/>
        </w:rPr>
        <w:t>27</w:t>
      </w:r>
      <w:r>
        <w:rPr>
          <w:rFonts w:hint="eastAsia" w:ascii="仿宋_GB2312" w:eastAsia="仿宋_GB2312" w:cs="仿宋_GB2312"/>
          <w:snapToGrid w:val="0"/>
          <w:kern w:val="0"/>
          <w:sz w:val="32"/>
          <w:szCs w:val="32"/>
          <w:lang w:val="en-US" w:eastAsia="zh-CN"/>
        </w:rPr>
        <w:t>名华商实地参观了石药集团、国际生物医药园规划馆、正定古城以及高铁片区展示中心。活动期间，市委副书记、市长马宇骏和省侨联党组书记、主席付辉东会见了华商，副市长管云天主持召开了恳谈会，为华商来石合作奠定基础。</w:t>
      </w:r>
    </w:p>
    <w:p>
      <w:pPr>
        <w:keepNext w:val="0"/>
        <w:keepLines w:val="0"/>
        <w:pageBreakBefore w:val="0"/>
        <w:widowControl w:val="0"/>
        <w:suppressLineNumbers w:val="0"/>
        <w:pBdr>
          <w:top w:val="none" w:color="auto" w:sz="0" w:space="0"/>
          <w:left w:val="none" w:color="auto" w:sz="0" w:space="0"/>
          <w:bottom w:val="single" w:color="FFFFFF" w:sz="4" w:space="31"/>
          <w:right w:val="none" w:color="auto" w:sz="0" w:space="0"/>
        </w:pBdr>
        <w:kinsoku/>
        <w:wordWrap/>
        <w:overflowPunct/>
        <w:topLinePunct w:val="0"/>
        <w:autoSpaceDE/>
        <w:autoSpaceDN/>
        <w:bidi w:val="0"/>
        <w:spacing w:line="600" w:lineRule="exact"/>
        <w:ind w:left="0" w:firstLine="640" w:firstLineChars="200"/>
        <w:textAlignment w:val="auto"/>
        <w:rPr>
          <w:rFonts w:ascii="仿宋_GB2312" w:eastAsia="仿宋_GB2312" w:cs="仿宋_GB2312"/>
          <w:b w:val="0"/>
          <w:bCs w:val="0"/>
          <w:color w:val="auto"/>
          <w:sz w:val="32"/>
          <w:szCs w:val="32"/>
          <w:highlight w:val="none"/>
          <w:lang w:eastAsia="zh-CN"/>
        </w:rPr>
      </w:pPr>
      <w:r>
        <w:rPr>
          <w:rFonts w:hint="eastAsia" w:ascii="楷体_GB2312" w:eastAsia="楷体_GB2312" w:cs="楷体_GB2312"/>
          <w:snapToGrid w:val="0"/>
          <w:kern w:val="0"/>
          <w:sz w:val="32"/>
          <w:szCs w:val="32"/>
          <w:lang w:val="en-US" w:eastAsia="zh-CN"/>
        </w:rPr>
        <w:t>2.主动担当，为省会发展汇聚侨智。</w:t>
      </w:r>
      <w:r>
        <w:rPr>
          <w:rFonts w:hint="eastAsia" w:ascii="仿宋_GB2312" w:eastAsia="仿宋_GB2312" w:cs="仿宋"/>
          <w:kern w:val="2"/>
          <w:sz w:val="32"/>
          <w:szCs w:val="32"/>
          <w:lang w:val="en-US" w:eastAsia="zh-CN"/>
        </w:rPr>
        <w:t>市侨联把第三届石家庄“海石杯”高层次人才创新创业大赛作为</w:t>
      </w:r>
      <w:r>
        <w:rPr>
          <w:rFonts w:hint="eastAsia" w:ascii="仿宋_GB2312" w:eastAsia="仿宋_GB2312" w:cs="仿宋_GB2312"/>
          <w:b w:val="0"/>
          <w:bCs w:val="0"/>
          <w:color w:val="auto"/>
          <w:sz w:val="32"/>
          <w:szCs w:val="32"/>
          <w:highlight w:val="none"/>
          <w:lang w:eastAsia="zh-CN"/>
        </w:rPr>
        <w:t>服务省会高质量发展的一项重点任务，认真组织并</w:t>
      </w:r>
      <w:r>
        <w:rPr>
          <w:rFonts w:hint="eastAsia" w:ascii="仿宋_GB2312" w:eastAsia="仿宋_GB2312" w:cs="仿宋_GB2312"/>
          <w:b w:val="0"/>
          <w:bCs w:val="0"/>
          <w:snapToGrid w:val="0"/>
          <w:kern w:val="0"/>
          <w:sz w:val="32"/>
          <w:szCs w:val="32"/>
          <w:lang w:val="en-US" w:eastAsia="zh-CN"/>
        </w:rPr>
        <w:t>圆满完成了</w:t>
      </w:r>
      <w:r>
        <w:rPr>
          <w:rFonts w:hint="eastAsia" w:ascii="仿宋_GB2312" w:eastAsia="仿宋_GB2312" w:cs="仿宋"/>
          <w:kern w:val="2"/>
          <w:sz w:val="32"/>
          <w:szCs w:val="32"/>
          <w:lang w:val="en-US" w:eastAsia="zh-CN"/>
        </w:rPr>
        <w:t>亚太赛区工作。</w:t>
      </w:r>
      <w:r>
        <w:rPr>
          <w:rFonts w:hint="eastAsia" w:ascii="仿宋_GB2312" w:eastAsia="仿宋_GB2312" w:cs="仿宋_GB2312"/>
          <w:kern w:val="0"/>
          <w:sz w:val="32"/>
          <w:szCs w:val="32"/>
          <w:lang w:val="en-US" w:eastAsia="zh-CN"/>
        </w:rPr>
        <w:t>在市委组织部的指导下，专门成立工作专班，</w:t>
      </w:r>
      <w:r>
        <w:rPr>
          <w:rFonts w:hint="eastAsia" w:ascii="仿宋_GB2312" w:eastAsia="仿宋_GB2312" w:cs="仿宋"/>
          <w:kern w:val="2"/>
          <w:sz w:val="32"/>
          <w:szCs w:val="32"/>
          <w:lang w:val="en-US" w:eastAsia="zh-CN"/>
        </w:rPr>
        <w:t>历时6个月，</w:t>
      </w:r>
      <w:r>
        <w:rPr>
          <w:rFonts w:hint="eastAsia" w:ascii="仿宋_GB2312" w:eastAsia="仿宋_GB2312" w:cs="仿宋_GB2312"/>
          <w:kern w:val="0"/>
          <w:sz w:val="32"/>
          <w:szCs w:val="32"/>
          <w:lang w:val="en-US" w:eastAsia="zh-CN"/>
        </w:rPr>
        <w:t>全力以赴，通过各种渠道宣传推介大赛。先后</w:t>
      </w:r>
      <w:r>
        <w:rPr>
          <w:rFonts w:hint="eastAsia" w:ascii="仿宋_GB2312" w:eastAsia="仿宋_GB2312" w:cs="仿宋_GB2312"/>
          <w:b w:val="0"/>
          <w:bCs w:val="0"/>
          <w:color w:val="auto"/>
          <w:sz w:val="32"/>
          <w:szCs w:val="32"/>
          <w:highlight w:val="none"/>
          <w:lang w:val="en-US" w:eastAsia="zh-CN"/>
        </w:rPr>
        <w:t>向海内外的高校、科研院所、开发园区、商会协会、人才交流中心、经济技术交流中心及国际科技创新合作联盟成员单位等推送大赛信息</w:t>
      </w:r>
      <w:r>
        <w:rPr>
          <w:rFonts w:hint="eastAsia" w:ascii="仿宋_GB2312" w:eastAsia="仿宋_GB2312" w:cs="仿宋_GB2312"/>
          <w:kern w:val="0"/>
          <w:sz w:val="32"/>
          <w:szCs w:val="32"/>
          <w:lang w:val="en-US" w:eastAsia="zh-CN"/>
        </w:rPr>
        <w:t>，利用省侨代会在石召开之机，向70多个国家150余名海外委员宣传推介，借“一带一路”华商来石考察之机，向“一带一路”</w:t>
      </w:r>
      <w:r>
        <w:rPr>
          <w:rFonts w:ascii="仿宋_GB2312" w:eastAsia="仿宋_GB2312" w:cs="仿宋_GB2312"/>
          <w:kern w:val="0"/>
          <w:sz w:val="32"/>
          <w:szCs w:val="32"/>
          <w:lang w:val="en-US" w:eastAsia="zh-CN"/>
        </w:rPr>
        <w:t>17个</w:t>
      </w:r>
      <w:r>
        <w:rPr>
          <w:rFonts w:hint="eastAsia" w:ascii="仿宋_GB2312" w:eastAsia="仿宋_GB2312" w:cs="仿宋_GB2312"/>
          <w:kern w:val="0"/>
          <w:sz w:val="32"/>
          <w:szCs w:val="32"/>
          <w:lang w:val="en-US" w:eastAsia="zh-CN"/>
        </w:rPr>
        <w:t>国家的27名华商宣传推介，在</w:t>
      </w:r>
      <w:r>
        <w:rPr>
          <w:rFonts w:ascii="仿宋_GB2312" w:eastAsia="仿宋_GB2312" w:cs="仿宋_GB2312"/>
          <w:kern w:val="0"/>
          <w:sz w:val="32"/>
          <w:szCs w:val="32"/>
          <w:lang w:val="en-US" w:eastAsia="zh-CN"/>
        </w:rPr>
        <w:t>国内</w:t>
      </w:r>
      <w:r>
        <w:rPr>
          <w:rFonts w:hint="eastAsia" w:ascii="仿宋_GB2312" w:eastAsia="仿宋_GB2312" w:cs="仿宋_GB2312"/>
          <w:kern w:val="0"/>
          <w:sz w:val="32"/>
          <w:szCs w:val="32"/>
          <w:lang w:val="en-US" w:eastAsia="zh-CN"/>
        </w:rPr>
        <w:t>石家庄铁道大学、河北科技大学、石家庄学院举行13场推介会，</w:t>
      </w:r>
      <w:r>
        <w:rPr>
          <w:rFonts w:ascii="仿宋_GB2312" w:eastAsia="仿宋_GB2312" w:cs="仿宋_GB2312"/>
          <w:kern w:val="0"/>
          <w:sz w:val="32"/>
          <w:szCs w:val="32"/>
          <w:lang w:val="en-US" w:eastAsia="zh-CN"/>
        </w:rPr>
        <w:t>在海外</w:t>
      </w:r>
      <w:r>
        <w:rPr>
          <w:rFonts w:hint="eastAsia" w:ascii="仿宋_GB2312" w:eastAsia="仿宋_GB2312" w:cs="仿宋_GB2312"/>
          <w:kern w:val="0"/>
          <w:sz w:val="32"/>
          <w:szCs w:val="32"/>
          <w:lang w:val="en-US" w:eastAsia="zh-CN"/>
        </w:rPr>
        <w:t>设立日本东京、韩国首尔分赛场。通过</w:t>
      </w:r>
      <w:r>
        <w:rPr>
          <w:rFonts w:hint="eastAsia" w:ascii="仿宋_GB2312" w:eastAsia="仿宋_GB2312" w:cs="仿宋_GB2312"/>
          <w:b w:val="0"/>
          <w:bCs w:val="0"/>
          <w:color w:val="auto"/>
          <w:sz w:val="32"/>
          <w:szCs w:val="32"/>
          <w:highlight w:val="none"/>
          <w:lang w:val="en-US" w:eastAsia="zh-CN"/>
        </w:rPr>
        <w:t>推介大赛、宣传人才政策、营商环境、产业布局等，</w:t>
      </w:r>
      <w:r>
        <w:rPr>
          <w:rFonts w:ascii="仿宋_GB2312" w:eastAsia="仿宋_GB2312" w:cs="仿宋_GB2312"/>
          <w:b w:val="0"/>
          <w:bCs w:val="0"/>
          <w:color w:val="auto"/>
          <w:sz w:val="32"/>
          <w:szCs w:val="32"/>
          <w:highlight w:val="none"/>
          <w:lang w:eastAsia="zh-CN"/>
        </w:rPr>
        <w:t>彰显了</w:t>
      </w:r>
      <w:r>
        <w:rPr>
          <w:rFonts w:hint="eastAsia" w:ascii="仿宋_GB2312" w:eastAsia="仿宋_GB2312" w:cs="仿宋_GB2312"/>
          <w:b w:val="0"/>
          <w:bCs w:val="0"/>
          <w:color w:val="auto"/>
          <w:sz w:val="32"/>
          <w:szCs w:val="32"/>
          <w:highlight w:val="none"/>
          <w:lang w:val="en-US" w:eastAsia="zh-CN"/>
        </w:rPr>
        <w:t>石家庄“开放、包容、友好”良好形象</w:t>
      </w:r>
      <w:r>
        <w:rPr>
          <w:rFonts w:ascii="仿宋_GB2312" w:eastAsia="仿宋_GB2312" w:cs="仿宋_GB2312"/>
          <w:b w:val="0"/>
          <w:bCs w:val="0"/>
          <w:color w:val="auto"/>
          <w:sz w:val="32"/>
          <w:szCs w:val="32"/>
          <w:highlight w:val="none"/>
          <w:lang w:eastAsia="zh-CN"/>
        </w:rPr>
        <w:t>，</w:t>
      </w:r>
      <w:r>
        <w:rPr>
          <w:rFonts w:hint="eastAsia" w:ascii="仿宋_GB2312" w:eastAsia="仿宋_GB2312" w:cs="仿宋_GB2312"/>
          <w:b w:val="0"/>
          <w:bCs w:val="0"/>
          <w:color w:val="auto"/>
          <w:sz w:val="32"/>
          <w:szCs w:val="32"/>
          <w:highlight w:val="none"/>
          <w:lang w:val="en-US" w:eastAsia="zh-CN"/>
        </w:rPr>
        <w:t>让更多人感受到石家庄的蝶变和强劲的发展势头。大赛共</w:t>
      </w:r>
      <w:r>
        <w:rPr>
          <w:rFonts w:hint="eastAsia" w:ascii="仿宋_GB2312" w:eastAsia="仿宋_GB2312" w:cs="仿宋_GB2312"/>
          <w:kern w:val="0"/>
          <w:sz w:val="32"/>
          <w:szCs w:val="32"/>
          <w:lang w:val="en-US" w:eastAsia="zh-CN"/>
        </w:rPr>
        <w:t>征集项目520个，共240个项目进入初赛，40个项目获奖并进入决赛。</w:t>
      </w:r>
      <w:r>
        <w:rPr>
          <w:rFonts w:hint="eastAsia" w:ascii="仿宋_GB2312" w:eastAsia="仿宋_GB2312" w:cs="仿宋_GB2312"/>
          <w:b w:val="0"/>
          <w:bCs w:val="0"/>
          <w:color w:val="auto"/>
          <w:kern w:val="0"/>
          <w:sz w:val="32"/>
          <w:szCs w:val="32"/>
          <w:highlight w:val="none"/>
          <w:lang w:val="en-US" w:eastAsia="zh-CN" w:bidi="ar-SA"/>
        </w:rPr>
        <w:t>市侨联</w:t>
      </w:r>
      <w:r>
        <w:rPr>
          <w:rFonts w:ascii="仿宋_GB2312" w:eastAsia="仿宋_GB2312" w:cs="仿宋_GB2312"/>
          <w:b w:val="0"/>
          <w:bCs w:val="0"/>
          <w:color w:val="auto"/>
          <w:sz w:val="32"/>
          <w:szCs w:val="32"/>
          <w:highlight w:val="none"/>
          <w:lang w:eastAsia="zh-CN"/>
        </w:rPr>
        <w:t>秉持</w:t>
      </w:r>
      <w:r>
        <w:rPr>
          <w:rFonts w:hint="eastAsia" w:ascii="仿宋_GB2312" w:eastAsia="仿宋_GB2312" w:cs="仿宋_GB2312"/>
          <w:b w:val="0"/>
          <w:bCs w:val="0"/>
          <w:color w:val="auto"/>
          <w:sz w:val="32"/>
          <w:szCs w:val="32"/>
          <w:highlight w:val="none"/>
          <w:lang w:eastAsia="zh-CN"/>
        </w:rPr>
        <w:t>“</w:t>
      </w:r>
      <w:r>
        <w:rPr>
          <w:rFonts w:ascii="仿宋_GB2312" w:eastAsia="仿宋_GB2312" w:cs="仿宋_GB2312"/>
          <w:b w:val="0"/>
          <w:bCs w:val="0"/>
          <w:color w:val="auto"/>
          <w:sz w:val="32"/>
          <w:szCs w:val="32"/>
          <w:highlight w:val="none"/>
          <w:lang w:eastAsia="zh-CN"/>
        </w:rPr>
        <w:t>项目为王</w:t>
      </w:r>
      <w:r>
        <w:rPr>
          <w:rFonts w:hint="eastAsia" w:ascii="仿宋_GB2312" w:eastAsia="仿宋_GB2312" w:cs="仿宋_GB2312"/>
          <w:b w:val="0"/>
          <w:bCs w:val="0"/>
          <w:color w:val="auto"/>
          <w:sz w:val="32"/>
          <w:szCs w:val="32"/>
          <w:highlight w:val="none"/>
          <w:lang w:eastAsia="zh-CN"/>
        </w:rPr>
        <w:t>”</w:t>
      </w:r>
      <w:r>
        <w:rPr>
          <w:rFonts w:ascii="仿宋_GB2312" w:eastAsia="仿宋_GB2312" w:cs="仿宋_GB2312"/>
          <w:b w:val="0"/>
          <w:bCs w:val="0"/>
          <w:color w:val="auto"/>
          <w:sz w:val="32"/>
          <w:szCs w:val="32"/>
          <w:highlight w:val="none"/>
          <w:lang w:eastAsia="zh-CN"/>
        </w:rPr>
        <w:t>的理念，</w:t>
      </w:r>
      <w:r>
        <w:rPr>
          <w:rFonts w:hint="eastAsia" w:ascii="仿宋_GB2312" w:eastAsia="仿宋_GB2312" w:cs="仿宋_GB2312"/>
          <w:b w:val="0"/>
          <w:bCs w:val="0"/>
          <w:color w:val="auto"/>
          <w:sz w:val="32"/>
          <w:szCs w:val="32"/>
          <w:highlight w:val="none"/>
          <w:lang w:eastAsia="zh-CN"/>
        </w:rPr>
        <w:t>边征集、边对接，带着大赛项目走访落地用户，通过扎实细致的工作，</w:t>
      </w:r>
      <w:r>
        <w:rPr>
          <w:rFonts w:hint="eastAsia" w:ascii="仿宋" w:eastAsia="仿宋" w:cs="仿宋"/>
          <w:kern w:val="2"/>
          <w:sz w:val="32"/>
          <w:szCs w:val="32"/>
          <w:lang w:val="en-US" w:eastAsia="zh-CN"/>
        </w:rPr>
        <w:t>共有17个参赛项目明确了签约意向，5个项目实现落地。市侨联把项目培育</w:t>
      </w:r>
      <w:r>
        <w:rPr>
          <w:rFonts w:hint="eastAsia" w:ascii="仿宋_GB2312" w:eastAsia="仿宋_GB2312" w:cs="仿宋_GB2312"/>
          <w:b w:val="0"/>
          <w:bCs w:val="0"/>
          <w:color w:val="auto"/>
          <w:sz w:val="32"/>
          <w:szCs w:val="32"/>
          <w:highlight w:val="none"/>
          <w:lang w:val="en-US" w:eastAsia="zh-CN"/>
        </w:rPr>
        <w:t>作为一项长期工作，9月9日举办了“</w:t>
      </w:r>
      <w:r>
        <w:rPr>
          <w:rFonts w:hint="eastAsia" w:ascii="仿宋_GB2312" w:eastAsia="仿宋_GB2312" w:cs="仿宋_GB2312"/>
          <w:b w:val="0"/>
          <w:bCs w:val="0"/>
          <w:color w:val="auto"/>
          <w:sz w:val="32"/>
          <w:szCs w:val="32"/>
          <w:highlight w:val="none"/>
          <w:lang w:eastAsia="zh-CN"/>
        </w:rPr>
        <w:t>韩国预制菜企业</w:t>
      </w:r>
      <w:r>
        <w:rPr>
          <w:rFonts w:hint="eastAsia" w:ascii="仿宋_GB2312" w:eastAsia="仿宋_GB2312" w:cs="仿宋_GB2312"/>
          <w:b w:val="0"/>
          <w:bCs w:val="0"/>
          <w:color w:val="auto"/>
          <w:sz w:val="32"/>
          <w:szCs w:val="32"/>
          <w:highlight w:val="none"/>
          <w:lang w:val="en-US" w:eastAsia="zh-CN"/>
        </w:rPr>
        <w:t>石家庄行”等系列活动，</w:t>
      </w:r>
      <w:r>
        <w:rPr>
          <w:rFonts w:hint="eastAsia" w:ascii="仿宋_GB2312" w:eastAsia="仿宋_GB2312" w:cs="仿宋_GB2312"/>
          <w:b w:val="0"/>
          <w:bCs w:val="0"/>
          <w:color w:val="auto"/>
          <w:sz w:val="32"/>
          <w:szCs w:val="32"/>
          <w:highlight w:val="none"/>
          <w:lang w:eastAsia="zh-CN"/>
        </w:rPr>
        <w:t>进一步推动</w:t>
      </w:r>
      <w:r>
        <w:rPr>
          <w:rFonts w:hint="eastAsia" w:ascii="仿宋_GB2312" w:eastAsia="仿宋_GB2312" w:cs="仿宋_GB2312"/>
          <w:b w:val="0"/>
          <w:bCs w:val="0"/>
          <w:color w:val="auto"/>
          <w:sz w:val="32"/>
          <w:szCs w:val="32"/>
          <w:highlight w:val="none"/>
          <w:lang w:val="en-US" w:eastAsia="zh-CN"/>
        </w:rPr>
        <w:t>大赛项目</w:t>
      </w:r>
      <w:r>
        <w:rPr>
          <w:rFonts w:hint="eastAsia" w:ascii="仿宋_GB2312" w:eastAsia="仿宋_GB2312" w:cs="仿宋_GB2312"/>
          <w:b w:val="0"/>
          <w:bCs w:val="0"/>
          <w:color w:val="auto"/>
          <w:sz w:val="32"/>
          <w:szCs w:val="32"/>
          <w:highlight w:val="none"/>
          <w:lang w:eastAsia="zh-CN"/>
        </w:rPr>
        <w:t>成果在</w:t>
      </w:r>
      <w:r>
        <w:rPr>
          <w:rFonts w:hint="eastAsia" w:ascii="仿宋_GB2312" w:eastAsia="仿宋_GB2312" w:cs="仿宋_GB2312"/>
          <w:b w:val="0"/>
          <w:bCs w:val="0"/>
          <w:color w:val="auto"/>
          <w:sz w:val="32"/>
          <w:szCs w:val="32"/>
          <w:highlight w:val="none"/>
          <w:lang w:val="en-US" w:eastAsia="zh-CN"/>
        </w:rPr>
        <w:t>省会继续</w:t>
      </w:r>
      <w:r>
        <w:rPr>
          <w:rFonts w:hint="eastAsia" w:ascii="仿宋_GB2312" w:eastAsia="仿宋_GB2312" w:cs="仿宋_GB2312"/>
          <w:b w:val="0"/>
          <w:bCs w:val="0"/>
          <w:color w:val="auto"/>
          <w:sz w:val="32"/>
          <w:szCs w:val="32"/>
          <w:highlight w:val="none"/>
          <w:lang w:eastAsia="zh-CN"/>
        </w:rPr>
        <w:t>转化落地。</w:t>
      </w:r>
      <w:r>
        <w:rPr>
          <w:rFonts w:ascii="仿宋_GB2312" w:eastAsia="仿宋_GB2312" w:cs="仿宋_GB2312"/>
          <w:b w:val="0"/>
          <w:bCs w:val="0"/>
          <w:color w:val="auto"/>
          <w:sz w:val="32"/>
          <w:szCs w:val="32"/>
          <w:highlight w:val="none"/>
          <w:lang w:eastAsia="zh-CN"/>
        </w:rPr>
        <w:t>12月18日在建工商务</w:t>
      </w:r>
      <w:r>
        <w:rPr>
          <w:rFonts w:hint="eastAsia" w:ascii="仿宋_GB2312" w:eastAsia="仿宋_GB2312" w:cs="仿宋_GB2312"/>
          <w:b w:val="0"/>
          <w:bCs w:val="0"/>
          <w:color w:val="auto"/>
          <w:sz w:val="32"/>
          <w:szCs w:val="32"/>
          <w:highlight w:val="none"/>
          <w:lang w:eastAsia="zh-CN"/>
        </w:rPr>
        <w:t>“</w:t>
      </w:r>
      <w:r>
        <w:rPr>
          <w:rFonts w:ascii="仿宋_GB2312" w:eastAsia="仿宋_GB2312" w:cs="仿宋_GB2312"/>
          <w:b w:val="0"/>
          <w:bCs w:val="0"/>
          <w:color w:val="auto"/>
          <w:sz w:val="32"/>
          <w:szCs w:val="32"/>
          <w:highlight w:val="none"/>
          <w:lang w:eastAsia="zh-CN"/>
        </w:rPr>
        <w:t>侨胞之家</w:t>
      </w:r>
      <w:r>
        <w:rPr>
          <w:rFonts w:hint="eastAsia" w:ascii="仿宋_GB2312" w:eastAsia="仿宋_GB2312" w:cs="仿宋_GB2312"/>
          <w:b w:val="0"/>
          <w:bCs w:val="0"/>
          <w:color w:val="auto"/>
          <w:sz w:val="32"/>
          <w:szCs w:val="32"/>
          <w:highlight w:val="none"/>
          <w:lang w:eastAsia="zh-CN"/>
        </w:rPr>
        <w:t>”</w:t>
      </w:r>
      <w:r>
        <w:rPr>
          <w:rFonts w:ascii="仿宋_GB2312" w:eastAsia="仿宋_GB2312" w:cs="仿宋_GB2312"/>
          <w:b w:val="0"/>
          <w:bCs w:val="0"/>
          <w:color w:val="auto"/>
          <w:sz w:val="32"/>
          <w:szCs w:val="32"/>
          <w:highlight w:val="none"/>
          <w:lang w:eastAsia="zh-CN"/>
        </w:rPr>
        <w:t>，举办了大赛总结座谈会，评审专家代表、参赛项目团队代表、协办方负责人分别进行了交流发言，这些宝贵的建议将成为改进工作提升赛事品质的重要依据。</w:t>
      </w:r>
    </w:p>
    <w:p>
      <w:pPr>
        <w:keepNext w:val="0"/>
        <w:keepLines w:val="0"/>
        <w:pageBreakBefore w:val="0"/>
        <w:widowControl w:val="0"/>
        <w:suppressLineNumbers w:val="0"/>
        <w:pBdr>
          <w:top w:val="none" w:color="auto" w:sz="0" w:space="0"/>
          <w:left w:val="none" w:color="auto" w:sz="0" w:space="0"/>
          <w:bottom w:val="single" w:color="FFFFFF" w:sz="4" w:space="31"/>
          <w:right w:val="none" w:color="auto" w:sz="0" w:space="0"/>
        </w:pBdr>
        <w:kinsoku/>
        <w:wordWrap/>
        <w:overflowPunct/>
        <w:topLinePunct w:val="0"/>
        <w:autoSpaceDE/>
        <w:autoSpaceDN/>
        <w:bidi w:val="0"/>
        <w:spacing w:line="600" w:lineRule="exact"/>
        <w:ind w:left="0" w:firstLine="640" w:firstLineChars="200"/>
        <w:textAlignment w:val="auto"/>
        <w:rPr>
          <w:rFonts w:hint="eastAsia" w:ascii="仿宋_GB2312" w:eastAsia="仿宋_GB2312" w:cs="仿宋"/>
          <w:kern w:val="2"/>
          <w:sz w:val="32"/>
          <w:szCs w:val="32"/>
          <w:lang w:val="en-US" w:eastAsia="zh-CN"/>
        </w:rPr>
      </w:pPr>
      <w:r>
        <w:rPr>
          <w:rFonts w:hint="eastAsia" w:ascii="楷体_GB2312" w:eastAsia="楷体_GB2312" w:cs="楷体_GB2312"/>
          <w:kern w:val="2"/>
          <w:sz w:val="32"/>
          <w:szCs w:val="32"/>
          <w:shd w:val="clear" w:color="auto" w:fill="FFFFFF"/>
          <w:lang w:val="en-US" w:eastAsia="zh-CN"/>
        </w:rPr>
        <w:t>3.牵线搭桥，助力县域经济发展。</w:t>
      </w:r>
      <w:r>
        <w:rPr>
          <w:rFonts w:hint="eastAsia" w:ascii="仿宋_GB2312" w:eastAsia="仿宋_GB2312" w:cs="仿宋"/>
          <w:kern w:val="2"/>
          <w:sz w:val="32"/>
          <w:szCs w:val="32"/>
          <w:lang w:val="en-US" w:eastAsia="zh-CN"/>
        </w:rPr>
        <w:t>开展“汇聚侨界力量，助力省会发展”海内外侨胞高邑行活动，来自澳大利亚、加拿大、新西兰等国家10余名侨商</w:t>
      </w:r>
      <w:r>
        <w:rPr>
          <w:rFonts w:ascii="仿宋_GB2312" w:eastAsia="仿宋_GB2312" w:cs="仿宋"/>
          <w:kern w:val="2"/>
          <w:sz w:val="32"/>
          <w:szCs w:val="32"/>
          <w:lang w:val="en-US" w:eastAsia="zh-CN"/>
        </w:rPr>
        <w:t>参加活动并</w:t>
      </w:r>
      <w:r>
        <w:rPr>
          <w:rFonts w:hint="eastAsia" w:ascii="仿宋_GB2312" w:eastAsia="仿宋_GB2312" w:cs="仿宋"/>
          <w:kern w:val="2"/>
          <w:sz w:val="32"/>
          <w:szCs w:val="32"/>
          <w:lang w:val="en-US" w:eastAsia="zh-CN"/>
        </w:rPr>
        <w:t>到石家庄国际陆港考察。在裕华区组织召开新侨侨企创新创业对接会，在藁城区组织侨界企业家发展座谈会，</w:t>
      </w:r>
      <w:r>
        <w:rPr>
          <w:rFonts w:ascii="仿宋_GB2312" w:eastAsia="仿宋_GB2312" w:cs="仿宋"/>
          <w:kern w:val="2"/>
          <w:sz w:val="32"/>
          <w:szCs w:val="32"/>
          <w:lang w:val="en-US" w:eastAsia="zh-CN"/>
        </w:rPr>
        <w:t>在栾城区举行了</w:t>
      </w:r>
      <w:r>
        <w:rPr>
          <w:rFonts w:hint="eastAsia" w:ascii="仿宋_GB2312" w:eastAsia="仿宋_GB2312" w:cs="仿宋"/>
          <w:kern w:val="2"/>
          <w:sz w:val="32"/>
          <w:szCs w:val="32"/>
          <w:lang w:val="en-US" w:eastAsia="zh-CN"/>
        </w:rPr>
        <w:t>“</w:t>
      </w:r>
      <w:r>
        <w:rPr>
          <w:rFonts w:ascii="仿宋_GB2312" w:eastAsia="仿宋_GB2312" w:cs="仿宋"/>
          <w:kern w:val="2"/>
          <w:sz w:val="32"/>
          <w:szCs w:val="32"/>
          <w:lang w:val="en-US" w:eastAsia="zh-CN"/>
        </w:rPr>
        <w:t>走访侨企话发展</w:t>
      </w:r>
      <w:r>
        <w:rPr>
          <w:rFonts w:hint="eastAsia" w:ascii="仿宋_GB2312" w:eastAsia="仿宋_GB2312" w:cs="仿宋"/>
          <w:kern w:val="2"/>
          <w:sz w:val="32"/>
          <w:szCs w:val="32"/>
          <w:lang w:val="en-US" w:eastAsia="zh-CN"/>
        </w:rPr>
        <w:t>”</w:t>
      </w:r>
      <w:r>
        <w:rPr>
          <w:rFonts w:ascii="仿宋_GB2312" w:eastAsia="仿宋_GB2312" w:cs="仿宋"/>
          <w:kern w:val="2"/>
          <w:sz w:val="32"/>
          <w:szCs w:val="32"/>
          <w:lang w:val="en-US" w:eastAsia="zh-CN"/>
        </w:rPr>
        <w:t>活动</w:t>
      </w:r>
      <w:r>
        <w:rPr>
          <w:rFonts w:hint="eastAsia" w:ascii="仿宋_GB2312" w:eastAsia="仿宋_GB2312" w:cs="仿宋"/>
          <w:kern w:val="2"/>
          <w:sz w:val="32"/>
          <w:szCs w:val="32"/>
          <w:lang w:val="en-US" w:eastAsia="zh-CN"/>
        </w:rPr>
        <w:t>。先后邀请海内外侨商60余人次，参加“2024中国（晋州）纺织服装博览会暨全国纺织服装供应链协同发展高峰论坛”、“2024河北-晋州第二届毛巾展销会”，为侨界创新创业和侨企发展提供沟通平台</w:t>
      </w:r>
      <w:r>
        <w:rPr>
          <w:rFonts w:ascii="仿宋_GB2312" w:eastAsia="仿宋_GB2312" w:cs="仿宋"/>
          <w:kern w:val="2"/>
          <w:sz w:val="32"/>
          <w:szCs w:val="32"/>
          <w:lang w:val="en-US" w:eastAsia="zh-CN"/>
        </w:rPr>
        <w:t>，</w:t>
      </w:r>
      <w:r>
        <w:rPr>
          <w:rFonts w:hint="eastAsia" w:ascii="仿宋_GB2312" w:eastAsia="仿宋_GB2312" w:cs="仿宋"/>
          <w:kern w:val="2"/>
          <w:sz w:val="32"/>
          <w:szCs w:val="32"/>
          <w:lang w:val="en-US" w:eastAsia="zh-CN"/>
        </w:rPr>
        <w:t>进一步助力县域经济发展。</w:t>
      </w:r>
    </w:p>
    <w:p>
      <w:pPr>
        <w:keepNext w:val="0"/>
        <w:keepLines w:val="0"/>
        <w:pageBreakBefore w:val="0"/>
        <w:widowControl w:val="0"/>
        <w:suppressLineNumbers w:val="0"/>
        <w:pBdr>
          <w:top w:val="none" w:color="auto" w:sz="0" w:space="0"/>
          <w:left w:val="none" w:color="auto" w:sz="0" w:space="0"/>
          <w:bottom w:val="single" w:color="FFFFFF" w:sz="4" w:space="31"/>
          <w:right w:val="none" w:color="auto" w:sz="0" w:space="0"/>
        </w:pBdr>
        <w:kinsoku/>
        <w:wordWrap/>
        <w:overflowPunct/>
        <w:topLinePunct w:val="0"/>
        <w:autoSpaceDE/>
        <w:autoSpaceDN/>
        <w:bidi w:val="0"/>
        <w:spacing w:line="600" w:lineRule="exact"/>
        <w:ind w:left="0" w:firstLine="640" w:firstLineChars="200"/>
        <w:textAlignment w:val="auto"/>
        <w:rPr>
          <w:rFonts w:hint="eastAsia" w:ascii="仿宋" w:hAnsi="仿宋" w:eastAsia="仿宋" w:cs="仿宋"/>
          <w:color w:val="FF0000"/>
          <w:kern w:val="2"/>
          <w:sz w:val="32"/>
          <w:szCs w:val="32"/>
        </w:rPr>
      </w:pPr>
      <w:r>
        <w:rPr>
          <w:rFonts w:hint="eastAsia" w:ascii="楷体_GB2312" w:eastAsia="楷体_GB2312" w:cs="楷体_GB2312"/>
          <w:kern w:val="2"/>
          <w:sz w:val="32"/>
          <w:szCs w:val="32"/>
          <w:shd w:val="clear" w:color="auto" w:fill="FFFFFF"/>
          <w:lang w:val="en-US" w:eastAsia="zh-CN"/>
        </w:rPr>
        <w:t>4.</w:t>
      </w:r>
      <w:r>
        <w:rPr>
          <w:rFonts w:hint="eastAsia" w:ascii="楷体_GB2312" w:eastAsia="楷体_GB2312" w:cs="楷体_GB2312"/>
          <w:kern w:val="2"/>
          <w:sz w:val="32"/>
          <w:szCs w:val="32"/>
          <w:lang w:val="en-US" w:eastAsia="zh-CN"/>
        </w:rPr>
        <w:t>积极贯彻落实省会“人才强市”、“科技强市”战略。</w:t>
      </w:r>
      <w:r>
        <w:rPr>
          <w:rFonts w:ascii="仿宋_GB2312" w:eastAsia="仿宋_GB2312" w:cs="仿宋_GB2312"/>
          <w:kern w:val="2"/>
          <w:sz w:val="32"/>
          <w:szCs w:val="32"/>
          <w:lang w:val="en-US" w:eastAsia="zh-CN"/>
        </w:rPr>
        <w:t>借助大赛和各项活动</w:t>
      </w:r>
      <w:r>
        <w:rPr>
          <w:rFonts w:hint="eastAsia" w:ascii="仿宋_GB2312" w:eastAsia="仿宋_GB2312" w:cs="仿宋_GB2312"/>
          <w:kern w:val="2"/>
          <w:sz w:val="32"/>
          <w:szCs w:val="32"/>
          <w:lang w:val="en-US" w:eastAsia="zh-CN"/>
        </w:rPr>
        <w:t>宣传石家庄15条人才新政，</w:t>
      </w:r>
      <w:r>
        <w:rPr>
          <w:rFonts w:ascii="仿宋_GB2312" w:eastAsia="仿宋_GB2312" w:cs="仿宋_GB2312"/>
          <w:kern w:val="2"/>
          <w:sz w:val="32"/>
          <w:szCs w:val="32"/>
          <w:lang w:val="en-US" w:eastAsia="zh-CN"/>
        </w:rPr>
        <w:t>落实领导干部联系服务专家制度，让侨界人才真正感受到党和政府的温暖和关</w:t>
      </w:r>
      <w:r>
        <w:rPr>
          <w:rFonts w:hint="eastAsia" w:ascii="仿宋_GB2312" w:eastAsia="仿宋_GB2312" w:cs="仿宋_GB2312"/>
          <w:kern w:val="2"/>
          <w:sz w:val="32"/>
          <w:szCs w:val="32"/>
          <w:lang w:val="en-US" w:eastAsia="zh-CN"/>
        </w:rPr>
        <w:t>怀。发挥侨联的桥梁纽带作用，为各方提供发展合作平台和渠道，组织开展“校企侨”合作签约会，与河北科技大学侨联签订合作框架协议。涵养侨务资源，推荐第十届“中国侨界贡献奖”候选人2名。</w:t>
      </w:r>
      <w:r>
        <w:rPr>
          <w:rFonts w:hint="eastAsia" w:ascii="仿宋_GB2312" w:eastAsia="仿宋_GB2312" w:cs="仿宋"/>
          <w:kern w:val="2"/>
          <w:sz w:val="32"/>
          <w:szCs w:val="32"/>
          <w:lang w:val="en-US" w:eastAsia="zh-CN"/>
        </w:rPr>
        <w:t>密切与市市场监管局联系，动态了解我市企业对外籍专家的需求情况，向河北省国际贸促会、澳大利亚冀商联合会、中法信息科学与工程协会、欧中高科技创新人才交流中心等社团推送我市企业需求情况。</w:t>
      </w:r>
      <w:r>
        <w:rPr>
          <w:rFonts w:hint="eastAsia" w:ascii="仿宋" w:hAnsi="仿宋" w:eastAsia="仿宋" w:cs="仿宋"/>
          <w:color w:val="FF0000"/>
          <w:kern w:val="2"/>
          <w:sz w:val="32"/>
          <w:szCs w:val="32"/>
        </w:rPr>
        <w:t xml:space="preserve"> </w:t>
      </w:r>
    </w:p>
    <w:p>
      <w:pPr>
        <w:keepNext w:val="0"/>
        <w:keepLines w:val="0"/>
        <w:pageBreakBefore w:val="0"/>
        <w:widowControl w:val="0"/>
        <w:suppressLineNumbers w:val="0"/>
        <w:pBdr>
          <w:top w:val="none" w:color="auto" w:sz="0" w:space="0"/>
          <w:left w:val="none" w:color="auto" w:sz="0" w:space="0"/>
          <w:bottom w:val="single" w:color="FFFFFF" w:sz="4" w:space="31"/>
          <w:right w:val="none" w:color="auto" w:sz="0" w:space="0"/>
        </w:pBdr>
        <w:kinsoku/>
        <w:wordWrap/>
        <w:overflowPunct/>
        <w:topLinePunct w:val="0"/>
        <w:autoSpaceDE/>
        <w:autoSpaceDN/>
        <w:bidi w:val="0"/>
        <w:spacing w:line="600" w:lineRule="exact"/>
        <w:ind w:left="0" w:firstLine="640" w:firstLineChars="200"/>
        <w:textAlignment w:val="auto"/>
        <w:rPr>
          <w:rFonts w:hint="eastAsia" w:ascii="仿宋" w:hAnsi="仿宋" w:eastAsia="仿宋" w:cs="仿宋"/>
          <w:kern w:val="2"/>
          <w:sz w:val="32"/>
          <w:szCs w:val="32"/>
        </w:rPr>
      </w:pPr>
      <w:r>
        <w:rPr>
          <w:rFonts w:hint="eastAsia" w:ascii="楷体_GB2312" w:eastAsia="楷体_GB2312" w:cs="楷体_GB2312"/>
          <w:kern w:val="2"/>
          <w:sz w:val="32"/>
          <w:szCs w:val="32"/>
          <w:lang w:val="en-US" w:eastAsia="zh-CN"/>
        </w:rPr>
        <w:t>5.开展提质培优行动。</w:t>
      </w:r>
      <w:r>
        <w:rPr>
          <w:rFonts w:ascii="仿宋_GB2312" w:eastAsia="仿宋_GB2312" w:cs="仿宋"/>
          <w:kern w:val="2"/>
          <w:sz w:val="32"/>
          <w:szCs w:val="32"/>
          <w:shd w:val="clear" w:color="auto" w:fill="FFFFFF"/>
          <w:lang w:val="en-US" w:eastAsia="zh-CN"/>
        </w:rPr>
        <w:t>为</w:t>
      </w:r>
      <w:r>
        <w:rPr>
          <w:rFonts w:hint="eastAsia" w:ascii="仿宋_GB2312" w:eastAsia="仿宋_GB2312" w:cs="仿宋"/>
          <w:kern w:val="2"/>
          <w:sz w:val="32"/>
          <w:szCs w:val="32"/>
          <w:shd w:val="clear" w:color="auto" w:fill="FFFFFF"/>
          <w:lang w:val="en-US" w:eastAsia="zh-CN"/>
        </w:rPr>
        <w:t>加强基层组织和侨胞之家建设，在全市县（市、区）侨联组织全覆盖的基础上，制定</w:t>
      </w:r>
      <w:r>
        <w:rPr>
          <w:rFonts w:hint="eastAsia" w:ascii="仿宋_GB2312" w:eastAsia="仿宋_GB2312" w:cs="仿宋_GB2312"/>
          <w:kern w:val="2"/>
          <w:sz w:val="32"/>
          <w:szCs w:val="32"/>
          <w:lang w:val="en-US" w:eastAsia="zh-CN"/>
        </w:rPr>
        <w:t>《2024年度基层侨联组织提质培优行动方案》。11月20日至21日，组织县(市、区）委统战部分管侨务工作领导、基层侨联组织、“侨胞之家”负责人召开全市基层侨联提质培优工作经验交流会，通过经验交流、专家授课等形式对基层开展侨务工作进行培训，并对基层侨联工作和“侨胞之家”建设进行总结和再安排再部署，提升了基层侨联组织开展工作的能力。</w:t>
      </w:r>
      <w:r>
        <w:rPr>
          <w:rFonts w:hint="eastAsia" w:ascii="仿宋" w:hAnsi="仿宋" w:eastAsia="仿宋" w:cs="仿宋"/>
          <w:kern w:val="2"/>
          <w:sz w:val="32"/>
          <w:szCs w:val="32"/>
        </w:rPr>
        <w:t xml:space="preserve">  </w:t>
      </w:r>
    </w:p>
    <w:p>
      <w:pPr>
        <w:keepNext w:val="0"/>
        <w:keepLines w:val="0"/>
        <w:pageBreakBefore w:val="0"/>
        <w:widowControl w:val="0"/>
        <w:suppressLineNumbers w:val="0"/>
        <w:pBdr>
          <w:top w:val="none" w:color="auto" w:sz="0" w:space="0"/>
          <w:left w:val="none" w:color="auto" w:sz="0" w:space="0"/>
          <w:bottom w:val="single" w:color="FFFFFF" w:sz="4" w:space="31"/>
          <w:right w:val="none" w:color="auto" w:sz="0" w:space="0"/>
        </w:pBdr>
        <w:kinsoku/>
        <w:wordWrap/>
        <w:overflowPunct/>
        <w:topLinePunct w:val="0"/>
        <w:autoSpaceDE/>
        <w:autoSpaceDN/>
        <w:bidi w:val="0"/>
        <w:spacing w:line="600" w:lineRule="exact"/>
        <w:ind w:left="0" w:firstLine="640" w:firstLineChars="200"/>
        <w:textAlignment w:val="auto"/>
        <w:rPr>
          <w:rFonts w:hint="eastAsia"/>
        </w:rPr>
      </w:pPr>
      <w:r>
        <w:rPr>
          <w:rFonts w:hint="eastAsia" w:ascii="楷体_GB2312" w:eastAsia="楷体_GB2312" w:cs="楷体_GB2312"/>
          <w:kern w:val="2"/>
          <w:sz w:val="32"/>
          <w:szCs w:val="32"/>
          <w:lang w:val="en-US" w:eastAsia="zh-CN"/>
        </w:rPr>
        <w:t>6.拓展联络，不断扩大“朋友圈”。</w:t>
      </w:r>
      <w:r>
        <w:rPr>
          <w:rFonts w:hint="eastAsia" w:ascii="仿宋_GB2312" w:eastAsia="仿宋_GB2312" w:cs="仿宋"/>
          <w:kern w:val="2"/>
          <w:sz w:val="32"/>
          <w:szCs w:val="32"/>
          <w:lang w:val="en-US" w:eastAsia="zh-CN"/>
        </w:rPr>
        <w:t>先后接待中国侨联文化交流部和联谊联络部、省侨联侨界专家委员会、泰国浙江商会、新西兰河北总商会、英国河北商会、埃及华人商会、日本河北同乡会、菲律宾河北同乡会等海内外侨社团来石考察</w:t>
      </w:r>
      <w:r>
        <w:rPr>
          <w:rFonts w:ascii="仿宋_GB2312" w:eastAsia="仿宋_GB2312" w:cs="仿宋"/>
          <w:kern w:val="2"/>
          <w:sz w:val="32"/>
          <w:szCs w:val="32"/>
          <w:lang w:val="en-US" w:eastAsia="zh-CN"/>
        </w:rPr>
        <w:t>；</w:t>
      </w:r>
      <w:r>
        <w:rPr>
          <w:rFonts w:hint="eastAsia" w:ascii="仿宋_GB2312" w:eastAsia="仿宋_GB2312" w:cs="黑体"/>
          <w:bCs/>
          <w:kern w:val="2"/>
          <w:sz w:val="32"/>
          <w:szCs w:val="32"/>
          <w:lang w:val="en-US" w:eastAsia="zh-CN"/>
        </w:rPr>
        <w:t>协调组织参加“侨联五洲-相约河北”活动的欧洲13个国家的16名华人旅行社负责人赴正定考察</w:t>
      </w:r>
      <w:r>
        <w:rPr>
          <w:rFonts w:ascii="仿宋_GB2312" w:eastAsia="仿宋_GB2312" w:cs="黑体"/>
          <w:bCs/>
          <w:kern w:val="2"/>
          <w:sz w:val="32"/>
          <w:szCs w:val="32"/>
          <w:lang w:val="en-US" w:eastAsia="zh-CN"/>
        </w:rPr>
        <w:t>，</w:t>
      </w:r>
      <w:r>
        <w:rPr>
          <w:rFonts w:hint="eastAsia" w:ascii="仿宋_GB2312" w:eastAsia="仿宋_GB2312" w:cs="CESI仿宋-GB2312"/>
          <w:kern w:val="2"/>
          <w:sz w:val="32"/>
          <w:szCs w:val="32"/>
          <w:lang w:val="en-US" w:eastAsia="zh-CN"/>
        </w:rPr>
        <w:t>不断巩固和拓展石家庄市海内外朋友圈，</w:t>
      </w:r>
      <w:r>
        <w:rPr>
          <w:rFonts w:hint="eastAsia" w:ascii="仿宋_GB2312" w:eastAsia="仿宋_GB2312" w:cs="仿宋_GB2312"/>
          <w:kern w:val="2"/>
          <w:sz w:val="32"/>
          <w:szCs w:val="32"/>
          <w:lang w:val="en-US" w:eastAsia="zh-CN"/>
        </w:rPr>
        <w:t>让海内外侨胞感受“石家庄速度”和“石家庄温度”。</w:t>
      </w:r>
    </w:p>
    <w:p>
      <w:pPr>
        <w:keepNext w:val="0"/>
        <w:keepLines w:val="0"/>
        <w:pageBreakBefore w:val="0"/>
        <w:widowControl w:val="0"/>
        <w:numPr>
          <w:ilvl w:val="0"/>
          <w:numId w:val="3"/>
        </w:numPr>
        <w:pBdr>
          <w:bottom w:val="single" w:color="FFFFFF" w:sz="4" w:space="31"/>
        </w:pBdr>
        <w:kinsoku/>
        <w:wordWrap/>
        <w:overflowPunct/>
        <w:topLinePunct w:val="0"/>
        <w:autoSpaceDE/>
        <w:autoSpaceDN/>
        <w:bidi w:val="0"/>
        <w:adjustRightInd w:val="0"/>
        <w:snapToGrid w:val="0"/>
        <w:spacing w:line="540" w:lineRule="exact"/>
        <w:ind w:left="0" w:leftChars="0" w:right="0" w:rightChars="0" w:firstLine="640" w:firstLineChars="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评价结论和评价等级</w:t>
      </w:r>
      <w:bookmarkStart w:id="0" w:name="_GoBack"/>
      <w:bookmarkEnd w:id="0"/>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根据部门职责定位和各项工作履职情况进行综合评价，给出总得分</w:t>
      </w:r>
      <w:r>
        <w:rPr>
          <w:rFonts w:hint="eastAsia" w:ascii="仿宋" w:hAnsi="仿宋" w:eastAsia="仿宋" w:cs="仿宋"/>
          <w:color w:val="auto"/>
          <w:sz w:val="32"/>
          <w:szCs w:val="32"/>
          <w:lang w:val="en-US" w:eastAsia="zh-CN"/>
        </w:rPr>
        <w:t>90</w:t>
      </w:r>
      <w:r>
        <w:rPr>
          <w:rFonts w:hint="eastAsia" w:ascii="仿宋" w:hAnsi="仿宋" w:eastAsia="仿宋" w:cs="仿宋"/>
          <w:color w:val="auto"/>
          <w:sz w:val="32"/>
          <w:szCs w:val="32"/>
        </w:rPr>
        <w:t>分，综合绩效评价等级为优秀。</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ascii="黑体" w:hAnsi="黑体" w:eastAsia="黑体" w:cs="黑体"/>
          <w:sz w:val="32"/>
          <w:szCs w:val="32"/>
        </w:rPr>
      </w:pPr>
      <w:r>
        <w:rPr>
          <w:rFonts w:hint="eastAsia" w:ascii="黑体" w:hAnsi="黑体" w:eastAsia="黑体" w:cs="黑体"/>
          <w:sz w:val="32"/>
          <w:szCs w:val="32"/>
        </w:rPr>
        <w:t>五、存在问题及改进措施</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2"/>
          <w:sz w:val="32"/>
          <w:szCs w:val="32"/>
        </w:rPr>
      </w:pPr>
      <w:r>
        <w:rPr>
          <w:rFonts w:hint="eastAsia" w:ascii="仿宋" w:hAnsi="仿宋" w:eastAsia="仿宋" w:cs="仿宋"/>
          <w:kern w:val="2"/>
          <w:sz w:val="32"/>
          <w:szCs w:val="32"/>
        </w:rPr>
        <w:t>一是提高认识。我单位部分人员对绩效管理认识不足，下一步将加大绩效管理宣传力度，使单位内部各部门都能参与进来，提高大家对绩效自评的认识。</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2"/>
          <w:sz w:val="32"/>
          <w:szCs w:val="32"/>
        </w:rPr>
      </w:pPr>
      <w:r>
        <w:rPr>
          <w:rFonts w:hint="eastAsia" w:ascii="仿宋" w:hAnsi="仿宋" w:eastAsia="仿宋" w:cs="仿宋"/>
          <w:kern w:val="2"/>
          <w:sz w:val="32"/>
          <w:szCs w:val="32"/>
        </w:rPr>
        <w:t>二是科学设置绩效指标。克服运用一些共性指标，针对不同项目设置个性化、实效化指标，使绩效管理更加合理化。</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2"/>
          <w:sz w:val="32"/>
          <w:szCs w:val="32"/>
          <w:lang w:eastAsia="zh-CN"/>
        </w:rPr>
      </w:pPr>
      <w:r>
        <w:rPr>
          <w:rFonts w:hint="eastAsia" w:ascii="仿宋" w:hAnsi="仿宋" w:eastAsia="仿宋" w:cs="仿宋"/>
          <w:kern w:val="2"/>
          <w:sz w:val="32"/>
          <w:szCs w:val="32"/>
          <w:lang w:eastAsia="zh-CN"/>
        </w:rPr>
        <w:t>三是充分运用绩效评价结果。通过自评，认真梳理全年工作，合理安排资金及完成时限，使预算更加趋于合理。</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snapToGrid/>
        <w:spacing w:line="560" w:lineRule="exact"/>
        <w:ind w:firstLine="640" w:firstLineChars="200"/>
        <w:textAlignment w:val="auto"/>
        <w:rPr>
          <w:rFonts w:ascii="仿宋" w:hAnsi="仿宋" w:eastAsia="仿宋" w:cs="仿宋"/>
          <w:kern w:val="2"/>
          <w:sz w:val="32"/>
          <w:szCs w:val="32"/>
        </w:rPr>
      </w:pPr>
      <w:r>
        <w:rPr>
          <w:rFonts w:hint="eastAsia" w:ascii="仿宋" w:hAnsi="仿宋" w:eastAsia="仿宋" w:cs="仿宋"/>
          <w:kern w:val="2"/>
          <w:sz w:val="32"/>
          <w:szCs w:val="32"/>
          <w:lang w:eastAsia="zh-CN"/>
        </w:rPr>
        <w:t>四是通过绩效评价，促进工作计划、预算编制的制度化，科学化建设，促进实现绩效目标的积极性。</w:t>
      </w:r>
    </w:p>
    <w:p>
      <w:pPr>
        <w:keepNext w:val="0"/>
        <w:keepLines w:val="0"/>
        <w:pageBreakBefore w:val="0"/>
        <w:widowControl w:val="0"/>
        <w:numPr>
          <w:ilvl w:val="0"/>
          <w:numId w:val="4"/>
        </w:numPr>
        <w:pBdr>
          <w:bottom w:val="single" w:color="FFFFFF" w:sz="4" w:space="31"/>
        </w:pBdr>
        <w:kinsoku/>
        <w:wordWrap/>
        <w:overflowPunct/>
        <w:topLinePunct w:val="0"/>
        <w:autoSpaceDE/>
        <w:autoSpaceDN/>
        <w:bidi w:val="0"/>
        <w:adjustRightInd/>
        <w:snapToGrid/>
        <w:spacing w:line="560" w:lineRule="exact"/>
        <w:ind w:firstLine="640" w:firstLineChars="200"/>
        <w:textAlignment w:val="auto"/>
        <w:rPr>
          <w:rFonts w:hint="eastAsia" w:ascii="黑体" w:eastAsia="黑体"/>
          <w:b w:val="0"/>
          <w:bCs w:val="0"/>
          <w:sz w:val="32"/>
          <w:szCs w:val="32"/>
        </w:rPr>
      </w:pPr>
      <w:r>
        <w:rPr>
          <w:rFonts w:hint="eastAsia" w:ascii="黑体" w:eastAsia="黑体"/>
          <w:b w:val="0"/>
          <w:bCs w:val="0"/>
          <w:sz w:val="32"/>
          <w:szCs w:val="32"/>
        </w:rPr>
        <w:t>评价工作组人员名单</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u w:val="none"/>
          <w:lang w:val="en-US" w:eastAsia="zh-CN"/>
        </w:rPr>
      </w:pPr>
      <w:r>
        <w:rPr>
          <w:rFonts w:hint="eastAsia" w:ascii="仿宋" w:hAnsi="仿宋" w:eastAsia="仿宋" w:cs="仿宋"/>
          <w:sz w:val="32"/>
          <w:szCs w:val="32"/>
          <w:lang w:val="en-US" w:eastAsia="zh-CN"/>
        </w:rPr>
        <w:t>组  长：</w:t>
      </w:r>
      <w:r>
        <w:rPr>
          <w:rFonts w:hint="eastAsia" w:ascii="仿宋" w:hAnsi="仿宋" w:eastAsia="仿宋" w:cs="仿宋"/>
          <w:sz w:val="32"/>
          <w:szCs w:val="32"/>
          <w:u w:val="none"/>
          <w:lang w:val="en-US" w:eastAsia="zh-CN"/>
        </w:rPr>
        <w:t>相志朋    二级调研员</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副组长：张增会</w:t>
      </w:r>
      <w:r>
        <w:rPr>
          <w:rFonts w:hint="eastAsia" w:ascii="仿宋" w:hAnsi="仿宋" w:eastAsia="仿宋" w:cs="仿宋"/>
          <w:sz w:val="32"/>
          <w:szCs w:val="32"/>
          <w:u w:val="none"/>
          <w:lang w:val="en-US" w:eastAsia="zh-CN"/>
        </w:rPr>
        <w:t xml:space="preserve">    办公室主任</w:t>
      </w:r>
      <w:r>
        <w:rPr>
          <w:rFonts w:hint="eastAsia" w:ascii="仿宋" w:hAnsi="仿宋" w:eastAsia="仿宋" w:cs="仿宋"/>
          <w:sz w:val="32"/>
          <w:szCs w:val="32"/>
          <w:lang w:val="en-US" w:eastAsia="zh-CN"/>
        </w:rPr>
        <w:t xml:space="preserve">      </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snapToGrid/>
        <w:spacing w:line="560" w:lineRule="exact"/>
        <w:ind w:firstLine="640" w:firstLineChars="200"/>
        <w:textAlignment w:val="auto"/>
        <w:rPr>
          <w:rFonts w:ascii="仿宋" w:hAnsi="仿宋" w:eastAsia="仿宋" w:cs="仿宋"/>
          <w:kern w:val="2"/>
          <w:sz w:val="32"/>
          <w:szCs w:val="32"/>
        </w:rPr>
      </w:pPr>
      <w:r>
        <w:rPr>
          <w:rFonts w:hint="eastAsia" w:ascii="仿宋" w:hAnsi="仿宋" w:eastAsia="仿宋" w:cs="仿宋"/>
          <w:sz w:val="32"/>
          <w:szCs w:val="32"/>
          <w:lang w:val="en-US" w:eastAsia="zh-CN"/>
        </w:rPr>
        <w:t>组  员：夏龙飞    三级主任科员</w:t>
      </w:r>
      <w:r>
        <w:rPr>
          <w:rFonts w:hint="eastAsia" w:ascii="仿宋" w:hAnsi="仿宋" w:eastAsia="仿宋" w:cs="仿宋"/>
          <w:kern w:val="2"/>
          <w:sz w:val="32"/>
          <w:szCs w:val="32"/>
        </w:rPr>
        <w:t xml:space="preserve"> </w:t>
      </w:r>
    </w:p>
    <w:p>
      <w:pPr>
        <w:snapToGrid w:val="0"/>
        <w:spacing w:line="360" w:lineRule="auto"/>
        <w:ind w:firstLine="640" w:firstLineChars="200"/>
        <w:rPr>
          <w:rFonts w:ascii="楷体" w:hAnsi="楷体" w:eastAsia="楷体" w:cs="楷体"/>
          <w:sz w:val="32"/>
          <w:szCs w:val="32"/>
        </w:rPr>
      </w:pPr>
    </w:p>
    <w:p>
      <w:pPr>
        <w:pStyle w:val="14"/>
        <w:shd w:val="clear" w:color="auto" w:fill="FFFFFF"/>
        <w:spacing w:before="0" w:beforeAutospacing="0" w:after="0" w:afterAutospacing="0"/>
        <w:ind w:firstLine="5241" w:firstLineChars="1638"/>
        <w:jc w:val="both"/>
        <w:rPr>
          <w:rFonts w:ascii="仿宋" w:hAnsi="仿宋" w:eastAsia="仿宋" w:cs="仿宋"/>
          <w:kern w:val="2"/>
          <w:sz w:val="32"/>
          <w:szCs w:val="32"/>
        </w:rPr>
      </w:pPr>
      <w:r>
        <w:rPr>
          <w:rFonts w:hint="eastAsia" w:ascii="仿宋" w:hAnsi="仿宋" w:eastAsia="仿宋" w:cs="仿宋"/>
          <w:kern w:val="2"/>
          <w:sz w:val="32"/>
          <w:szCs w:val="32"/>
        </w:rPr>
        <w:t>石家庄市</w:t>
      </w:r>
      <w:r>
        <w:rPr>
          <w:rFonts w:hint="eastAsia" w:ascii="仿宋" w:hAnsi="仿宋" w:eastAsia="仿宋" w:cs="仿宋"/>
          <w:kern w:val="2"/>
          <w:sz w:val="32"/>
          <w:szCs w:val="32"/>
          <w:lang w:eastAsia="zh-CN"/>
        </w:rPr>
        <w:t>归国华侨联合会</w:t>
      </w:r>
    </w:p>
    <w:p>
      <w:pPr>
        <w:pStyle w:val="14"/>
        <w:shd w:val="clear" w:color="auto" w:fill="FFFFFF"/>
        <w:spacing w:before="0" w:beforeAutospacing="0" w:after="0" w:afterAutospacing="0"/>
        <w:ind w:firstLine="5878" w:firstLineChars="1837"/>
        <w:jc w:val="both"/>
        <w:rPr>
          <w:rFonts w:ascii="仿宋" w:hAnsi="仿宋" w:eastAsia="仿宋" w:cs="仿宋"/>
          <w:kern w:val="2"/>
          <w:sz w:val="32"/>
          <w:szCs w:val="32"/>
        </w:rPr>
      </w:pPr>
      <w:r>
        <w:rPr>
          <w:rFonts w:hint="eastAsia" w:ascii="仿宋" w:hAnsi="仿宋" w:eastAsia="仿宋" w:cs="仿宋"/>
          <w:kern w:val="2"/>
          <w:sz w:val="32"/>
          <w:szCs w:val="32"/>
        </w:rPr>
        <w:t>20</w:t>
      </w:r>
      <w:r>
        <w:rPr>
          <w:rFonts w:hint="eastAsia" w:ascii="仿宋" w:hAnsi="仿宋" w:eastAsia="仿宋" w:cs="仿宋"/>
          <w:kern w:val="2"/>
          <w:sz w:val="32"/>
          <w:szCs w:val="32"/>
          <w:lang w:val="en-US" w:eastAsia="zh-CN"/>
        </w:rPr>
        <w:t>25</w:t>
      </w:r>
      <w:r>
        <w:rPr>
          <w:rFonts w:hint="eastAsia" w:ascii="仿宋" w:hAnsi="仿宋" w:eastAsia="仿宋" w:cs="仿宋"/>
          <w:kern w:val="2"/>
          <w:sz w:val="32"/>
          <w:szCs w:val="32"/>
        </w:rPr>
        <w:t>年</w:t>
      </w:r>
      <w:r>
        <w:rPr>
          <w:rFonts w:hint="eastAsia" w:ascii="仿宋" w:hAnsi="仿宋" w:eastAsia="仿宋" w:cs="仿宋"/>
          <w:kern w:val="2"/>
          <w:sz w:val="32"/>
          <w:szCs w:val="32"/>
          <w:lang w:val="en-US" w:eastAsia="zh-CN"/>
        </w:rPr>
        <w:t>3</w:t>
      </w:r>
      <w:r>
        <w:rPr>
          <w:rFonts w:hint="eastAsia" w:ascii="仿宋" w:hAnsi="仿宋" w:eastAsia="仿宋" w:cs="仿宋"/>
          <w:kern w:val="2"/>
          <w:sz w:val="32"/>
          <w:szCs w:val="32"/>
        </w:rPr>
        <w:t>月</w:t>
      </w:r>
      <w:r>
        <w:rPr>
          <w:rFonts w:hint="eastAsia" w:ascii="仿宋" w:hAnsi="仿宋" w:eastAsia="仿宋" w:cs="仿宋"/>
          <w:kern w:val="2"/>
          <w:sz w:val="32"/>
          <w:szCs w:val="32"/>
          <w:lang w:val="en-US" w:eastAsia="zh-CN"/>
        </w:rPr>
        <w:t>12</w:t>
      </w:r>
      <w:r>
        <w:rPr>
          <w:rFonts w:hint="eastAsia" w:ascii="仿宋" w:hAnsi="仿宋" w:eastAsia="仿宋" w:cs="仿宋"/>
          <w:kern w:val="2"/>
          <w:sz w:val="32"/>
          <w:szCs w:val="32"/>
        </w:rPr>
        <w:t>日</w:t>
      </w:r>
    </w:p>
    <w:p>
      <w:pPr>
        <w:snapToGrid w:val="0"/>
        <w:spacing w:line="360" w:lineRule="auto"/>
        <w:ind w:firstLine="640" w:firstLineChars="200"/>
        <w:rPr>
          <w:rFonts w:ascii="仿宋" w:hAnsi="仿宋" w:eastAsia="仿宋" w:cs="仿宋"/>
          <w:sz w:val="32"/>
          <w:szCs w:val="32"/>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书宋_GBK">
    <w:altName w:val="微软雅黑"/>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方正楷体_GBK">
    <w:altName w:val="微软雅黑"/>
    <w:panose1 w:val="03000509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CESI仿宋-GB2312">
    <w:altName w:val="仿宋"/>
    <w:panose1 w:val="00000000000000000000"/>
    <w:charset w:val="86"/>
    <w:family w:val="auto"/>
    <w:pitch w:val="default"/>
    <w:sig w:usb0="00000000" w:usb1="00000000" w:usb2="00000010" w:usb3="00000000" w:csb0="0004000F" w:csb1="00000000"/>
  </w:font>
  <w:font w:name="华文仿宋">
    <w:panose1 w:val="02010600040101010101"/>
    <w:charset w:val="86"/>
    <w:family w:val="auto"/>
    <w:pitch w:val="default"/>
    <w:sig w:usb0="00000287" w:usb1="080F0000" w:usb2="00000000" w:usb3="00000000" w:csb0="0004009F" w:csb1="DFD70000"/>
  </w:font>
  <w:font w:name="方正小标宋简体">
    <w:altName w:val="黑体"/>
    <w:panose1 w:val="02010601030101010101"/>
    <w:charset w:val="86"/>
    <w:family w:val="auto"/>
    <w:pitch w:val="default"/>
    <w:sig w:usb0="00000000" w:usb1="00000000" w:usb2="00000000" w:usb3="00000000" w:csb0="00040000" w:csb1="00000000"/>
  </w:font>
  <w:font w:name="新宋体">
    <w:panose1 w:val="02010609030101010101"/>
    <w:charset w:val="86"/>
    <w:family w:val="modern"/>
    <w:pitch w:val="default"/>
    <w:sig w:usb0="00000003" w:usb1="288F0000" w:usb2="00000006" w:usb3="00000000" w:csb0="00040001" w:csb1="00000000"/>
  </w:font>
  <w:font w:name="??">
    <w:altName w:val="Times New Roman"/>
    <w:panose1 w:val="00000000000000000000"/>
    <w:charset w:val="00"/>
    <w:family w:val="roman"/>
    <w:pitch w:val="default"/>
    <w:sig w:usb0="00000000" w:usb1="00000000" w:usb2="00000000" w:usb3="00000000" w:csb0="00000001" w:csb1="00000000"/>
  </w:font>
  <w:font w:name="ˎ̥">
    <w:altName w:val="Times New Roman"/>
    <w:panose1 w:val="00000000000000000000"/>
    <w:charset w:val="00"/>
    <w:family w:val="decorative"/>
    <w:pitch w:val="default"/>
    <w:sig w:usb0="00000000" w:usb1="00000000" w:usb2="00000000" w:usb3="00000000" w:csb0="00040001" w:csb1="00000000"/>
  </w:font>
  <w:font w:name="华文楷体">
    <w:panose1 w:val="02010600040101010101"/>
    <w:charset w:val="86"/>
    <w:family w:val="auto"/>
    <w:pitch w:val="default"/>
    <w:sig w:usb0="00000287" w:usb1="080F0000" w:usb2="00000000" w:usb3="00000000" w:csb0="0004009F" w:csb1="DFD70000"/>
  </w:font>
  <w:font w:name="Arial">
    <w:panose1 w:val="020B0604020202020204"/>
    <w:charset w:val="00"/>
    <w:family w:val="swiss"/>
    <w:pitch w:val="default"/>
    <w:sig w:usb0="E0002AFF" w:usb1="C0007843" w:usb2="00000009" w:usb3="00000000" w:csb0="400001FF" w:csb1="FFFF0000"/>
  </w:font>
  <w:font w:name="华文中宋">
    <w:panose1 w:val="02010600040101010101"/>
    <w:charset w:val="7A"/>
    <w:family w:val="auto"/>
    <w:pitch w:val="default"/>
    <w:sig w:usb0="00000287" w:usb1="080F0000" w:usb2="00000000" w:usb3="00000000" w:csb0="0004009F" w:csb1="DFD70000"/>
  </w:font>
  <w:font w:name="仿宋">
    <w:panose1 w:val="02010609060101010101"/>
    <w:charset w:val="7A"/>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文泉驿正黑">
    <w:altName w:val="黑体"/>
    <w:panose1 w:val="02000603000000000000"/>
    <w:charset w:val="86"/>
    <w:family w:val="script"/>
    <w:pitch w:val="default"/>
    <w:sig w:usb0="00000000" w:usb1="00000000" w:usb2="00000036" w:usb3="00000000" w:csb0="603E000D" w:csb1="D2D70000"/>
  </w:font>
  <w:font w:name="国标仿宋">
    <w:altName w:val="仿宋"/>
    <w:panose1 w:val="02000500000000000000"/>
    <w:charset w:val="86"/>
    <w:family w:val="script"/>
    <w:pitch w:val="default"/>
    <w:sig w:usb0="00000000" w:usb1="00000000" w:usb2="00000016" w:usb3="00000000" w:csb0="00060007" w:csb1="00000000"/>
  </w:font>
  <w:font w:name="迷你简粗仿宋">
    <w:altName w:val="仿宋"/>
    <w:panose1 w:val="02010604000101010101"/>
    <w:charset w:val="86"/>
    <w:family w:val="auto"/>
    <w:pitch w:val="default"/>
    <w:sig w:usb0="00000000" w:usb1="00000000" w:usb2="00000002" w:usb3="00000000" w:csb0="00040000" w:csb1="00000000"/>
  </w:font>
  <w:font w:name="方正黑体_GBK">
    <w:altName w:val="微软雅黑"/>
    <w:panose1 w:val="02000000000000000000"/>
    <w:charset w:val="86"/>
    <w:family w:val="script"/>
    <w:pitch w:val="default"/>
    <w:sig w:usb0="00000000" w:usb1="00000000" w:usb2="00082016" w:usb3="00000000" w:csb0="00040001" w:csb1="00000000"/>
  </w:font>
  <w:font w:name="国标仿宋">
    <w:altName w:val="仿宋"/>
    <w:panose1 w:val="00000000000000000000"/>
    <w:charset w:val="00"/>
    <w:family w:val="auto"/>
    <w:pitch w:val="default"/>
    <w:sig w:usb0="00000000" w:usb1="00000000" w:usb2="00000000" w:usb3="00000000" w:csb0="00000000" w:csb1="00000000"/>
  </w:font>
  <w:font w:name="国标楷体">
    <w:altName w:val="宋体"/>
    <w:panose1 w:val="02000500000000000000"/>
    <w:charset w:val="86"/>
    <w:family w:val="script"/>
    <w:pitch w:val="default"/>
    <w:sig w:usb0="00000000" w:usb1="00000000" w:usb2="00000000" w:usb3="00000000" w:csb0="00060007" w:csb1="00000000"/>
  </w:font>
  <w:font w:name="迷你简粗仿宋">
    <w:altName w:val="宋体"/>
    <w:panose1 w:val="00000000000000000000"/>
    <w:charset w:val="00"/>
    <w:family w:val="auto"/>
    <w:pitch w:val="default"/>
    <w:sig w:usb0="00000000" w:usb1="00000000" w:usb2="00000000" w:usb3="00000000" w:csb0="00000000" w:csb1="00000000"/>
  </w:font>
  <w:font w:name="文泉驿正黑">
    <w:altName w:val="黑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- 6 -</w:t>
                          </w:r>
                          <w:r>
                            <w:rPr>
                              <w:rFonts w:hint="eastAsia"/>
                              <w:sz w:val="18"/>
                            </w:rPr>
                            <w:fldChar w:fldCharType="end"/>
                          </w:r>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3QW1FLgBAABXAwAADgAAAAAAAAABACAAAAAeAQAAZHJzL2Uyb0RvYy54bWxQSwUGAAAAAAYABgBZ&#10;AQAASAU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- 6 -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38072A"/>
    <w:multiLevelType w:val="multilevel"/>
    <w:tmpl w:val="1638072A"/>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62425F17"/>
    <w:multiLevelType w:val="singleLevel"/>
    <w:tmpl w:val="62425F17"/>
    <w:lvl w:ilvl="0" w:tentative="0">
      <w:start w:val="6"/>
      <w:numFmt w:val="chineseCounting"/>
      <w:suff w:val="nothing"/>
      <w:lvlText w:val="%1、"/>
      <w:lvlJc w:val="left"/>
    </w:lvl>
  </w:abstractNum>
  <w:abstractNum w:abstractNumId="2">
    <w:nsid w:val="62426D0E"/>
    <w:multiLevelType w:val="singleLevel"/>
    <w:tmpl w:val="62426D0E"/>
    <w:lvl w:ilvl="0" w:tentative="0">
      <w:start w:val="2"/>
      <w:numFmt w:val="chineseCounting"/>
      <w:suff w:val="nothing"/>
      <w:lvlText w:val="（%1）"/>
      <w:lvlJc w:val="left"/>
    </w:lvl>
  </w:abstractNum>
  <w:abstractNum w:abstractNumId="3">
    <w:nsid w:val="6437BC29"/>
    <w:multiLevelType w:val="singleLevel"/>
    <w:tmpl w:val="6437BC29"/>
    <w:lvl w:ilvl="0" w:tentative="0">
      <w:start w:val="4"/>
      <w:numFmt w:val="chineseCounting"/>
      <w:suff w:val="nothing"/>
      <w:lvlText w:val="%1、"/>
      <w:lvlJc w:val="left"/>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664AF"/>
    <w:rsid w:val="000D29F1"/>
    <w:rsid w:val="001372C6"/>
    <w:rsid w:val="00141206"/>
    <w:rsid w:val="001426D1"/>
    <w:rsid w:val="00143760"/>
    <w:rsid w:val="0015784E"/>
    <w:rsid w:val="001627CF"/>
    <w:rsid w:val="00176210"/>
    <w:rsid w:val="001A4376"/>
    <w:rsid w:val="001B6EA2"/>
    <w:rsid w:val="001D2D4C"/>
    <w:rsid w:val="00212241"/>
    <w:rsid w:val="002131AE"/>
    <w:rsid w:val="00217D9C"/>
    <w:rsid w:val="00265B1D"/>
    <w:rsid w:val="00265D40"/>
    <w:rsid w:val="002747C9"/>
    <w:rsid w:val="002A3606"/>
    <w:rsid w:val="002A7D13"/>
    <w:rsid w:val="002B5C73"/>
    <w:rsid w:val="002C31A2"/>
    <w:rsid w:val="002D00EA"/>
    <w:rsid w:val="00301C1F"/>
    <w:rsid w:val="0032004B"/>
    <w:rsid w:val="00334C9A"/>
    <w:rsid w:val="003373F2"/>
    <w:rsid w:val="003553E6"/>
    <w:rsid w:val="00370DCD"/>
    <w:rsid w:val="00383AC5"/>
    <w:rsid w:val="00387FBE"/>
    <w:rsid w:val="003A38A8"/>
    <w:rsid w:val="003B412A"/>
    <w:rsid w:val="003C1D52"/>
    <w:rsid w:val="003F2BF0"/>
    <w:rsid w:val="0041497B"/>
    <w:rsid w:val="00431FC0"/>
    <w:rsid w:val="00432709"/>
    <w:rsid w:val="0045033D"/>
    <w:rsid w:val="00452F9A"/>
    <w:rsid w:val="00467B43"/>
    <w:rsid w:val="00491FCD"/>
    <w:rsid w:val="004C7280"/>
    <w:rsid w:val="004E1125"/>
    <w:rsid w:val="004E6C05"/>
    <w:rsid w:val="004F6F9F"/>
    <w:rsid w:val="00512FED"/>
    <w:rsid w:val="00546BCB"/>
    <w:rsid w:val="005567F1"/>
    <w:rsid w:val="00561E8D"/>
    <w:rsid w:val="0056311D"/>
    <w:rsid w:val="00572357"/>
    <w:rsid w:val="005C103F"/>
    <w:rsid w:val="005C236C"/>
    <w:rsid w:val="005C393A"/>
    <w:rsid w:val="005E0FEA"/>
    <w:rsid w:val="005E117A"/>
    <w:rsid w:val="005E6EC9"/>
    <w:rsid w:val="005F64E2"/>
    <w:rsid w:val="00625C43"/>
    <w:rsid w:val="00632978"/>
    <w:rsid w:val="00633688"/>
    <w:rsid w:val="00651787"/>
    <w:rsid w:val="00665896"/>
    <w:rsid w:val="006A22BF"/>
    <w:rsid w:val="0071336C"/>
    <w:rsid w:val="0071475B"/>
    <w:rsid w:val="00715964"/>
    <w:rsid w:val="00722B95"/>
    <w:rsid w:val="00755C29"/>
    <w:rsid w:val="00793214"/>
    <w:rsid w:val="007C59B0"/>
    <w:rsid w:val="007D43DA"/>
    <w:rsid w:val="007E50DB"/>
    <w:rsid w:val="007E661D"/>
    <w:rsid w:val="007F5EE6"/>
    <w:rsid w:val="0081530B"/>
    <w:rsid w:val="008761F7"/>
    <w:rsid w:val="008A4A48"/>
    <w:rsid w:val="008B2C26"/>
    <w:rsid w:val="008C31C3"/>
    <w:rsid w:val="008E0E58"/>
    <w:rsid w:val="00930AB6"/>
    <w:rsid w:val="00941865"/>
    <w:rsid w:val="00972639"/>
    <w:rsid w:val="009735D1"/>
    <w:rsid w:val="00986803"/>
    <w:rsid w:val="0099577A"/>
    <w:rsid w:val="009F1522"/>
    <w:rsid w:val="009F24AC"/>
    <w:rsid w:val="00A06D88"/>
    <w:rsid w:val="00A327EB"/>
    <w:rsid w:val="00A32E21"/>
    <w:rsid w:val="00A33764"/>
    <w:rsid w:val="00A361CE"/>
    <w:rsid w:val="00A55812"/>
    <w:rsid w:val="00A73998"/>
    <w:rsid w:val="00AB70A8"/>
    <w:rsid w:val="00AE7153"/>
    <w:rsid w:val="00AF1039"/>
    <w:rsid w:val="00AF5C06"/>
    <w:rsid w:val="00B108F9"/>
    <w:rsid w:val="00B47D23"/>
    <w:rsid w:val="00B804D4"/>
    <w:rsid w:val="00B8177D"/>
    <w:rsid w:val="00B86365"/>
    <w:rsid w:val="00BD3D53"/>
    <w:rsid w:val="00BE032C"/>
    <w:rsid w:val="00C242EC"/>
    <w:rsid w:val="00C93BA6"/>
    <w:rsid w:val="00CA7E04"/>
    <w:rsid w:val="00CD0EC8"/>
    <w:rsid w:val="00CD0EE4"/>
    <w:rsid w:val="00CE156F"/>
    <w:rsid w:val="00D25E5C"/>
    <w:rsid w:val="00D65D20"/>
    <w:rsid w:val="00D77F98"/>
    <w:rsid w:val="00D803DF"/>
    <w:rsid w:val="00D96196"/>
    <w:rsid w:val="00DA18E1"/>
    <w:rsid w:val="00DA1B49"/>
    <w:rsid w:val="00DA31DF"/>
    <w:rsid w:val="00DC30AF"/>
    <w:rsid w:val="00DE18CD"/>
    <w:rsid w:val="00DE50A2"/>
    <w:rsid w:val="00DF6FF4"/>
    <w:rsid w:val="00E10B7F"/>
    <w:rsid w:val="00E17D5D"/>
    <w:rsid w:val="00E253C6"/>
    <w:rsid w:val="00E61BFC"/>
    <w:rsid w:val="00E62CCE"/>
    <w:rsid w:val="00E66B31"/>
    <w:rsid w:val="00E841B7"/>
    <w:rsid w:val="00ED5E84"/>
    <w:rsid w:val="00ED7920"/>
    <w:rsid w:val="00EF16A3"/>
    <w:rsid w:val="00EF5E98"/>
    <w:rsid w:val="00F374A4"/>
    <w:rsid w:val="00F46DDB"/>
    <w:rsid w:val="00F57E52"/>
    <w:rsid w:val="00F719EE"/>
    <w:rsid w:val="00F83F15"/>
    <w:rsid w:val="00F96721"/>
    <w:rsid w:val="00FD5D2C"/>
    <w:rsid w:val="00FF7083"/>
    <w:rsid w:val="03E83F65"/>
    <w:rsid w:val="051A3ED1"/>
    <w:rsid w:val="0AD724EB"/>
    <w:rsid w:val="0D04060E"/>
    <w:rsid w:val="10A34FA9"/>
    <w:rsid w:val="13B61930"/>
    <w:rsid w:val="187D0573"/>
    <w:rsid w:val="1A7354E0"/>
    <w:rsid w:val="1B2741B5"/>
    <w:rsid w:val="20FC4FBE"/>
    <w:rsid w:val="24D22FED"/>
    <w:rsid w:val="2B1C626C"/>
    <w:rsid w:val="2F7A26A5"/>
    <w:rsid w:val="3AEF6FE7"/>
    <w:rsid w:val="3E91241C"/>
    <w:rsid w:val="43B41518"/>
    <w:rsid w:val="493B718D"/>
    <w:rsid w:val="4ABB5559"/>
    <w:rsid w:val="4B5F5137"/>
    <w:rsid w:val="53A42ADD"/>
    <w:rsid w:val="58B90F27"/>
    <w:rsid w:val="5FCD0508"/>
    <w:rsid w:val="65412601"/>
    <w:rsid w:val="6B9F0095"/>
    <w:rsid w:val="6DE207A1"/>
    <w:rsid w:val="73C25F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qFormat="1" w:uiPriority="0" w:semiHidden="0" w:name="Body Text"/>
    <w:lsdException w:qFormat="1"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qFormat="1" w:uiPriority="0" w:semiHidden="0" w:name="Body Text First Indent 2"/>
    <w:lsdException w:uiPriority="0" w:name="Note Heading"/>
    <w:lsdException w:uiPriority="0" w:name="Body Text 2"/>
    <w:lsdException w:uiPriority="0" w:name="Body Text 3"/>
    <w:lsdException w:uiPriority="0" w:semiHidden="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qFormat="1" w:uiPriority="0" w:semiHidden="0" w:name="Document Map"/>
    <w:lsdException w:uiPriority="0" w:name="Plain Text"/>
    <w:lsdException w:uiPriority="0" w:name="E-mail Signature"/>
    <w:lsdException w:qFormat="1"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unhideWhenUsed/>
    <w:qFormat/>
    <w:uiPriority w:val="9"/>
    <w:pPr>
      <w:keepNext/>
      <w:keepLines/>
      <w:spacing w:before="260" w:after="260" w:line="416" w:lineRule="auto"/>
      <w:outlineLvl w:val="1"/>
    </w:pPr>
    <w:rPr>
      <w:rFonts w:ascii="Cambria" w:hAnsi="Cambria" w:eastAsia="楷体_GB2312"/>
      <w:b/>
      <w:bCs/>
      <w:sz w:val="32"/>
      <w:szCs w:val="32"/>
    </w:rPr>
  </w:style>
  <w:style w:type="character" w:default="1" w:styleId="15">
    <w:name w:val="Default Paragraph Font"/>
    <w:unhideWhenUsed/>
    <w:uiPriority w:val="1"/>
  </w:style>
  <w:style w:type="table" w:default="1" w:styleId="17">
    <w:name w:val="Normal Table"/>
    <w:unhideWhenUsed/>
    <w:qFormat/>
    <w:uiPriority w:val="99"/>
    <w:tblPr>
      <w:tblLayout w:type="fixed"/>
      <w:tblCellMar>
        <w:top w:w="0" w:type="dxa"/>
        <w:left w:w="108" w:type="dxa"/>
        <w:bottom w:w="0" w:type="dxa"/>
        <w:right w:w="108" w:type="dxa"/>
      </w:tblCellMar>
    </w:tblPr>
  </w:style>
  <w:style w:type="paragraph" w:styleId="3">
    <w:name w:val="Document Map"/>
    <w:basedOn w:val="1"/>
    <w:link w:val="21"/>
    <w:unhideWhenUsed/>
    <w:qFormat/>
    <w:uiPriority w:val="0"/>
    <w:rPr>
      <w:rFonts w:ascii="宋体"/>
      <w:sz w:val="18"/>
      <w:szCs w:val="18"/>
    </w:rPr>
  </w:style>
  <w:style w:type="paragraph" w:styleId="4">
    <w:name w:val="Body Text"/>
    <w:basedOn w:val="1"/>
    <w:next w:val="5"/>
    <w:unhideWhenUsed/>
    <w:qFormat/>
    <w:uiPriority w:val="0"/>
    <w:pPr>
      <w:widowControl/>
      <w:spacing w:before="100" w:beforeAutospacing="1" w:after="100" w:afterAutospacing="1"/>
      <w:jc w:val="left"/>
    </w:pPr>
    <w:rPr>
      <w:rFonts w:ascii="宋体" w:hAnsi="宋体" w:eastAsia="宋体" w:cs="宋体"/>
      <w:kern w:val="0"/>
      <w:sz w:val="24"/>
    </w:rPr>
  </w:style>
  <w:style w:type="paragraph" w:customStyle="1" w:styleId="5">
    <w:name w:val="正文部分 Char Char Char"/>
    <w:basedOn w:val="4"/>
    <w:next w:val="6"/>
    <w:qFormat/>
    <w:uiPriority w:val="0"/>
    <w:pPr>
      <w:adjustRightInd w:val="0"/>
      <w:snapToGrid w:val="0"/>
      <w:spacing w:line="460" w:lineRule="exact"/>
      <w:textAlignment w:val="baseline"/>
    </w:pPr>
    <w:rPr>
      <w:sz w:val="24"/>
    </w:rPr>
  </w:style>
  <w:style w:type="paragraph" w:customStyle="1" w:styleId="6">
    <w:name w:val="章标题"/>
    <w:basedOn w:val="7"/>
    <w:qFormat/>
    <w:uiPriority w:val="0"/>
    <w:pPr>
      <w:spacing w:line="360" w:lineRule="auto"/>
    </w:pPr>
  </w:style>
  <w:style w:type="paragraph" w:styleId="7">
    <w:name w:val="Title"/>
    <w:basedOn w:val="1"/>
    <w:next w:val="8"/>
    <w:qFormat/>
    <w:uiPriority w:val="10"/>
    <w:pPr>
      <w:spacing w:before="240" w:after="60"/>
      <w:jc w:val="center"/>
      <w:outlineLvl w:val="0"/>
    </w:pPr>
    <w:rPr>
      <w:rFonts w:ascii="Cambria" w:hAnsi="Cambria"/>
      <w:b/>
      <w:bCs/>
      <w:kern w:val="0"/>
      <w:sz w:val="32"/>
      <w:szCs w:val="32"/>
    </w:rPr>
  </w:style>
  <w:style w:type="paragraph" w:styleId="8">
    <w:name w:val="Body Text Indent"/>
    <w:basedOn w:val="1"/>
    <w:next w:val="9"/>
    <w:unhideWhenUsed/>
    <w:qFormat/>
    <w:uiPriority w:val="0"/>
    <w:pPr>
      <w:widowControl w:val="0"/>
      <w:spacing w:line="520" w:lineRule="atLeast"/>
      <w:ind w:right="45" w:firstLine="640" w:firstLineChars="200"/>
      <w:jc w:val="both"/>
    </w:pPr>
    <w:rPr>
      <w:rFonts w:ascii="仿宋_GB2312" w:hAnsi="Calibri" w:eastAsia="仿宋_GB2312" w:cs="Times New Roman"/>
      <w:kern w:val="2"/>
      <w:sz w:val="32"/>
      <w:szCs w:val="24"/>
      <w:lang w:val="en-US" w:eastAsia="zh-CN" w:bidi="ar-SA"/>
    </w:rPr>
  </w:style>
  <w:style w:type="paragraph" w:styleId="9">
    <w:name w:val="Subtitle"/>
    <w:basedOn w:val="1"/>
    <w:next w:val="1"/>
    <w:qFormat/>
    <w:uiPriority w:val="11"/>
    <w:pPr>
      <w:spacing w:before="240" w:after="60" w:line="312" w:lineRule="auto"/>
      <w:jc w:val="center"/>
      <w:outlineLvl w:val="1"/>
    </w:pPr>
    <w:rPr>
      <w:rFonts w:ascii="Cambria" w:hAnsi="Cambria" w:eastAsia="宋体" w:cs="黑体"/>
      <w:b/>
      <w:bCs/>
      <w:kern w:val="28"/>
      <w:sz w:val="32"/>
      <w:szCs w:val="32"/>
    </w:rPr>
  </w:style>
  <w:style w:type="paragraph" w:styleId="10">
    <w:name w:val="Body Text Indent 2"/>
    <w:basedOn w:val="4"/>
    <w:unhideWhenUsed/>
    <w:uiPriority w:val="0"/>
    <w:pPr>
      <w:widowControl w:val="0"/>
      <w:spacing w:after="120" w:afterLines="0"/>
      <w:ind w:left="420" w:leftChars="200"/>
      <w:jc w:val="both"/>
    </w:pPr>
    <w:rPr>
      <w:rFonts w:ascii="Times New Roman" w:hAnsi="Times New Roman" w:eastAsia="仿宋_GB2312" w:cs="Times New Roman"/>
      <w:kern w:val="2"/>
      <w:sz w:val="36"/>
      <w:szCs w:val="32"/>
      <w:lang w:val="en-US" w:eastAsia="zh-CN" w:bidi="ar-SA"/>
    </w:rPr>
  </w:style>
  <w:style w:type="paragraph" w:styleId="11">
    <w:name w:val="footer"/>
    <w:basedOn w:val="1"/>
    <w:link w:val="19"/>
    <w:unhideWhenUsed/>
    <w:qFormat/>
    <w:uiPriority w:val="99"/>
    <w:pPr>
      <w:tabs>
        <w:tab w:val="center" w:pos="4153"/>
        <w:tab w:val="right" w:pos="8306"/>
      </w:tabs>
      <w:snapToGrid w:val="0"/>
      <w:jc w:val="left"/>
    </w:pPr>
    <w:rPr>
      <w:sz w:val="18"/>
      <w:szCs w:val="18"/>
    </w:rPr>
  </w:style>
  <w:style w:type="paragraph" w:styleId="12">
    <w:name w:val="Body Text First Indent 2"/>
    <w:basedOn w:val="8"/>
    <w:next w:val="10"/>
    <w:unhideWhenUsed/>
    <w:qFormat/>
    <w:uiPriority w:val="0"/>
    <w:pPr>
      <w:widowControl w:val="0"/>
      <w:spacing w:line="360" w:lineRule="auto"/>
      <w:ind w:right="45" w:firstLine="420" w:firstLineChars="200"/>
      <w:jc w:val="both"/>
      <w:textAlignment w:val="baseline"/>
    </w:pPr>
    <w:rPr>
      <w:rFonts w:ascii="Calibri" w:hAnsi="Calibri" w:eastAsia="宋体" w:cs="Times New Roman"/>
      <w:kern w:val="2"/>
      <w:sz w:val="24"/>
      <w:szCs w:val="24"/>
      <w:lang w:val="en-US" w:eastAsia="zh-CN" w:bidi="ar-SA"/>
    </w:rPr>
  </w:style>
  <w:style w:type="paragraph" w:styleId="13">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styleId="16">
    <w:name w:val="Strong"/>
    <w:basedOn w:val="15"/>
    <w:qFormat/>
    <w:uiPriority w:val="22"/>
    <w:rPr>
      <w:b/>
    </w:rPr>
  </w:style>
  <w:style w:type="character" w:customStyle="1" w:styleId="18">
    <w:name w:val="页眉 Char"/>
    <w:basedOn w:val="15"/>
    <w:link w:val="13"/>
    <w:uiPriority w:val="99"/>
    <w:rPr>
      <w:sz w:val="18"/>
      <w:szCs w:val="18"/>
    </w:rPr>
  </w:style>
  <w:style w:type="character" w:customStyle="1" w:styleId="19">
    <w:name w:val="页脚 Char"/>
    <w:basedOn w:val="15"/>
    <w:link w:val="11"/>
    <w:qFormat/>
    <w:uiPriority w:val="99"/>
    <w:rPr>
      <w:sz w:val="18"/>
      <w:szCs w:val="18"/>
    </w:rPr>
  </w:style>
  <w:style w:type="paragraph" w:customStyle="1" w:styleId="20">
    <w:name w:val="Char Char Char"/>
    <w:qFormat/>
    <w:uiPriority w:val="0"/>
    <w:pPr>
      <w:shd w:val="clear" w:color="auto" w:fill="000080"/>
      <w:adjustRightInd w:val="0"/>
      <w:spacing w:line="436" w:lineRule="exact"/>
      <w:ind w:left="357"/>
      <w:outlineLvl w:val="3"/>
    </w:pPr>
    <w:rPr>
      <w:rFonts w:ascii="Times New Roman" w:hAnsi="Times New Roman" w:eastAsia="宋体" w:cs="Times New Roman"/>
      <w:lang w:val="en-US" w:eastAsia="zh-CN" w:bidi="ar-SA"/>
    </w:rPr>
  </w:style>
  <w:style w:type="character" w:customStyle="1" w:styleId="21">
    <w:name w:val="文档结构图 Char"/>
    <w:basedOn w:val="15"/>
    <w:link w:val="3"/>
    <w:semiHidden/>
    <w:uiPriority w:val="0"/>
    <w:rPr>
      <w:rFonts w:ascii="宋体"/>
      <w:kern w:val="2"/>
      <w:sz w:val="18"/>
      <w:szCs w:val="18"/>
    </w:rPr>
  </w:style>
  <w:style w:type="paragraph" w:customStyle="1" w:styleId="22">
    <w:name w:val="普通(网站)1"/>
    <w:basedOn w:val="1"/>
    <w:qFormat/>
    <w:uiPriority w:val="0"/>
    <w:pPr>
      <w:spacing w:before="100" w:beforeAutospacing="1" w:after="100" w:afterAutospacing="1"/>
      <w:jc w:val="left"/>
    </w:pPr>
    <w:rPr>
      <w:kern w:val="0"/>
      <w:sz w:val="24"/>
    </w:rPr>
  </w:style>
  <w:style w:type="paragraph" w:customStyle="1" w:styleId="23">
    <w:name w:val="正文首行缩进 21"/>
    <w:basedOn w:val="1"/>
    <w:uiPriority w:val="0"/>
    <w:pPr>
      <w:spacing w:after="120"/>
      <w:ind w:left="420" w:leftChars="200" w:firstLine="420" w:firstLineChars="200"/>
    </w:pPr>
  </w:style>
  <w:style w:type="paragraph" w:customStyle="1" w:styleId="24">
    <w:name w:val="List Paragraph"/>
    <w:basedOn w:val="1"/>
    <w:unhideWhenUsed/>
    <w:qFormat/>
    <w:uiPriority w:val="99"/>
    <w:pPr>
      <w:ind w:firstLine="420" w:firstLineChars="200"/>
    </w:pPr>
  </w:style>
  <w:style w:type="paragraph" w:customStyle="1" w:styleId="25">
    <w:name w:val="正文首行缩进 22"/>
    <w:basedOn w:val="1"/>
    <w:qFormat/>
    <w:uiPriority w:val="0"/>
    <w:pPr>
      <w:widowControl/>
      <w:autoSpaceDE w:val="0"/>
      <w:autoSpaceDN w:val="0"/>
      <w:spacing w:after="120"/>
      <w:ind w:left="420" w:leftChars="200" w:firstLine="420" w:firstLineChars="200"/>
    </w:pPr>
    <w:rPr>
      <w:rFonts w:hint="eastAsia"/>
      <w:kern w:val="0"/>
      <w:szCs w:val="20"/>
    </w:rPr>
  </w:style>
  <w:style w:type="character" w:customStyle="1" w:styleId="26">
    <w:name w:val="font11"/>
    <w:basedOn w:val="15"/>
    <w:qFormat/>
    <w:uiPriority w:val="0"/>
    <w:rPr>
      <w:rFonts w:ascii="方正书宋_GBK" w:hAnsi="方正书宋_GBK" w:eastAsia="方正书宋_GBK" w:cs="方正书宋_GBK"/>
      <w:color w:val="000000"/>
      <w:sz w:val="20"/>
      <w:szCs w:val="20"/>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6</Pages>
  <Words>413</Words>
  <Characters>2359</Characters>
  <Lines>19</Lines>
  <Paragraphs>5</Paragraphs>
  <ScaleCrop>false</ScaleCrop>
  <LinksUpToDate>false</LinksUpToDate>
  <CharactersWithSpaces>2767</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2021-08-25T07:30:00Z</dcterms:created>
  <dc:creator>user</dc:creator>
  <cp:lastModifiedBy>admini</cp:lastModifiedBy>
  <cp:lastPrinted>2024-04-16T03:00:00Z</cp:lastPrinted>
  <dcterms:modified xsi:type="dcterms:W3CDTF">2025-03-12T07:23:02Z</dcterms:modified>
  <dc:title>附件2： </dc:title>
  <cp:revision>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