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textAlignment w:val="auto"/>
        <w:outlineLvl w:val="9"/>
        <w:rPr>
          <w:rFonts w:ascii="仿宋_GB2312" w:eastAsia="仿宋_GB2312"/>
          <w:sz w:val="32"/>
          <w:szCs w:val="32"/>
        </w:rPr>
      </w:pPr>
    </w:p>
    <w:p>
      <w:pPr>
        <w:keepNext w:val="0"/>
        <w:keepLines w:val="0"/>
        <w:pageBreakBefore w:val="0"/>
        <w:widowControl w:val="0"/>
        <w:kinsoku/>
        <w:wordWrap/>
        <w:overflowPunct/>
        <w:topLinePunct w:val="0"/>
        <w:autoSpaceDE/>
        <w:autoSpaceDN/>
        <w:bidi w:val="0"/>
        <w:spacing w:line="560" w:lineRule="exact"/>
        <w:ind w:left="0" w:leftChars="0" w:right="0"/>
        <w:jc w:val="center"/>
        <w:textAlignment w:val="auto"/>
        <w:outlineLvl w:val="9"/>
        <w:rPr>
          <w:rFonts w:hint="eastAsia" w:ascii="宋体" w:hAnsi="宋体" w:cs="宋体"/>
          <w:b/>
          <w:bCs/>
          <w:sz w:val="44"/>
          <w:szCs w:val="44"/>
        </w:rPr>
      </w:pPr>
    </w:p>
    <w:p>
      <w:pPr>
        <w:keepNext w:val="0"/>
        <w:keepLines w:val="0"/>
        <w:pageBreakBefore w:val="0"/>
        <w:widowControl w:val="0"/>
        <w:kinsoku/>
        <w:wordWrap/>
        <w:overflowPunct/>
        <w:topLinePunct w:val="0"/>
        <w:autoSpaceDE/>
        <w:autoSpaceDN/>
        <w:bidi w:val="0"/>
        <w:spacing w:line="560" w:lineRule="exact"/>
        <w:ind w:left="0" w:leftChars="0" w:right="0"/>
        <w:jc w:val="center"/>
        <w:textAlignment w:val="auto"/>
        <w:outlineLvl w:val="9"/>
        <w:rPr>
          <w:rFonts w:hint="eastAsia" w:ascii="宋体" w:hAnsi="宋体" w:eastAsia="宋体" w:cs="宋体"/>
          <w:b/>
          <w:bCs/>
          <w:sz w:val="44"/>
          <w:szCs w:val="44"/>
          <w:lang w:val="en-US" w:eastAsia="zh-CN"/>
        </w:rPr>
      </w:pPr>
      <w:r>
        <w:rPr>
          <w:rFonts w:hint="eastAsia" w:ascii="宋体" w:hAnsi="宋体" w:eastAsia="宋体" w:cs="宋体"/>
          <w:b/>
          <w:bCs/>
          <w:sz w:val="44"/>
          <w:szCs w:val="44"/>
          <w:lang w:val="en-US" w:eastAsia="zh-CN"/>
        </w:rPr>
        <w:t>石家庄市数据资源管理局</w:t>
      </w:r>
    </w:p>
    <w:p>
      <w:pPr>
        <w:keepNext w:val="0"/>
        <w:keepLines w:val="0"/>
        <w:pageBreakBefore w:val="0"/>
        <w:widowControl w:val="0"/>
        <w:kinsoku/>
        <w:wordWrap/>
        <w:overflowPunct/>
        <w:topLinePunct w:val="0"/>
        <w:autoSpaceDE/>
        <w:autoSpaceDN/>
        <w:bidi w:val="0"/>
        <w:spacing w:line="560" w:lineRule="exact"/>
        <w:ind w:left="0" w:leftChars="0" w:right="0"/>
        <w:jc w:val="center"/>
        <w:textAlignment w:val="auto"/>
        <w:outlineLvl w:val="9"/>
        <w:rPr>
          <w:rFonts w:hint="eastAsia" w:ascii="宋体" w:hAnsi="宋体" w:cs="宋体"/>
          <w:b/>
          <w:bCs/>
          <w:sz w:val="44"/>
          <w:szCs w:val="44"/>
        </w:rPr>
      </w:pPr>
      <w:r>
        <w:rPr>
          <w:rFonts w:hint="eastAsia" w:ascii="宋体" w:hAnsi="宋体" w:cs="宋体"/>
          <w:b/>
          <w:bCs/>
          <w:sz w:val="44"/>
          <w:szCs w:val="44"/>
          <w:lang w:val="en-US" w:eastAsia="zh-CN"/>
        </w:rPr>
        <w:t>2021年度整体支出绩效</w:t>
      </w:r>
      <w:r>
        <w:rPr>
          <w:rFonts w:hint="eastAsia" w:ascii="宋体" w:hAnsi="宋体" w:cs="宋体"/>
          <w:b/>
          <w:bCs/>
          <w:sz w:val="44"/>
          <w:szCs w:val="44"/>
        </w:rPr>
        <w:t>自评报告</w:t>
      </w:r>
    </w:p>
    <w:p>
      <w:pPr>
        <w:keepNext w:val="0"/>
        <w:keepLines w:val="0"/>
        <w:pageBreakBefore w:val="0"/>
        <w:widowControl w:val="0"/>
        <w:kinsoku/>
        <w:wordWrap/>
        <w:overflowPunct/>
        <w:topLinePunct w:val="0"/>
        <w:autoSpaceDE/>
        <w:autoSpaceDN/>
        <w:bidi w:val="0"/>
        <w:spacing w:line="560" w:lineRule="exact"/>
        <w:ind w:left="0" w:leftChars="0" w:right="0"/>
        <w:jc w:val="center"/>
        <w:textAlignment w:val="auto"/>
        <w:outlineLvl w:val="9"/>
        <w:rPr>
          <w:rFonts w:ascii="华文楷体" w:eastAsia="华文楷体"/>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贯彻落实</w:t>
      </w:r>
      <w:r>
        <w:rPr>
          <w:rFonts w:hint="eastAsia" w:ascii="仿宋_GB2312" w:hAnsi="仿宋_GB2312" w:eastAsia="仿宋_GB2312" w:cs="仿宋_GB2312"/>
          <w:sz w:val="32"/>
          <w:szCs w:val="32"/>
          <w:lang w:eastAsia="zh-CN"/>
        </w:rPr>
        <w:t>市委市政府《关于全面落实预算绩效管理的实施意见》（石发﹝</w:t>
      </w:r>
      <w:r>
        <w:rPr>
          <w:rFonts w:hint="eastAsia" w:ascii="仿宋_GB2312" w:hAnsi="仿宋_GB2312" w:eastAsia="仿宋_GB2312" w:cs="仿宋_GB2312"/>
          <w:sz w:val="32"/>
          <w:szCs w:val="32"/>
          <w:lang w:val="en-US" w:eastAsia="zh-CN"/>
        </w:rPr>
        <w:t>2019</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8号</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文件精神，遵循“科学性、规范性、客观性和公正性”的原则，对石家庄市数据资源管理局</w:t>
      </w:r>
      <w:r>
        <w:rPr>
          <w:rFonts w:hint="eastAsia" w:ascii="仿宋_GB2312" w:hAnsi="仿宋_GB2312" w:eastAsia="仿宋_GB2312" w:cs="仿宋_GB2312"/>
          <w:sz w:val="32"/>
          <w:szCs w:val="32"/>
          <w:lang w:val="en-US" w:eastAsia="zh-CN"/>
        </w:rPr>
        <w:t>2021年</w:t>
      </w:r>
      <w:r>
        <w:rPr>
          <w:rFonts w:hint="eastAsia" w:ascii="仿宋_GB2312" w:hAnsi="仿宋_GB2312" w:eastAsia="仿宋_GB2312" w:cs="仿宋_GB2312"/>
          <w:sz w:val="32"/>
          <w:szCs w:val="32"/>
          <w:lang w:eastAsia="zh-CN"/>
        </w:rPr>
        <w:t>整体支出情况</w:t>
      </w:r>
      <w:r>
        <w:rPr>
          <w:rFonts w:hint="eastAsia" w:ascii="仿宋_GB2312" w:hAnsi="仿宋_GB2312" w:eastAsia="仿宋_GB2312" w:cs="仿宋_GB2312"/>
          <w:sz w:val="32"/>
          <w:szCs w:val="32"/>
        </w:rPr>
        <w:t>实施了财政支出绩效自评价，形成本评价报告。</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textAlignment w:val="auto"/>
        <w:outlineLvl w:val="9"/>
        <w:rPr>
          <w:rFonts w:ascii="黑体" w:hAnsi="黑体" w:eastAsia="黑体"/>
          <w:b/>
          <w:bCs/>
          <w:sz w:val="32"/>
          <w:szCs w:val="36"/>
        </w:rPr>
      </w:pPr>
      <w:r>
        <w:rPr>
          <w:rFonts w:hint="eastAsia" w:ascii="仿宋" w:hAnsi="仿宋" w:eastAsia="仿宋"/>
          <w:sz w:val="32"/>
          <w:szCs w:val="32"/>
        </w:rPr>
        <w:t xml:space="preserve">    </w:t>
      </w:r>
      <w:r>
        <w:rPr>
          <w:rFonts w:hint="eastAsia" w:ascii="黑体" w:hAnsi="黑体" w:eastAsia="黑体"/>
          <w:sz w:val="32"/>
          <w:szCs w:val="32"/>
        </w:rPr>
        <w:t>一、</w:t>
      </w:r>
      <w:r>
        <w:rPr>
          <w:rFonts w:hint="eastAsia" w:ascii="黑体" w:hAnsi="黑体" w:eastAsia="黑体"/>
          <w:sz w:val="32"/>
          <w:szCs w:val="32"/>
          <w:lang w:eastAsia="zh-CN"/>
        </w:rPr>
        <w:t>部门</w:t>
      </w:r>
      <w:r>
        <w:rPr>
          <w:rFonts w:hint="eastAsia" w:ascii="黑体" w:hAnsi="黑体" w:eastAsia="黑体"/>
          <w:sz w:val="32"/>
          <w:szCs w:val="36"/>
        </w:rPr>
        <w:t>基本情况</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3" w:firstLineChars="200"/>
        <w:textAlignment w:val="auto"/>
        <w:outlineLvl w:val="9"/>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（一）</w:t>
      </w:r>
      <w:r>
        <w:rPr>
          <w:rFonts w:hint="eastAsia" w:ascii="仿宋_GB2312" w:hAnsi="仿宋_GB2312" w:eastAsia="仿宋_GB2312" w:cs="仿宋_GB2312"/>
          <w:b/>
          <w:bCs/>
          <w:sz w:val="32"/>
          <w:szCs w:val="32"/>
          <w:lang w:eastAsia="zh-CN"/>
        </w:rPr>
        <w:t>部门</w:t>
      </w:r>
      <w:r>
        <w:rPr>
          <w:rFonts w:hint="eastAsia" w:ascii="仿宋_GB2312" w:hAnsi="仿宋_GB2312" w:eastAsia="仿宋_GB2312" w:cs="仿宋_GB2312"/>
          <w:b/>
          <w:bCs/>
          <w:sz w:val="32"/>
          <w:szCs w:val="32"/>
        </w:rPr>
        <w:t>概况</w:t>
      </w:r>
    </w:p>
    <w:p>
      <w:pPr>
        <w:keepNext w:val="0"/>
        <w:keepLines w:val="0"/>
        <w:pageBreakBefore w:val="0"/>
        <w:widowControl w:val="0"/>
        <w:kinsoku/>
        <w:wordWrap/>
        <w:overflowPunct/>
        <w:topLinePunct w:val="0"/>
        <w:autoSpaceDE/>
        <w:autoSpaceDN/>
        <w:bidi w:val="0"/>
        <w:spacing w:line="560" w:lineRule="exact"/>
        <w:ind w:firstLine="640" w:firstLineChars="200"/>
        <w:jc w:val="left"/>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根据《中共</w:t>
      </w:r>
      <w:r>
        <w:rPr>
          <w:rFonts w:hint="eastAsia" w:ascii="仿宋_GB2312" w:hAnsi="仿宋_GB2312" w:eastAsia="仿宋_GB2312" w:cs="仿宋_GB2312"/>
          <w:kern w:val="2"/>
          <w:sz w:val="32"/>
          <w:szCs w:val="32"/>
          <w:lang w:val="en-US" w:eastAsia="zh-CN" w:bidi="ar-SA"/>
        </w:rPr>
        <w:fldChar w:fldCharType="begin"/>
      </w:r>
      <w:r>
        <w:rPr>
          <w:rFonts w:hint="eastAsia" w:ascii="仿宋_GB2312" w:hAnsi="仿宋_GB2312" w:eastAsia="仿宋_GB2312" w:cs="仿宋_GB2312"/>
          <w:kern w:val="2"/>
          <w:sz w:val="32"/>
          <w:szCs w:val="32"/>
          <w:lang w:val="en-US" w:eastAsia="zh-CN" w:bidi="ar-SA"/>
        </w:rPr>
        <w:instrText xml:space="preserve"> HYPERLINK "https://baike.baidu.com/item/%E6%B2%B3%E5%8C%97%E7%9C%81/153775" \t "https://baike.baidu.com/item/%E7%9F%B3%E5%AE%B6%E5%BA%84%E5%B8%82%E6%95%B0%E6%8D%AE%E8%B5%84%E6%BA%90%E7%AE%A1%E7%90%86%E5%B1%80/_blank" </w:instrText>
      </w:r>
      <w:r>
        <w:rPr>
          <w:rFonts w:hint="eastAsia" w:ascii="仿宋_GB2312" w:hAnsi="仿宋_GB2312" w:eastAsia="仿宋_GB2312" w:cs="仿宋_GB2312"/>
          <w:kern w:val="2"/>
          <w:sz w:val="32"/>
          <w:szCs w:val="32"/>
          <w:lang w:val="en-US" w:eastAsia="zh-CN" w:bidi="ar-SA"/>
        </w:rPr>
        <w:fldChar w:fldCharType="separate"/>
      </w:r>
      <w:r>
        <w:rPr>
          <w:rFonts w:hint="eastAsia" w:ascii="仿宋_GB2312" w:hAnsi="仿宋_GB2312" w:eastAsia="仿宋_GB2312" w:cs="仿宋_GB2312"/>
          <w:kern w:val="2"/>
          <w:sz w:val="32"/>
          <w:szCs w:val="32"/>
          <w:lang w:val="en-US" w:eastAsia="zh-CN" w:bidi="ar-SA"/>
        </w:rPr>
        <w:t>河北省</w:t>
      </w:r>
      <w:r>
        <w:rPr>
          <w:rFonts w:hint="eastAsia" w:ascii="仿宋_GB2312" w:hAnsi="仿宋_GB2312" w:eastAsia="仿宋_GB2312" w:cs="仿宋_GB2312"/>
          <w:kern w:val="2"/>
          <w:sz w:val="32"/>
          <w:szCs w:val="32"/>
          <w:lang w:val="en-US" w:eastAsia="zh-CN" w:bidi="ar-SA"/>
        </w:rPr>
        <w:fldChar w:fldCharType="end"/>
      </w:r>
      <w:r>
        <w:rPr>
          <w:rFonts w:hint="eastAsia" w:ascii="仿宋_GB2312" w:hAnsi="仿宋_GB2312" w:eastAsia="仿宋_GB2312" w:cs="仿宋_GB2312"/>
          <w:kern w:val="2"/>
          <w:sz w:val="32"/>
          <w:szCs w:val="32"/>
          <w:lang w:val="en-US" w:eastAsia="zh-CN" w:bidi="ar-SA"/>
        </w:rPr>
        <w:t>委办公厅、</w:t>
      </w:r>
      <w:r>
        <w:rPr>
          <w:rFonts w:hint="eastAsia" w:ascii="仿宋_GB2312" w:hAnsi="仿宋_GB2312" w:eastAsia="仿宋_GB2312" w:cs="仿宋_GB2312"/>
          <w:kern w:val="2"/>
          <w:sz w:val="32"/>
          <w:szCs w:val="32"/>
          <w:lang w:val="en-US" w:eastAsia="zh-CN" w:bidi="ar-SA"/>
        </w:rPr>
        <w:fldChar w:fldCharType="begin"/>
      </w:r>
      <w:r>
        <w:rPr>
          <w:rFonts w:hint="eastAsia" w:ascii="仿宋_GB2312" w:hAnsi="仿宋_GB2312" w:eastAsia="仿宋_GB2312" w:cs="仿宋_GB2312"/>
          <w:kern w:val="2"/>
          <w:sz w:val="32"/>
          <w:szCs w:val="32"/>
          <w:lang w:val="en-US" w:eastAsia="zh-CN" w:bidi="ar-SA"/>
        </w:rPr>
        <w:instrText xml:space="preserve"> HYPERLINK "https://baike.baidu.com/item/%E6%B2%B3%E5%8C%97%E7%9C%81%E4%BA%BA%E6%B0%91%E6%94%BF%E5%BA%9C%E5%8A%9E%E5%85%AC%E5%8E%85/7054123" \t "https://baike.baidu.com/item/%E7%9F%B3%E5%AE%B6%E5%BA%84%E5%B8%82%E6%95%B0%E6%8D%AE%E8%B5%84%E6%BA%90%E7%AE%A1%E7%90%86%E5%B1%80/_blank" </w:instrText>
      </w:r>
      <w:r>
        <w:rPr>
          <w:rFonts w:hint="eastAsia" w:ascii="仿宋_GB2312" w:hAnsi="仿宋_GB2312" w:eastAsia="仿宋_GB2312" w:cs="仿宋_GB2312"/>
          <w:kern w:val="2"/>
          <w:sz w:val="32"/>
          <w:szCs w:val="32"/>
          <w:lang w:val="en-US" w:eastAsia="zh-CN" w:bidi="ar-SA"/>
        </w:rPr>
        <w:fldChar w:fldCharType="separate"/>
      </w:r>
      <w:r>
        <w:rPr>
          <w:rFonts w:hint="eastAsia" w:ascii="仿宋_GB2312" w:hAnsi="仿宋_GB2312" w:eastAsia="仿宋_GB2312" w:cs="仿宋_GB2312"/>
          <w:kern w:val="2"/>
          <w:sz w:val="32"/>
          <w:szCs w:val="32"/>
          <w:lang w:val="en-US" w:eastAsia="zh-CN" w:bidi="ar-SA"/>
        </w:rPr>
        <w:t>河北省人民政府办公厅</w:t>
      </w:r>
      <w:r>
        <w:rPr>
          <w:rFonts w:hint="eastAsia" w:ascii="仿宋_GB2312" w:hAnsi="仿宋_GB2312" w:eastAsia="仿宋_GB2312" w:cs="仿宋_GB2312"/>
          <w:kern w:val="2"/>
          <w:sz w:val="32"/>
          <w:szCs w:val="32"/>
          <w:lang w:val="en-US" w:eastAsia="zh-CN" w:bidi="ar-SA"/>
        </w:rPr>
        <w:fldChar w:fldCharType="end"/>
      </w:r>
      <w:r>
        <w:rPr>
          <w:rFonts w:hint="eastAsia" w:ascii="仿宋_GB2312" w:hAnsi="仿宋_GB2312" w:eastAsia="仿宋_GB2312" w:cs="仿宋_GB2312"/>
          <w:kern w:val="2"/>
          <w:sz w:val="32"/>
          <w:szCs w:val="32"/>
          <w:lang w:val="en-US" w:eastAsia="zh-CN" w:bidi="ar-SA"/>
        </w:rPr>
        <w:t>关于印发〈</w:t>
      </w:r>
      <w:r>
        <w:rPr>
          <w:rFonts w:hint="eastAsia" w:ascii="仿宋_GB2312" w:hAnsi="仿宋_GB2312" w:eastAsia="仿宋_GB2312" w:cs="仿宋_GB2312"/>
          <w:kern w:val="2"/>
          <w:sz w:val="32"/>
          <w:szCs w:val="32"/>
          <w:lang w:val="en-US" w:eastAsia="zh-CN" w:bidi="ar-SA"/>
        </w:rPr>
        <w:fldChar w:fldCharType="begin"/>
      </w:r>
      <w:r>
        <w:rPr>
          <w:rFonts w:hint="eastAsia" w:ascii="仿宋_GB2312" w:hAnsi="仿宋_GB2312" w:eastAsia="仿宋_GB2312" w:cs="仿宋_GB2312"/>
          <w:kern w:val="2"/>
          <w:sz w:val="32"/>
          <w:szCs w:val="32"/>
          <w:lang w:val="en-US" w:eastAsia="zh-CN" w:bidi="ar-SA"/>
        </w:rPr>
        <w:instrText xml:space="preserve"> HYPERLINK "https://baike.baidu.com/item/%E7%9F%B3%E5%AE%B6%E5%BA%84%E5%B8%82%E6%9C%BA%E6%9E%84%E6%94%B9%E9%9D%A9%E6%96%B9%E6%A1%88/23247354" \t "https://baike.baidu.com/item/%E7%9F%B3%E5%AE%B6%E5%BA%84%E5%B8%82%E6%95%B0%E6%8D%AE%E8%B5%84%E6%BA%90%E7%AE%A1%E7%90%86%E5%B1%80/_blank" </w:instrText>
      </w:r>
      <w:r>
        <w:rPr>
          <w:rFonts w:hint="eastAsia" w:ascii="仿宋_GB2312" w:hAnsi="仿宋_GB2312" w:eastAsia="仿宋_GB2312" w:cs="仿宋_GB2312"/>
          <w:kern w:val="2"/>
          <w:sz w:val="32"/>
          <w:szCs w:val="32"/>
          <w:lang w:val="en-US" w:eastAsia="zh-CN" w:bidi="ar-SA"/>
        </w:rPr>
        <w:fldChar w:fldCharType="separate"/>
      </w:r>
      <w:r>
        <w:rPr>
          <w:rFonts w:hint="eastAsia" w:ascii="仿宋_GB2312" w:hAnsi="仿宋_GB2312" w:eastAsia="仿宋_GB2312" w:cs="仿宋_GB2312"/>
          <w:kern w:val="2"/>
          <w:sz w:val="32"/>
          <w:szCs w:val="32"/>
          <w:lang w:val="en-US" w:eastAsia="zh-CN" w:bidi="ar-SA"/>
        </w:rPr>
        <w:t>石家庄市机构改革方案</w:t>
      </w:r>
      <w:r>
        <w:rPr>
          <w:rFonts w:hint="eastAsia" w:ascii="仿宋_GB2312" w:hAnsi="仿宋_GB2312" w:eastAsia="仿宋_GB2312" w:cs="仿宋_GB2312"/>
          <w:kern w:val="2"/>
          <w:sz w:val="32"/>
          <w:szCs w:val="32"/>
          <w:lang w:val="en-US" w:eastAsia="zh-CN" w:bidi="ar-SA"/>
        </w:rPr>
        <w:fldChar w:fldCharType="end"/>
      </w:r>
      <w:r>
        <w:rPr>
          <w:rFonts w:hint="eastAsia" w:ascii="仿宋_GB2312" w:hAnsi="仿宋_GB2312" w:eastAsia="仿宋_GB2312" w:cs="仿宋_GB2312"/>
          <w:kern w:val="2"/>
          <w:sz w:val="32"/>
          <w:szCs w:val="32"/>
          <w:lang w:val="en-US" w:eastAsia="zh-CN" w:bidi="ar-SA"/>
        </w:rPr>
        <w:t>〉的通知》（冀办字〔2018〕106号），石家庄市数据资源管理局（简称市数据资源管理局），为市政府</w:t>
      </w:r>
      <w:r>
        <w:rPr>
          <w:rFonts w:hint="eastAsia" w:ascii="仿宋_GB2312" w:hAnsi="仿宋_GB2312" w:eastAsia="仿宋_GB2312" w:cs="仿宋_GB2312"/>
          <w:kern w:val="2"/>
          <w:sz w:val="32"/>
          <w:szCs w:val="32"/>
          <w:lang w:val="en-US" w:eastAsia="zh-CN" w:bidi="ar-SA"/>
        </w:rPr>
        <w:fldChar w:fldCharType="begin"/>
      </w:r>
      <w:r>
        <w:rPr>
          <w:rFonts w:hint="eastAsia" w:ascii="仿宋_GB2312" w:hAnsi="仿宋_GB2312" w:eastAsia="仿宋_GB2312" w:cs="仿宋_GB2312"/>
          <w:kern w:val="2"/>
          <w:sz w:val="32"/>
          <w:szCs w:val="32"/>
          <w:lang w:val="en-US" w:eastAsia="zh-CN" w:bidi="ar-SA"/>
        </w:rPr>
        <w:instrText xml:space="preserve"> HYPERLINK "https://baike.baidu.com/item/%E5%B7%A5%E4%BD%9C%E9%83%A8%E9%97%A8/22986209" \t "https://baike.baidu.com/item/%E7%9F%B3%E5%AE%B6%E5%BA%84%E5%B8%82%E6%95%B0%E6%8D%AE%E8%B5%84%E6%BA%90%E7%AE%A1%E7%90%86%E5%B1%80/_blank" </w:instrText>
      </w:r>
      <w:r>
        <w:rPr>
          <w:rFonts w:hint="eastAsia" w:ascii="仿宋_GB2312" w:hAnsi="仿宋_GB2312" w:eastAsia="仿宋_GB2312" w:cs="仿宋_GB2312"/>
          <w:kern w:val="2"/>
          <w:sz w:val="32"/>
          <w:szCs w:val="32"/>
          <w:lang w:val="en-US" w:eastAsia="zh-CN" w:bidi="ar-SA"/>
        </w:rPr>
        <w:fldChar w:fldCharType="separate"/>
      </w:r>
      <w:r>
        <w:rPr>
          <w:rFonts w:hint="eastAsia" w:ascii="仿宋_GB2312" w:hAnsi="仿宋_GB2312" w:eastAsia="仿宋_GB2312" w:cs="仿宋_GB2312"/>
          <w:kern w:val="2"/>
          <w:sz w:val="32"/>
          <w:szCs w:val="32"/>
          <w:lang w:val="en-US" w:eastAsia="zh-CN" w:bidi="ar-SA"/>
        </w:rPr>
        <w:t>工作部门</w:t>
      </w:r>
      <w:r>
        <w:rPr>
          <w:rFonts w:hint="eastAsia" w:ascii="仿宋_GB2312" w:hAnsi="仿宋_GB2312" w:eastAsia="仿宋_GB2312" w:cs="仿宋_GB2312"/>
          <w:kern w:val="2"/>
          <w:sz w:val="32"/>
          <w:szCs w:val="32"/>
          <w:lang w:val="en-US" w:eastAsia="zh-CN" w:bidi="ar-SA"/>
        </w:rPr>
        <w:fldChar w:fldCharType="end"/>
      </w:r>
      <w:r>
        <w:rPr>
          <w:rFonts w:hint="eastAsia" w:ascii="仿宋_GB2312" w:hAnsi="仿宋_GB2312" w:eastAsia="仿宋_GB2312" w:cs="仿宋_GB2312"/>
          <w:kern w:val="2"/>
          <w:sz w:val="32"/>
          <w:szCs w:val="32"/>
          <w:lang w:val="en-US" w:eastAsia="zh-CN" w:bidi="ar-SA"/>
        </w:rPr>
        <w:t>，</w:t>
      </w:r>
      <w:r>
        <w:rPr>
          <w:rFonts w:hint="eastAsia" w:ascii="仿宋_GB2312" w:hAnsi="仿宋_GB2312" w:eastAsia="仿宋_GB2312" w:cs="仿宋_GB2312"/>
          <w:color w:val="000000"/>
          <w:kern w:val="0"/>
          <w:sz w:val="31"/>
          <w:szCs w:val="31"/>
          <w:lang w:val="en-US" w:eastAsia="zh-CN" w:bidi="ar"/>
        </w:rPr>
        <w:t>石家庄市数据资源管理局为正处级行政单位，为一级预算单位</w:t>
      </w:r>
      <w:r>
        <w:rPr>
          <w:rFonts w:hint="eastAsia" w:ascii="仿宋_GB2312" w:hAnsi="仿宋_GB2312" w:eastAsia="仿宋_GB2312" w:cs="仿宋_GB2312"/>
          <w:kern w:val="2"/>
          <w:sz w:val="32"/>
          <w:szCs w:val="32"/>
          <w:lang w:val="en-US" w:eastAsia="zh-CN" w:bidi="ar-SA"/>
        </w:rPr>
        <w:t>，经费保障形式为财政拨款。市数据资源管理局内设五个处室，均为正科级，内设机构分别是：办公室、规划发展科、数据资源管理科、应用推广科、网络建设与安全科。单位在职人员共29人。</w:t>
      </w:r>
    </w:p>
    <w:p>
      <w:pPr>
        <w:keepNext w:val="0"/>
        <w:keepLines w:val="0"/>
        <w:pageBreakBefore w:val="0"/>
        <w:widowControl w:val="0"/>
        <w:kinsoku/>
        <w:wordWrap/>
        <w:overflowPunct/>
        <w:topLinePunct w:val="0"/>
        <w:autoSpaceDE/>
        <w:autoSpaceDN/>
        <w:bidi w:val="0"/>
        <w:spacing w:line="560" w:lineRule="exact"/>
        <w:ind w:firstLine="640" w:firstLineChars="200"/>
        <w:jc w:val="left"/>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下属单位 1 个：石家庄市电子政务中心，副处级事业单位，负责全市电子政务网络及应用系统平台的维护和运行；负责全市各类数据和信息资源的收集、整理等工作。单位在职人员共27人。</w:t>
      </w:r>
    </w:p>
    <w:p>
      <w:pPr>
        <w:keepNext w:val="0"/>
        <w:keepLines w:val="0"/>
        <w:pageBreakBefore w:val="0"/>
        <w:widowControl w:val="0"/>
        <w:kinsoku/>
        <w:wordWrap/>
        <w:overflowPunct/>
        <w:topLinePunct w:val="0"/>
        <w:autoSpaceDE/>
        <w:autoSpaceDN/>
        <w:bidi w:val="0"/>
        <w:spacing w:line="560" w:lineRule="exact"/>
        <w:ind w:firstLine="640" w:firstLineChars="200"/>
        <w:jc w:val="left"/>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本部门共有公务用车两辆，单价50万（含）以上的通用设备5台（套）。</w:t>
      </w:r>
    </w:p>
    <w:tbl>
      <w:tblPr>
        <w:tblStyle w:val="7"/>
        <w:tblW w:w="906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66"/>
        <w:gridCol w:w="1284"/>
        <w:gridCol w:w="1224"/>
        <w:gridCol w:w="2424"/>
        <w:gridCol w:w="126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trPr>
        <w:tc>
          <w:tcPr>
            <w:tcW w:w="2866" w:type="dxa"/>
            <w:vAlign w:val="center"/>
          </w:tcPr>
          <w:p>
            <w:pPr>
              <w:pStyle w:val="3"/>
              <w:ind w:left="0" w:leftChars="0" w:firstLine="0" w:firstLineChars="0"/>
              <w:jc w:val="both"/>
              <w:rPr>
                <w:rFonts w:hint="eastAsia" w:ascii="微软雅黑" w:hAnsi="微软雅黑" w:eastAsia="微软雅黑" w:cs="微软雅黑"/>
                <w:b/>
                <w:bCs/>
                <w:sz w:val="24"/>
                <w:szCs w:val="24"/>
                <w:vertAlign w:val="baseline"/>
                <w:lang w:val="en-US" w:eastAsia="zh-CN"/>
              </w:rPr>
            </w:pPr>
            <w:r>
              <w:rPr>
                <w:rFonts w:hint="eastAsia" w:ascii="微软雅黑" w:hAnsi="微软雅黑" w:eastAsia="微软雅黑" w:cs="微软雅黑"/>
                <w:b/>
                <w:bCs/>
                <w:sz w:val="24"/>
                <w:szCs w:val="24"/>
                <w:vertAlign w:val="baseline"/>
                <w:lang w:val="en-US" w:eastAsia="zh-CN"/>
              </w:rPr>
              <w:t>单位名称</w:t>
            </w:r>
          </w:p>
        </w:tc>
        <w:tc>
          <w:tcPr>
            <w:tcW w:w="1284" w:type="dxa"/>
            <w:vAlign w:val="center"/>
          </w:tcPr>
          <w:p>
            <w:pPr>
              <w:pStyle w:val="3"/>
              <w:ind w:left="0" w:leftChars="0" w:firstLine="0" w:firstLineChars="0"/>
              <w:jc w:val="both"/>
              <w:rPr>
                <w:rFonts w:hint="eastAsia" w:ascii="微软雅黑" w:hAnsi="微软雅黑" w:eastAsia="微软雅黑" w:cs="微软雅黑"/>
                <w:b/>
                <w:bCs/>
                <w:sz w:val="24"/>
                <w:szCs w:val="24"/>
                <w:vertAlign w:val="baseline"/>
                <w:lang w:val="en-US" w:eastAsia="zh-CN"/>
              </w:rPr>
            </w:pPr>
            <w:r>
              <w:rPr>
                <w:rFonts w:hint="eastAsia" w:ascii="微软雅黑" w:hAnsi="微软雅黑" w:eastAsia="微软雅黑" w:cs="微软雅黑"/>
                <w:b/>
                <w:bCs/>
                <w:sz w:val="24"/>
                <w:szCs w:val="24"/>
                <w:vertAlign w:val="baseline"/>
                <w:lang w:val="en-US" w:eastAsia="zh-CN"/>
              </w:rPr>
              <w:t>单位性质</w:t>
            </w:r>
          </w:p>
        </w:tc>
        <w:tc>
          <w:tcPr>
            <w:tcW w:w="1224" w:type="dxa"/>
            <w:vAlign w:val="center"/>
          </w:tcPr>
          <w:p>
            <w:pPr>
              <w:pStyle w:val="3"/>
              <w:ind w:left="0" w:leftChars="0" w:firstLine="0" w:firstLineChars="0"/>
              <w:jc w:val="both"/>
              <w:rPr>
                <w:rFonts w:hint="eastAsia" w:ascii="微软雅黑" w:hAnsi="微软雅黑" w:eastAsia="微软雅黑" w:cs="微软雅黑"/>
                <w:b/>
                <w:bCs/>
                <w:sz w:val="24"/>
                <w:szCs w:val="24"/>
                <w:vertAlign w:val="baseline"/>
                <w:lang w:val="en-US" w:eastAsia="zh-CN"/>
              </w:rPr>
            </w:pPr>
            <w:r>
              <w:rPr>
                <w:rFonts w:hint="eastAsia" w:ascii="微软雅黑" w:hAnsi="微软雅黑" w:eastAsia="微软雅黑" w:cs="微软雅黑"/>
                <w:b/>
                <w:bCs/>
                <w:sz w:val="24"/>
                <w:szCs w:val="24"/>
                <w:vertAlign w:val="baseline"/>
                <w:lang w:val="en-US" w:eastAsia="zh-CN"/>
              </w:rPr>
              <w:t>单位规格</w:t>
            </w:r>
          </w:p>
        </w:tc>
        <w:tc>
          <w:tcPr>
            <w:tcW w:w="2424" w:type="dxa"/>
            <w:vAlign w:val="center"/>
          </w:tcPr>
          <w:p>
            <w:pPr>
              <w:pStyle w:val="3"/>
              <w:ind w:left="0" w:leftChars="0" w:firstLine="0" w:firstLineChars="0"/>
              <w:jc w:val="both"/>
              <w:rPr>
                <w:rFonts w:hint="eastAsia" w:ascii="微软雅黑" w:hAnsi="微软雅黑" w:eastAsia="微软雅黑" w:cs="微软雅黑"/>
                <w:b/>
                <w:bCs/>
                <w:sz w:val="24"/>
                <w:szCs w:val="24"/>
                <w:vertAlign w:val="baseline"/>
                <w:lang w:val="en-US" w:eastAsia="zh-CN"/>
              </w:rPr>
            </w:pPr>
            <w:r>
              <w:rPr>
                <w:rFonts w:hint="eastAsia" w:ascii="微软雅黑" w:hAnsi="微软雅黑" w:eastAsia="微软雅黑" w:cs="微软雅黑"/>
                <w:b/>
                <w:bCs/>
                <w:sz w:val="24"/>
                <w:szCs w:val="24"/>
                <w:vertAlign w:val="baseline"/>
                <w:lang w:val="en-US" w:eastAsia="zh-CN"/>
              </w:rPr>
              <w:t>经费保障形式</w:t>
            </w:r>
          </w:p>
        </w:tc>
        <w:tc>
          <w:tcPr>
            <w:tcW w:w="1263" w:type="dxa"/>
            <w:vAlign w:val="center"/>
          </w:tcPr>
          <w:p>
            <w:pPr>
              <w:pStyle w:val="3"/>
              <w:ind w:left="0" w:leftChars="0" w:firstLine="0" w:firstLineChars="0"/>
              <w:jc w:val="both"/>
              <w:rPr>
                <w:rFonts w:hint="eastAsia" w:ascii="微软雅黑" w:hAnsi="微软雅黑" w:eastAsia="微软雅黑" w:cs="微软雅黑"/>
                <w:b/>
                <w:bCs/>
                <w:sz w:val="24"/>
                <w:szCs w:val="24"/>
                <w:vertAlign w:val="baseline"/>
                <w:lang w:val="en-US" w:eastAsia="zh-CN"/>
              </w:rPr>
            </w:pPr>
            <w:r>
              <w:rPr>
                <w:rFonts w:hint="eastAsia" w:ascii="微软雅黑" w:hAnsi="微软雅黑" w:eastAsia="微软雅黑" w:cs="微软雅黑"/>
                <w:b/>
                <w:bCs/>
                <w:sz w:val="24"/>
                <w:szCs w:val="24"/>
                <w:vertAlign w:val="baseline"/>
                <w:lang w:val="en-US" w:eastAsia="zh-CN"/>
              </w:rPr>
              <w:t>内设机构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2" w:hRule="atLeast"/>
        </w:trPr>
        <w:tc>
          <w:tcPr>
            <w:tcW w:w="2866" w:type="dxa"/>
            <w:vAlign w:val="center"/>
          </w:tcPr>
          <w:p>
            <w:pPr>
              <w:pStyle w:val="3"/>
              <w:ind w:left="0" w:leftChars="0" w:firstLine="0" w:firstLineChars="0"/>
              <w:jc w:val="both"/>
              <w:rPr>
                <w:rFonts w:hint="eastAsia" w:ascii="微软雅黑" w:hAnsi="微软雅黑" w:eastAsia="微软雅黑" w:cs="微软雅黑"/>
                <w:sz w:val="24"/>
                <w:szCs w:val="24"/>
                <w:vertAlign w:val="baseline"/>
                <w:lang w:val="en-US" w:eastAsia="zh-CN"/>
              </w:rPr>
            </w:pPr>
            <w:r>
              <w:rPr>
                <w:rFonts w:hint="eastAsia" w:ascii="微软雅黑" w:hAnsi="微软雅黑" w:eastAsia="微软雅黑" w:cs="微软雅黑"/>
                <w:sz w:val="24"/>
                <w:szCs w:val="24"/>
                <w:vertAlign w:val="baseline"/>
                <w:lang w:val="en-US" w:eastAsia="zh-CN"/>
              </w:rPr>
              <w:t>石家庄市数据资源管理局</w:t>
            </w:r>
          </w:p>
        </w:tc>
        <w:tc>
          <w:tcPr>
            <w:tcW w:w="1284" w:type="dxa"/>
            <w:vAlign w:val="center"/>
          </w:tcPr>
          <w:p>
            <w:pPr>
              <w:pStyle w:val="3"/>
              <w:ind w:left="0" w:leftChars="0" w:firstLine="0" w:firstLineChars="0"/>
              <w:jc w:val="both"/>
              <w:rPr>
                <w:rFonts w:hint="eastAsia" w:ascii="微软雅黑" w:hAnsi="微软雅黑" w:eastAsia="微软雅黑" w:cs="微软雅黑"/>
                <w:sz w:val="24"/>
                <w:szCs w:val="24"/>
                <w:vertAlign w:val="baseline"/>
                <w:lang w:val="en-US" w:eastAsia="zh-CN"/>
              </w:rPr>
            </w:pPr>
            <w:r>
              <w:rPr>
                <w:rFonts w:hint="eastAsia" w:ascii="微软雅黑" w:hAnsi="微软雅黑" w:eastAsia="微软雅黑" w:cs="微软雅黑"/>
                <w:sz w:val="24"/>
                <w:szCs w:val="24"/>
                <w:vertAlign w:val="baseline"/>
                <w:lang w:val="en-US" w:eastAsia="zh-CN"/>
              </w:rPr>
              <w:t>行政</w:t>
            </w:r>
          </w:p>
        </w:tc>
        <w:tc>
          <w:tcPr>
            <w:tcW w:w="1224" w:type="dxa"/>
            <w:vAlign w:val="center"/>
          </w:tcPr>
          <w:p>
            <w:pPr>
              <w:pStyle w:val="3"/>
              <w:ind w:left="0" w:leftChars="0" w:firstLine="0" w:firstLineChars="0"/>
              <w:jc w:val="both"/>
              <w:rPr>
                <w:rFonts w:hint="eastAsia" w:ascii="微软雅黑" w:hAnsi="微软雅黑" w:eastAsia="微软雅黑" w:cs="微软雅黑"/>
                <w:sz w:val="24"/>
                <w:szCs w:val="24"/>
                <w:vertAlign w:val="baseline"/>
                <w:lang w:val="en-US" w:eastAsia="zh-CN"/>
              </w:rPr>
            </w:pPr>
            <w:r>
              <w:rPr>
                <w:rFonts w:hint="eastAsia" w:ascii="微软雅黑" w:hAnsi="微软雅黑" w:eastAsia="微软雅黑" w:cs="微软雅黑"/>
                <w:sz w:val="24"/>
                <w:szCs w:val="24"/>
                <w:vertAlign w:val="baseline"/>
                <w:lang w:val="en-US" w:eastAsia="zh-CN"/>
              </w:rPr>
              <w:t>正处级</w:t>
            </w:r>
          </w:p>
        </w:tc>
        <w:tc>
          <w:tcPr>
            <w:tcW w:w="2424" w:type="dxa"/>
            <w:vAlign w:val="center"/>
          </w:tcPr>
          <w:p>
            <w:pPr>
              <w:pStyle w:val="3"/>
              <w:ind w:left="0" w:leftChars="0" w:firstLine="0" w:firstLineChars="0"/>
              <w:jc w:val="both"/>
              <w:rPr>
                <w:rFonts w:hint="eastAsia" w:ascii="微软雅黑" w:hAnsi="微软雅黑" w:eastAsia="微软雅黑" w:cs="微软雅黑"/>
                <w:sz w:val="24"/>
                <w:szCs w:val="24"/>
                <w:vertAlign w:val="baseline"/>
                <w:lang w:val="en-US" w:eastAsia="zh-CN"/>
              </w:rPr>
            </w:pPr>
            <w:r>
              <w:rPr>
                <w:rFonts w:hint="eastAsia" w:ascii="微软雅黑" w:hAnsi="微软雅黑" w:eastAsia="微软雅黑" w:cs="微软雅黑"/>
                <w:sz w:val="24"/>
                <w:szCs w:val="24"/>
                <w:vertAlign w:val="baseline"/>
                <w:lang w:val="en-US" w:eastAsia="zh-CN"/>
              </w:rPr>
              <w:t>财政拨款</w:t>
            </w:r>
          </w:p>
        </w:tc>
        <w:tc>
          <w:tcPr>
            <w:tcW w:w="1263" w:type="dxa"/>
            <w:vAlign w:val="center"/>
          </w:tcPr>
          <w:p>
            <w:pPr>
              <w:pStyle w:val="3"/>
              <w:ind w:left="0" w:leftChars="0" w:firstLine="0" w:firstLineChars="0"/>
              <w:jc w:val="both"/>
              <w:rPr>
                <w:rFonts w:hint="eastAsia" w:ascii="微软雅黑" w:hAnsi="微软雅黑" w:eastAsia="微软雅黑" w:cs="微软雅黑"/>
                <w:sz w:val="24"/>
                <w:szCs w:val="24"/>
                <w:vertAlign w:val="baseline"/>
                <w:lang w:val="en-US" w:eastAsia="zh-CN"/>
              </w:rPr>
            </w:pPr>
            <w:r>
              <w:rPr>
                <w:rFonts w:hint="eastAsia" w:ascii="微软雅黑" w:hAnsi="微软雅黑" w:eastAsia="微软雅黑" w:cs="微软雅黑"/>
                <w:sz w:val="24"/>
                <w:szCs w:val="24"/>
                <w:vertAlign w:val="baseline"/>
                <w:lang w:val="en-US" w:eastAsia="zh-CN"/>
              </w:rPr>
              <w:t>5个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8" w:hRule="atLeast"/>
        </w:trPr>
        <w:tc>
          <w:tcPr>
            <w:tcW w:w="2866" w:type="dxa"/>
            <w:vAlign w:val="center"/>
          </w:tcPr>
          <w:p>
            <w:pPr>
              <w:pStyle w:val="3"/>
              <w:ind w:left="0" w:leftChars="0" w:firstLine="0" w:firstLineChars="0"/>
              <w:jc w:val="both"/>
              <w:rPr>
                <w:rFonts w:hint="eastAsia" w:ascii="微软雅黑" w:hAnsi="微软雅黑" w:eastAsia="微软雅黑" w:cs="微软雅黑"/>
                <w:sz w:val="24"/>
                <w:szCs w:val="24"/>
                <w:vertAlign w:val="baseline"/>
                <w:lang w:val="en-US" w:eastAsia="zh-CN"/>
              </w:rPr>
            </w:pPr>
            <w:r>
              <w:rPr>
                <w:rFonts w:hint="eastAsia" w:ascii="微软雅黑" w:hAnsi="微软雅黑" w:eastAsia="微软雅黑" w:cs="微软雅黑"/>
                <w:sz w:val="24"/>
                <w:szCs w:val="24"/>
                <w:vertAlign w:val="baseline"/>
                <w:lang w:val="en-US" w:eastAsia="zh-CN"/>
              </w:rPr>
              <w:t>石家庄市电子政务中心</w:t>
            </w:r>
          </w:p>
        </w:tc>
        <w:tc>
          <w:tcPr>
            <w:tcW w:w="1284" w:type="dxa"/>
            <w:vAlign w:val="center"/>
          </w:tcPr>
          <w:p>
            <w:pPr>
              <w:pStyle w:val="3"/>
              <w:ind w:left="0" w:leftChars="0" w:firstLine="0" w:firstLineChars="0"/>
              <w:jc w:val="both"/>
              <w:rPr>
                <w:rFonts w:hint="eastAsia" w:ascii="微软雅黑" w:hAnsi="微软雅黑" w:eastAsia="微软雅黑" w:cs="微软雅黑"/>
                <w:sz w:val="24"/>
                <w:szCs w:val="24"/>
                <w:vertAlign w:val="baseline"/>
                <w:lang w:val="en-US" w:eastAsia="zh-CN"/>
              </w:rPr>
            </w:pPr>
            <w:r>
              <w:rPr>
                <w:rFonts w:hint="eastAsia" w:ascii="微软雅黑" w:hAnsi="微软雅黑" w:eastAsia="微软雅黑" w:cs="微软雅黑"/>
                <w:sz w:val="24"/>
                <w:szCs w:val="24"/>
                <w:vertAlign w:val="baseline"/>
                <w:lang w:val="en-US" w:eastAsia="zh-CN"/>
              </w:rPr>
              <w:t>事业</w:t>
            </w:r>
          </w:p>
        </w:tc>
        <w:tc>
          <w:tcPr>
            <w:tcW w:w="1224" w:type="dxa"/>
            <w:vAlign w:val="center"/>
          </w:tcPr>
          <w:p>
            <w:pPr>
              <w:pStyle w:val="3"/>
              <w:ind w:left="0" w:leftChars="0" w:firstLine="0" w:firstLineChars="0"/>
              <w:jc w:val="both"/>
              <w:rPr>
                <w:rFonts w:hint="eastAsia" w:ascii="微软雅黑" w:hAnsi="微软雅黑" w:eastAsia="微软雅黑" w:cs="微软雅黑"/>
                <w:sz w:val="24"/>
                <w:szCs w:val="24"/>
                <w:vertAlign w:val="baseline"/>
                <w:lang w:val="en-US" w:eastAsia="zh-CN"/>
              </w:rPr>
            </w:pPr>
            <w:r>
              <w:rPr>
                <w:rFonts w:hint="eastAsia" w:ascii="微软雅黑" w:hAnsi="微软雅黑" w:eastAsia="微软雅黑" w:cs="微软雅黑"/>
                <w:sz w:val="24"/>
                <w:szCs w:val="24"/>
                <w:vertAlign w:val="baseline"/>
                <w:lang w:val="en-US" w:eastAsia="zh-CN"/>
              </w:rPr>
              <w:t>副处级</w:t>
            </w:r>
          </w:p>
        </w:tc>
        <w:tc>
          <w:tcPr>
            <w:tcW w:w="2424" w:type="dxa"/>
            <w:vAlign w:val="center"/>
          </w:tcPr>
          <w:p>
            <w:pPr>
              <w:pStyle w:val="3"/>
              <w:ind w:left="0" w:leftChars="0" w:firstLine="0" w:firstLineChars="0"/>
              <w:jc w:val="both"/>
              <w:rPr>
                <w:rFonts w:hint="eastAsia" w:ascii="微软雅黑" w:hAnsi="微软雅黑" w:eastAsia="微软雅黑" w:cs="微软雅黑"/>
                <w:sz w:val="24"/>
                <w:szCs w:val="24"/>
                <w:vertAlign w:val="baseline"/>
                <w:lang w:val="en-US" w:eastAsia="zh-CN"/>
              </w:rPr>
            </w:pPr>
            <w:r>
              <w:rPr>
                <w:rFonts w:hint="eastAsia" w:ascii="微软雅黑" w:hAnsi="微软雅黑" w:eastAsia="微软雅黑" w:cs="微软雅黑"/>
                <w:sz w:val="24"/>
                <w:szCs w:val="24"/>
                <w:vertAlign w:val="baseline"/>
                <w:lang w:val="en-US" w:eastAsia="zh-CN"/>
              </w:rPr>
              <w:t>财政性资金基本保证</w:t>
            </w:r>
          </w:p>
        </w:tc>
        <w:tc>
          <w:tcPr>
            <w:tcW w:w="1263" w:type="dxa"/>
            <w:vAlign w:val="center"/>
          </w:tcPr>
          <w:p>
            <w:pPr>
              <w:pStyle w:val="3"/>
              <w:ind w:left="0" w:leftChars="0" w:firstLine="0" w:firstLineChars="0"/>
              <w:jc w:val="both"/>
              <w:rPr>
                <w:rFonts w:hint="eastAsia" w:ascii="微软雅黑" w:hAnsi="微软雅黑" w:eastAsia="微软雅黑" w:cs="微软雅黑"/>
                <w:sz w:val="24"/>
                <w:szCs w:val="24"/>
                <w:vertAlign w:val="baseline"/>
                <w:lang w:val="en-US" w:eastAsia="zh-CN"/>
              </w:rPr>
            </w:pPr>
            <w:r>
              <w:rPr>
                <w:rFonts w:hint="eastAsia" w:ascii="微软雅黑" w:hAnsi="微软雅黑" w:eastAsia="微软雅黑" w:cs="微软雅黑"/>
                <w:sz w:val="24"/>
                <w:szCs w:val="24"/>
                <w:vertAlign w:val="baseline"/>
                <w:lang w:val="en-US" w:eastAsia="zh-CN"/>
              </w:rPr>
              <w:t>6个</w:t>
            </w:r>
          </w:p>
        </w:tc>
      </w:tr>
    </w:tbl>
    <w:p>
      <w:pPr>
        <w:pStyle w:val="3"/>
        <w:ind w:left="0" w:leftChars="0" w:firstLine="0" w:firstLineChars="0"/>
        <w:rPr>
          <w:rFonts w:hint="eastAsia"/>
          <w:lang w:val="en-US" w:eastAsia="zh-CN"/>
        </w:rPr>
      </w:pPr>
    </w:p>
    <w:p>
      <w:pPr>
        <w:keepNext w:val="0"/>
        <w:keepLines w:val="0"/>
        <w:pageBreakBefore w:val="0"/>
        <w:widowControl w:val="0"/>
        <w:kinsoku/>
        <w:wordWrap/>
        <w:overflowPunct/>
        <w:topLinePunct w:val="0"/>
        <w:autoSpaceDE/>
        <w:autoSpaceDN/>
        <w:bidi w:val="0"/>
        <w:spacing w:line="560" w:lineRule="exact"/>
        <w:ind w:firstLine="640" w:firstLineChars="200"/>
        <w:jc w:val="left"/>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根据《石家庄市数据资源管理局职能配置、内设机构和人员编制规定》， 石家庄市数据资源管理局的主要职责是：</w:t>
      </w:r>
    </w:p>
    <w:p>
      <w:pPr>
        <w:keepNext w:val="0"/>
        <w:keepLines w:val="0"/>
        <w:pageBreakBefore w:val="0"/>
        <w:widowControl w:val="0"/>
        <w:kinsoku/>
        <w:wordWrap/>
        <w:overflowPunct/>
        <w:topLinePunct w:val="0"/>
        <w:autoSpaceDE/>
        <w:autoSpaceDN/>
        <w:bidi w:val="0"/>
        <w:spacing w:line="560" w:lineRule="exact"/>
        <w:ind w:firstLine="640" w:firstLineChars="200"/>
        <w:jc w:val="left"/>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1.贯彻执行国家、省有关电子政务、智慧城市、政务服务和数据资源管理的方针政策和法律法规，起草相关地方性法规、政府规章草案，拟订全市数据资源管理发展规划、年度计划、政策措施和评价体系并组织实施。</w:t>
      </w:r>
    </w:p>
    <w:p>
      <w:pPr>
        <w:keepNext w:val="0"/>
        <w:keepLines w:val="0"/>
        <w:pageBreakBefore w:val="0"/>
        <w:widowControl w:val="0"/>
        <w:kinsoku/>
        <w:wordWrap/>
        <w:overflowPunct/>
        <w:topLinePunct w:val="0"/>
        <w:autoSpaceDE/>
        <w:autoSpaceDN/>
        <w:bidi w:val="0"/>
        <w:spacing w:line="560" w:lineRule="exact"/>
        <w:ind w:firstLine="640" w:firstLineChars="200"/>
        <w:jc w:val="left"/>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2.组织实施国家和地方数据技术标准；研究制定我市数据资源采集、存储、使用、开放、共享等标准规范并监督实施。</w:t>
      </w:r>
    </w:p>
    <w:p>
      <w:pPr>
        <w:keepNext w:val="0"/>
        <w:keepLines w:val="0"/>
        <w:pageBreakBefore w:val="0"/>
        <w:widowControl w:val="0"/>
        <w:kinsoku/>
        <w:wordWrap/>
        <w:overflowPunct/>
        <w:topLinePunct w:val="0"/>
        <w:autoSpaceDE/>
        <w:autoSpaceDN/>
        <w:bidi w:val="0"/>
        <w:spacing w:line="560" w:lineRule="exact"/>
        <w:ind w:firstLine="640" w:firstLineChars="200"/>
        <w:jc w:val="left"/>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3.会同政务服务管理部门做好“互联网+政务服务”工作的规划及有关项目建设工作。负责在线政务服务平台建设。推进在线政务服务平台规范化、标准化、集约化建设。</w:t>
      </w:r>
    </w:p>
    <w:p>
      <w:pPr>
        <w:keepNext w:val="0"/>
        <w:keepLines w:val="0"/>
        <w:pageBreakBefore w:val="0"/>
        <w:widowControl w:val="0"/>
        <w:kinsoku/>
        <w:wordWrap/>
        <w:overflowPunct/>
        <w:topLinePunct w:val="0"/>
        <w:autoSpaceDE/>
        <w:autoSpaceDN/>
        <w:bidi w:val="0"/>
        <w:spacing w:line="560" w:lineRule="exact"/>
        <w:ind w:firstLine="640" w:firstLineChars="200"/>
        <w:jc w:val="left"/>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4.拟订全市政务数据和公共数据资源的目录制定、归集管理、整理利用、共享开放管理办法并组织实施，推动数据资源在政府管理和社会治理领域的应用。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5.负责市电子政务组织推动工作，负责市政务网络建设管理和党政机关信息化应用建设指导，负责市级智慧城市项目建设和数据资源基础设施建设管理，提出各部门统筹安排市级信息化项目及资金的使用建议。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6.负责全市数据资源、政务信息化领域的对外交流合作；会同有关部门做好全市数据资源、政务信息化人才培养等工作。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7.负责指导全市经济社会各领域的数据资源开发利用工作，促进全市数据资源产业发展；负责数据资源相关技术研发、行业数据分析成果转化等工作。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8.负责政府门户网站的建设与管理等工作，指导各县（市、区）政府和市直党政群机关门户网站建设。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9.负责全市数据资源安全保障体系建设，会同有关部门指导各级各部门政务数据资源和公共数据资源的安全保障工作。</w:t>
      </w:r>
    </w:p>
    <w:p>
      <w:pPr>
        <w:keepNext w:val="0"/>
        <w:keepLines w:val="0"/>
        <w:pageBreakBefore w:val="0"/>
        <w:widowControl w:val="0"/>
        <w:kinsoku/>
        <w:wordWrap/>
        <w:overflowPunct/>
        <w:topLinePunct w:val="0"/>
        <w:autoSpaceDE/>
        <w:autoSpaceDN/>
        <w:bidi w:val="0"/>
        <w:spacing w:line="560" w:lineRule="exact"/>
        <w:ind w:firstLine="640" w:firstLineChars="200"/>
        <w:jc w:val="left"/>
        <w:rPr>
          <w:rFonts w:hint="eastAsia" w:ascii="仿宋_GB2312" w:hAnsi="仿宋_GB2312" w:eastAsia="仿宋_GB2312" w:cs="仿宋_GB2312"/>
          <w:sz w:val="28"/>
        </w:rPr>
      </w:pPr>
      <w:r>
        <w:rPr>
          <w:rFonts w:hint="eastAsia" w:ascii="仿宋_GB2312" w:hAnsi="仿宋_GB2312" w:eastAsia="仿宋_GB2312" w:cs="仿宋_GB2312"/>
          <w:kern w:val="2"/>
          <w:sz w:val="32"/>
          <w:szCs w:val="32"/>
          <w:lang w:val="en-US" w:eastAsia="zh-CN" w:bidi="ar-SA"/>
        </w:rPr>
        <w:t>10.完成市委、市政府交办的其他任务。</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3" w:firstLineChars="200"/>
        <w:textAlignment w:val="auto"/>
        <w:outlineLvl w:val="9"/>
        <w:rPr>
          <w:rFonts w:hint="eastAsia" w:ascii="仿宋_GB2312" w:hAnsi="仿宋_GB2312" w:eastAsia="仿宋_GB2312" w:cs="仿宋_GB2312"/>
          <w:b/>
          <w:bCs/>
          <w:sz w:val="32"/>
          <w:szCs w:val="32"/>
          <w:lang w:eastAsia="zh-CN"/>
        </w:rPr>
      </w:pPr>
      <w:r>
        <w:rPr>
          <w:rFonts w:hint="eastAsia" w:ascii="仿宋_GB2312" w:hAnsi="仿宋_GB2312" w:eastAsia="仿宋_GB2312" w:cs="仿宋_GB2312"/>
          <w:b/>
          <w:bCs/>
          <w:sz w:val="32"/>
          <w:szCs w:val="32"/>
        </w:rPr>
        <w:t>（二）</w:t>
      </w:r>
      <w:r>
        <w:rPr>
          <w:rFonts w:hint="eastAsia" w:ascii="仿宋_GB2312" w:hAnsi="仿宋_GB2312" w:eastAsia="仿宋_GB2312" w:cs="仿宋_GB2312"/>
          <w:b/>
          <w:bCs/>
          <w:sz w:val="32"/>
          <w:szCs w:val="32"/>
          <w:lang w:eastAsia="zh-CN"/>
        </w:rPr>
        <w:t>部门收支预决算情况</w:t>
      </w:r>
    </w:p>
    <w:p>
      <w:pPr>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1.部门收入支出情况：</w:t>
      </w:r>
    </w:p>
    <w:p>
      <w:pPr>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一般公共预算</w:t>
      </w:r>
      <w:r>
        <w:rPr>
          <w:rFonts w:hint="eastAsia" w:ascii="仿宋_GB2312" w:hAnsi="仿宋_GB2312" w:eastAsia="仿宋_GB2312" w:cs="仿宋_GB2312"/>
          <w:sz w:val="32"/>
          <w:szCs w:val="32"/>
        </w:rPr>
        <w:t>财政拨款</w:t>
      </w:r>
      <w:r>
        <w:rPr>
          <w:rFonts w:hint="eastAsia" w:ascii="仿宋_GB2312" w:hAnsi="仿宋_GB2312" w:eastAsia="仿宋_GB2312" w:cs="仿宋_GB2312"/>
          <w:sz w:val="32"/>
          <w:szCs w:val="32"/>
          <w:lang w:val="en-US" w:eastAsia="zh-CN"/>
        </w:rPr>
        <w:t>收入：年初预算数4279.96万元，调整预算数6319.14563万元，决算数6311.544292万元。其中：行政运行收入426.234772万元，一般行政管理事务收入3176.043316万元，事业运行收入367.896557万元，其他政府办公厅（室）及相关机构事务收入1360.4911万元，机关事业单位基本养老保险缴费收入55.399342万元，行政单位医疗收入18.2万元，事业单位医疗收入15.18万元，公务员医疗补助收入18.140305万元，通信设备、计算机及其他电子设备制造业收入800万元，住房公积金收入73.9589万元。</w:t>
      </w:r>
    </w:p>
    <w:p>
      <w:pPr>
        <w:keepNext w:val="0"/>
        <w:keepLines w:val="0"/>
        <w:pageBreakBefore w:val="0"/>
        <w:widowControl w:val="0"/>
        <w:kinsoku/>
        <w:wordWrap/>
        <w:overflowPunct/>
        <w:topLinePunct w:val="0"/>
        <w:autoSpaceDE/>
        <w:autoSpaceDN/>
        <w:bidi w:val="0"/>
        <w:spacing w:line="560" w:lineRule="exact"/>
        <w:ind w:firstLine="642"/>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一般公共预算</w:t>
      </w:r>
      <w:r>
        <w:rPr>
          <w:rFonts w:hint="eastAsia" w:ascii="仿宋_GB2312" w:hAnsi="仿宋_GB2312" w:eastAsia="仿宋_GB2312" w:cs="仿宋_GB2312"/>
          <w:sz w:val="32"/>
          <w:szCs w:val="32"/>
        </w:rPr>
        <w:t>财政拨款</w:t>
      </w:r>
      <w:r>
        <w:rPr>
          <w:rFonts w:hint="eastAsia" w:ascii="仿宋_GB2312" w:hAnsi="仿宋_GB2312" w:eastAsia="仿宋_GB2312" w:cs="仿宋_GB2312"/>
          <w:sz w:val="32"/>
          <w:szCs w:val="32"/>
          <w:lang w:val="en-US" w:eastAsia="zh-CN"/>
        </w:rPr>
        <w:t>支出：6120.723916万元。基中：行政运行</w:t>
      </w:r>
      <w:r>
        <w:rPr>
          <w:rFonts w:hint="eastAsia" w:ascii="仿宋_GB2312" w:hAnsi="仿宋_GB2312" w:eastAsia="仿宋_GB2312" w:cs="仿宋_GB2312"/>
          <w:sz w:val="32"/>
          <w:szCs w:val="32"/>
        </w:rPr>
        <w:t>支出</w:t>
      </w:r>
      <w:r>
        <w:rPr>
          <w:rFonts w:hint="eastAsia" w:ascii="仿宋_GB2312" w:hAnsi="仿宋_GB2312" w:eastAsia="仿宋_GB2312" w:cs="仿宋_GB2312"/>
          <w:sz w:val="32"/>
          <w:szCs w:val="32"/>
          <w:lang w:val="en-US" w:eastAsia="zh-CN"/>
        </w:rPr>
        <w:t>332.12871万元，一般行政管理事务</w:t>
      </w:r>
      <w:r>
        <w:rPr>
          <w:rFonts w:hint="eastAsia" w:ascii="仿宋_GB2312" w:hAnsi="仿宋_GB2312" w:eastAsia="仿宋_GB2312" w:cs="仿宋_GB2312"/>
          <w:sz w:val="32"/>
          <w:szCs w:val="32"/>
        </w:rPr>
        <w:t>支出</w:t>
      </w:r>
      <w:r>
        <w:rPr>
          <w:rFonts w:hint="eastAsia" w:ascii="仿宋_GB2312" w:hAnsi="仿宋_GB2312" w:eastAsia="仿宋_GB2312" w:cs="仿宋_GB2312"/>
          <w:sz w:val="32"/>
          <w:szCs w:val="32"/>
          <w:lang w:val="en-US" w:eastAsia="zh-CN"/>
        </w:rPr>
        <w:t>3176.043316万元，事业运行</w:t>
      </w:r>
      <w:r>
        <w:rPr>
          <w:rFonts w:hint="eastAsia" w:ascii="仿宋_GB2312" w:hAnsi="仿宋_GB2312" w:eastAsia="仿宋_GB2312" w:cs="仿宋_GB2312"/>
          <w:sz w:val="32"/>
          <w:szCs w:val="32"/>
        </w:rPr>
        <w:t>支出</w:t>
      </w:r>
      <w:r>
        <w:rPr>
          <w:rFonts w:hint="eastAsia" w:ascii="仿宋_GB2312" w:hAnsi="仿宋_GB2312" w:eastAsia="仿宋_GB2312" w:cs="仿宋_GB2312"/>
          <w:sz w:val="32"/>
          <w:szCs w:val="32"/>
          <w:lang w:val="en-US" w:eastAsia="zh-CN"/>
        </w:rPr>
        <w:t>271.182243万元，其他政府办公厅（室）及相关机构事务</w:t>
      </w:r>
      <w:r>
        <w:rPr>
          <w:rFonts w:hint="eastAsia" w:ascii="仿宋_GB2312" w:hAnsi="仿宋_GB2312" w:eastAsia="仿宋_GB2312" w:cs="仿宋_GB2312"/>
          <w:sz w:val="32"/>
          <w:szCs w:val="32"/>
        </w:rPr>
        <w:t>支出</w:t>
      </w:r>
      <w:r>
        <w:rPr>
          <w:rFonts w:hint="eastAsia" w:ascii="仿宋_GB2312" w:hAnsi="仿宋_GB2312" w:eastAsia="仿宋_GB2312" w:cs="仿宋_GB2312"/>
          <w:sz w:val="32"/>
          <w:szCs w:val="32"/>
          <w:lang w:val="en-US" w:eastAsia="zh-CN"/>
        </w:rPr>
        <w:t>1360.4911万元，机关事业单位基本养老保险缴费</w:t>
      </w:r>
      <w:r>
        <w:rPr>
          <w:rFonts w:hint="eastAsia" w:ascii="仿宋_GB2312" w:hAnsi="仿宋_GB2312" w:eastAsia="仿宋_GB2312" w:cs="仿宋_GB2312"/>
          <w:sz w:val="32"/>
          <w:szCs w:val="32"/>
        </w:rPr>
        <w:t>支出</w:t>
      </w:r>
      <w:r>
        <w:rPr>
          <w:rFonts w:hint="eastAsia" w:ascii="仿宋_GB2312" w:hAnsi="仿宋_GB2312" w:eastAsia="仿宋_GB2312" w:cs="仿宋_GB2312"/>
          <w:sz w:val="32"/>
          <w:szCs w:val="32"/>
          <w:lang w:val="en-US" w:eastAsia="zh-CN"/>
        </w:rPr>
        <w:t>55.399342万元，行政单位医疗</w:t>
      </w:r>
      <w:r>
        <w:rPr>
          <w:rFonts w:hint="eastAsia" w:ascii="仿宋_GB2312" w:hAnsi="仿宋_GB2312" w:eastAsia="仿宋_GB2312" w:cs="仿宋_GB2312"/>
          <w:sz w:val="32"/>
          <w:szCs w:val="32"/>
        </w:rPr>
        <w:t>支出</w:t>
      </w:r>
      <w:r>
        <w:rPr>
          <w:rFonts w:hint="eastAsia" w:ascii="仿宋_GB2312" w:hAnsi="仿宋_GB2312" w:eastAsia="仿宋_GB2312" w:cs="仿宋_GB2312"/>
          <w:sz w:val="32"/>
          <w:szCs w:val="32"/>
          <w:lang w:val="en-US" w:eastAsia="zh-CN"/>
        </w:rPr>
        <w:t>18.2万元，事业单位医疗</w:t>
      </w:r>
      <w:r>
        <w:rPr>
          <w:rFonts w:hint="eastAsia" w:ascii="仿宋_GB2312" w:hAnsi="仿宋_GB2312" w:eastAsia="仿宋_GB2312" w:cs="仿宋_GB2312"/>
          <w:sz w:val="32"/>
          <w:szCs w:val="32"/>
        </w:rPr>
        <w:t>支出</w:t>
      </w:r>
      <w:r>
        <w:rPr>
          <w:rFonts w:hint="eastAsia" w:ascii="仿宋_GB2312" w:hAnsi="仿宋_GB2312" w:eastAsia="仿宋_GB2312" w:cs="仿宋_GB2312"/>
          <w:sz w:val="32"/>
          <w:szCs w:val="32"/>
          <w:lang w:val="en-US" w:eastAsia="zh-CN"/>
        </w:rPr>
        <w:t>15.18万元，公务员医疗补助</w:t>
      </w:r>
      <w:r>
        <w:rPr>
          <w:rFonts w:hint="eastAsia" w:ascii="仿宋_GB2312" w:hAnsi="仿宋_GB2312" w:eastAsia="仿宋_GB2312" w:cs="仿宋_GB2312"/>
          <w:sz w:val="32"/>
          <w:szCs w:val="32"/>
        </w:rPr>
        <w:t>支出</w:t>
      </w:r>
      <w:r>
        <w:rPr>
          <w:rFonts w:hint="eastAsia" w:ascii="仿宋_GB2312" w:hAnsi="仿宋_GB2312" w:eastAsia="仿宋_GB2312" w:cs="仿宋_GB2312"/>
          <w:sz w:val="32"/>
          <w:szCs w:val="32"/>
          <w:lang w:val="en-US" w:eastAsia="zh-CN"/>
        </w:rPr>
        <w:t>18.140305万元，通信设备、计算机及其他电子设备制造业</w:t>
      </w:r>
      <w:r>
        <w:rPr>
          <w:rFonts w:hint="eastAsia" w:ascii="仿宋_GB2312" w:hAnsi="仿宋_GB2312" w:eastAsia="仿宋_GB2312" w:cs="仿宋_GB2312"/>
          <w:sz w:val="32"/>
          <w:szCs w:val="32"/>
        </w:rPr>
        <w:t>支出</w:t>
      </w:r>
      <w:r>
        <w:rPr>
          <w:rFonts w:hint="eastAsia" w:ascii="仿宋_GB2312" w:hAnsi="仿宋_GB2312" w:eastAsia="仿宋_GB2312" w:cs="仿宋_GB2312"/>
          <w:sz w:val="32"/>
          <w:szCs w:val="32"/>
          <w:lang w:val="en-US" w:eastAsia="zh-CN"/>
        </w:rPr>
        <w:t>800万元，住房公积金</w:t>
      </w:r>
      <w:r>
        <w:rPr>
          <w:rFonts w:hint="eastAsia" w:ascii="仿宋_GB2312" w:hAnsi="仿宋_GB2312" w:eastAsia="仿宋_GB2312" w:cs="仿宋_GB2312"/>
          <w:sz w:val="32"/>
          <w:szCs w:val="32"/>
        </w:rPr>
        <w:t>支出</w:t>
      </w:r>
      <w:r>
        <w:rPr>
          <w:rFonts w:hint="eastAsia" w:ascii="仿宋_GB2312" w:hAnsi="仿宋_GB2312" w:eastAsia="仿宋_GB2312" w:cs="仿宋_GB2312"/>
          <w:sz w:val="32"/>
          <w:szCs w:val="32"/>
          <w:lang w:val="en-US" w:eastAsia="zh-CN"/>
        </w:rPr>
        <w:t>73.9589万元。</w:t>
      </w:r>
    </w:p>
    <w:p>
      <w:pPr>
        <w:keepNext w:val="0"/>
        <w:keepLines w:val="0"/>
        <w:pageBreakBefore w:val="0"/>
        <w:widowControl w:val="0"/>
        <w:kinsoku/>
        <w:wordWrap/>
        <w:overflowPunct/>
        <w:topLinePunct w:val="0"/>
        <w:autoSpaceDE/>
        <w:autoSpaceDN/>
        <w:bidi w:val="0"/>
        <w:spacing w:line="560" w:lineRule="exact"/>
        <w:ind w:firstLine="642"/>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 xml:space="preserve">部门整体支出管理及使用情况 </w:t>
      </w:r>
    </w:p>
    <w:p>
      <w:pPr>
        <w:keepNext w:val="0"/>
        <w:keepLines w:val="0"/>
        <w:pageBreakBefore w:val="0"/>
        <w:widowControl w:val="0"/>
        <w:kinsoku/>
        <w:wordWrap/>
        <w:overflowPunct/>
        <w:topLinePunct w:val="0"/>
        <w:autoSpaceDE/>
        <w:autoSpaceDN/>
        <w:bidi w:val="0"/>
        <w:spacing w:line="560" w:lineRule="exac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基本支出情况</w:t>
      </w:r>
    </w:p>
    <w:p>
      <w:pPr>
        <w:keepNext w:val="0"/>
        <w:keepLines w:val="0"/>
        <w:pageBreakBefore w:val="0"/>
        <w:widowControl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21</w:t>
      </w:r>
      <w:r>
        <w:rPr>
          <w:rFonts w:hint="eastAsia" w:ascii="仿宋_GB2312" w:hAnsi="仿宋_GB2312" w:eastAsia="仿宋_GB2312" w:cs="仿宋_GB2312"/>
          <w:sz w:val="32"/>
          <w:szCs w:val="32"/>
        </w:rPr>
        <w:t>年基本支出为</w:t>
      </w:r>
      <w:r>
        <w:rPr>
          <w:rFonts w:hint="eastAsia" w:ascii="仿宋_GB2312" w:hAnsi="仿宋_GB2312" w:eastAsia="仿宋_GB2312" w:cs="仿宋_GB2312"/>
          <w:sz w:val="32"/>
          <w:szCs w:val="32"/>
          <w:lang w:val="en-US" w:eastAsia="zh-CN"/>
        </w:rPr>
        <w:t>784.1895</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其中</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人员经费为</w:t>
      </w:r>
      <w:r>
        <w:rPr>
          <w:rFonts w:hint="eastAsia" w:ascii="仿宋_GB2312" w:hAnsi="仿宋_GB2312" w:eastAsia="仿宋_GB2312" w:cs="仿宋_GB2312"/>
          <w:sz w:val="32"/>
          <w:szCs w:val="32"/>
          <w:lang w:val="en-US" w:eastAsia="zh-CN"/>
        </w:rPr>
        <w:t>686.180619</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日常公用经费为</w:t>
      </w:r>
      <w:r>
        <w:rPr>
          <w:rFonts w:hint="eastAsia" w:ascii="仿宋_GB2312" w:hAnsi="仿宋_GB2312" w:eastAsia="仿宋_GB2312" w:cs="仿宋_GB2312"/>
          <w:sz w:val="32"/>
          <w:szCs w:val="32"/>
          <w:lang w:val="en-US" w:eastAsia="zh-CN"/>
        </w:rPr>
        <w:t>98.008881</w:t>
      </w:r>
      <w:r>
        <w:rPr>
          <w:rFonts w:hint="eastAsia" w:ascii="仿宋_GB2312" w:hAnsi="仿宋_GB2312" w:eastAsia="仿宋_GB2312" w:cs="仿宋_GB2312"/>
          <w:sz w:val="32"/>
          <w:szCs w:val="32"/>
        </w:rPr>
        <w:t>万元。 </w:t>
      </w:r>
    </w:p>
    <w:p>
      <w:pPr>
        <w:keepNext w:val="0"/>
        <w:keepLines w:val="0"/>
        <w:pageBreakBefore w:val="0"/>
        <w:widowControl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 xml:space="preserve">项目支出情况 </w:t>
      </w:r>
    </w:p>
    <w:p>
      <w:pPr>
        <w:keepNext w:val="0"/>
        <w:keepLines w:val="0"/>
        <w:pageBreakBefore w:val="0"/>
        <w:widowControl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2021</w:t>
      </w:r>
      <w:r>
        <w:rPr>
          <w:rFonts w:hint="eastAsia" w:ascii="仿宋_GB2312" w:hAnsi="仿宋_GB2312" w:eastAsia="仿宋_GB2312" w:cs="仿宋_GB2312"/>
          <w:sz w:val="32"/>
          <w:szCs w:val="32"/>
        </w:rPr>
        <w:t>年项目支出为</w:t>
      </w:r>
      <w:r>
        <w:rPr>
          <w:rFonts w:hint="eastAsia" w:ascii="仿宋_GB2312" w:hAnsi="仿宋_GB2312" w:eastAsia="仿宋_GB2312" w:cs="仿宋_GB2312"/>
          <w:sz w:val="32"/>
          <w:szCs w:val="32"/>
          <w:lang w:val="en-US" w:eastAsia="zh-CN"/>
        </w:rPr>
        <w:t>5336.534416</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即</w:t>
      </w:r>
      <w:r>
        <w:rPr>
          <w:rFonts w:hint="eastAsia" w:ascii="仿宋_GB2312" w:hAnsi="仿宋_GB2312" w:eastAsia="仿宋_GB2312" w:cs="仿宋_GB2312"/>
          <w:sz w:val="32"/>
          <w:szCs w:val="32"/>
          <w:lang w:val="en-US" w:eastAsia="zh-CN"/>
        </w:rPr>
        <w:t>一般行政管理事务</w:t>
      </w:r>
      <w:r>
        <w:rPr>
          <w:rFonts w:hint="eastAsia" w:ascii="仿宋_GB2312" w:hAnsi="仿宋_GB2312" w:eastAsia="仿宋_GB2312" w:cs="仿宋_GB2312"/>
          <w:sz w:val="32"/>
          <w:szCs w:val="32"/>
        </w:rPr>
        <w:t>支出</w:t>
      </w:r>
      <w:r>
        <w:rPr>
          <w:rFonts w:hint="eastAsia" w:ascii="仿宋_GB2312" w:hAnsi="仿宋_GB2312" w:eastAsia="仿宋_GB2312" w:cs="仿宋_GB2312"/>
          <w:sz w:val="32"/>
          <w:szCs w:val="32"/>
          <w:lang w:val="en-US" w:eastAsia="zh-CN"/>
        </w:rPr>
        <w:t>3176.043316万元，其他政府办公厅（室）及相关机构事务</w:t>
      </w:r>
      <w:r>
        <w:rPr>
          <w:rFonts w:hint="eastAsia" w:ascii="仿宋_GB2312" w:hAnsi="仿宋_GB2312" w:eastAsia="仿宋_GB2312" w:cs="仿宋_GB2312"/>
          <w:sz w:val="32"/>
          <w:szCs w:val="32"/>
        </w:rPr>
        <w:t>支出</w:t>
      </w:r>
      <w:r>
        <w:rPr>
          <w:rFonts w:hint="eastAsia" w:ascii="仿宋_GB2312" w:hAnsi="仿宋_GB2312" w:eastAsia="仿宋_GB2312" w:cs="仿宋_GB2312"/>
          <w:sz w:val="32"/>
          <w:szCs w:val="32"/>
          <w:lang w:val="en-US" w:eastAsia="zh-CN"/>
        </w:rPr>
        <w:t>1360.4911万元，通信设备、计算机及其他电子设备制造业</w:t>
      </w:r>
      <w:r>
        <w:rPr>
          <w:rFonts w:hint="eastAsia" w:ascii="仿宋_GB2312" w:hAnsi="仿宋_GB2312" w:eastAsia="仿宋_GB2312" w:cs="仿宋_GB2312"/>
          <w:sz w:val="32"/>
          <w:szCs w:val="32"/>
        </w:rPr>
        <w:t>支出</w:t>
      </w:r>
      <w:r>
        <w:rPr>
          <w:rFonts w:hint="eastAsia" w:ascii="仿宋_GB2312" w:hAnsi="仿宋_GB2312" w:eastAsia="仿宋_GB2312" w:cs="仿宋_GB2312"/>
          <w:sz w:val="32"/>
          <w:szCs w:val="32"/>
          <w:lang w:val="en-US" w:eastAsia="zh-CN"/>
        </w:rPr>
        <w:t>800万元。</w:t>
      </w:r>
    </w:p>
    <w:p>
      <w:pPr>
        <w:keepNext w:val="0"/>
        <w:keepLines w:val="0"/>
        <w:pageBreakBefore w:val="0"/>
        <w:widowControl w:val="0"/>
        <w:numPr>
          <w:ilvl w:val="0"/>
          <w:numId w:val="0"/>
        </w:numPr>
        <w:kinsoku/>
        <w:wordWrap/>
        <w:overflowPunct/>
        <w:topLinePunct w:val="0"/>
        <w:autoSpaceDE/>
        <w:autoSpaceDN/>
        <w:bidi w:val="0"/>
        <w:spacing w:line="560" w:lineRule="exact"/>
        <w:ind w:left="642" w:leftChars="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 xml:space="preserve">“三公”经费情况 </w:t>
      </w:r>
    </w:p>
    <w:p>
      <w:pPr>
        <w:keepNext w:val="0"/>
        <w:keepLines w:val="0"/>
        <w:pageBreakBefore w:val="0"/>
        <w:widowControl w:val="0"/>
        <w:numPr>
          <w:ilvl w:val="0"/>
          <w:numId w:val="0"/>
        </w:numPr>
        <w:kinsoku/>
        <w:wordWrap/>
        <w:overflowPunct/>
        <w:topLinePunct w:val="0"/>
        <w:autoSpaceDE/>
        <w:autoSpaceDN/>
        <w:bidi w:val="0"/>
        <w:spacing w:line="560" w:lineRule="exact"/>
        <w:ind w:left="0" w:leftChars="0"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因公出国</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费</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本单位20</w:t>
      </w:r>
      <w:r>
        <w:rPr>
          <w:rFonts w:hint="eastAsia" w:ascii="仿宋_GB2312" w:hAnsi="仿宋_GB2312" w:eastAsia="仿宋_GB2312" w:cs="仿宋_GB2312"/>
          <w:sz w:val="32"/>
          <w:szCs w:val="32"/>
          <w:lang w:val="en-US" w:eastAsia="zh-CN"/>
        </w:rPr>
        <w:t>21</w:t>
      </w:r>
      <w:r>
        <w:rPr>
          <w:rFonts w:hint="eastAsia" w:ascii="仿宋_GB2312" w:hAnsi="仿宋_GB2312" w:eastAsia="仿宋_GB2312" w:cs="仿宋_GB2312"/>
          <w:sz w:val="32"/>
          <w:szCs w:val="32"/>
        </w:rPr>
        <w:t xml:space="preserve">年无因公出国(境)费。 </w:t>
      </w:r>
    </w:p>
    <w:p>
      <w:pPr>
        <w:keepNext w:val="0"/>
        <w:keepLines w:val="0"/>
        <w:pageBreakBefore w:val="0"/>
        <w:widowControl w:val="0"/>
        <w:kinsoku/>
        <w:wordWrap/>
        <w:overflowPunct/>
        <w:topLinePunct w:val="0"/>
        <w:autoSpaceDE/>
        <w:autoSpaceDN/>
        <w:bidi w:val="0"/>
        <w:spacing w:line="560" w:lineRule="exact"/>
        <w:ind w:firstLine="640" w:firstLineChars="200"/>
        <w:rPr>
          <w:rFonts w:hint="eastAsia" w:ascii="仿宋_GB2312" w:hAnsi="仿宋_GB2312" w:eastAsia="仿宋_GB2312" w:cs="仿宋_GB2312"/>
          <w:lang w:val="en-US" w:eastAsia="zh-CN"/>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公务用车购置及运行费</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公务用车运行费支出20</w:t>
      </w:r>
      <w:r>
        <w:rPr>
          <w:rFonts w:hint="eastAsia" w:ascii="仿宋_GB2312" w:hAnsi="仿宋_GB2312" w:eastAsia="仿宋_GB2312" w:cs="仿宋_GB2312"/>
          <w:sz w:val="32"/>
          <w:szCs w:val="32"/>
          <w:lang w:val="en-US" w:eastAsia="zh-CN"/>
        </w:rPr>
        <w:t>21</w:t>
      </w:r>
      <w:r>
        <w:rPr>
          <w:rFonts w:hint="eastAsia" w:ascii="仿宋_GB2312" w:hAnsi="仿宋_GB2312" w:eastAsia="仿宋_GB2312" w:cs="仿宋_GB2312"/>
          <w:sz w:val="32"/>
          <w:szCs w:val="32"/>
        </w:rPr>
        <w:t>年决算数为</w:t>
      </w:r>
      <w:r>
        <w:rPr>
          <w:rFonts w:hint="eastAsia" w:ascii="仿宋_GB2312" w:hAnsi="仿宋_GB2312" w:eastAsia="仿宋_GB2312" w:cs="仿宋_GB2312"/>
          <w:sz w:val="32"/>
          <w:szCs w:val="32"/>
          <w:lang w:val="en-US" w:eastAsia="zh-CN"/>
        </w:rPr>
        <w:t>1.450953</w:t>
      </w: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万元。</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b/>
          <w:bCs/>
          <w:sz w:val="32"/>
          <w:szCs w:val="32"/>
          <w:lang w:eastAsia="zh-CN"/>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公务接待费</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本单位20</w:t>
      </w:r>
      <w:r>
        <w:rPr>
          <w:rFonts w:hint="eastAsia" w:ascii="仿宋_GB2312" w:hAnsi="仿宋_GB2312" w:eastAsia="仿宋_GB2312" w:cs="仿宋_GB2312"/>
          <w:sz w:val="32"/>
          <w:szCs w:val="32"/>
          <w:lang w:val="en-US" w:eastAsia="zh-CN"/>
        </w:rPr>
        <w:t>21</w:t>
      </w:r>
      <w:r>
        <w:rPr>
          <w:rFonts w:hint="eastAsia" w:ascii="仿宋_GB2312" w:hAnsi="仿宋_GB2312" w:eastAsia="仿宋_GB2312" w:cs="仿宋_GB2312"/>
          <w:sz w:val="32"/>
          <w:szCs w:val="32"/>
        </w:rPr>
        <w:t>年无公务接待费支出。</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3" w:firstLineChars="200"/>
        <w:textAlignment w:val="auto"/>
        <w:outlineLvl w:val="9"/>
        <w:rPr>
          <w:rFonts w:hint="eastAsia" w:ascii="仿宋_GB2312" w:hAnsi="仿宋_GB2312" w:eastAsia="仿宋_GB2312" w:cs="仿宋_GB2312"/>
          <w:b/>
          <w:bCs/>
          <w:sz w:val="32"/>
          <w:szCs w:val="32"/>
          <w:lang w:eastAsia="zh-CN"/>
        </w:rPr>
      </w:pPr>
      <w:r>
        <w:rPr>
          <w:rFonts w:hint="eastAsia" w:ascii="仿宋_GB2312" w:hAnsi="仿宋_GB2312" w:eastAsia="仿宋_GB2312" w:cs="仿宋_GB2312"/>
          <w:b/>
          <w:bCs/>
          <w:sz w:val="32"/>
          <w:szCs w:val="32"/>
          <w:lang w:eastAsia="zh-CN"/>
        </w:rPr>
        <w:t>（三）部门整体支出绩效目标、指标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outlineLvl w:val="1"/>
        <w:rPr>
          <w:rFonts w:hint="eastAsia" w:ascii="仿宋_GB2312" w:hAnsi="仿宋_GB2312" w:eastAsia="仿宋_GB2312" w:cs="仿宋_GB2312"/>
          <w:sz w:val="32"/>
          <w:szCs w:val="32"/>
        </w:rPr>
      </w:pPr>
      <w:bookmarkStart w:id="0" w:name="_Toc63763256"/>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总体绩效目标</w:t>
      </w:r>
      <w:bookmarkEnd w:id="0"/>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TC 总体绩效目标 \f A \l 1 </w:instrText>
      </w:r>
      <w:r>
        <w:rPr>
          <w:rFonts w:hint="eastAsia" w:ascii="仿宋_GB2312" w:hAnsi="仿宋_GB2312" w:eastAsia="仿宋_GB2312" w:cs="仿宋_GB2312"/>
          <w:sz w:val="32"/>
          <w:szCs w:val="32"/>
        </w:rPr>
        <w:fldChar w:fldCharType="end"/>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2021年，深入贯彻习近平新时代中国特色社会主义思想特别是以党的十九届五中全会精神为指导，在市委、市政府领导下，坚持目标导向、问题导向、重点导向，进一步解放思想、强化担当，瞄准全年任务目标靶向，从三个方面下功夫，精准发力不跑偏，持续发力不减压。持续推进“政务数据归集和应用”项目建设，实现信息共享、数据互通，加强政务数据开放和共享平台的推广使用，市本级部门业务系统政务数据归集率超过95%，对部门政务数据共享需求按时响应率达到100%。保障全市政务网络安全运行，确保网络和业务系统运行稳定、通畅、安全，持续提升政府网站工作效率和应用系统协同办公效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outlineLvl w:val="1"/>
        <w:rPr>
          <w:rFonts w:hint="eastAsia" w:ascii="仿宋_GB2312" w:hAnsi="仿宋_GB2312" w:eastAsia="仿宋_GB2312" w:cs="仿宋_GB2312"/>
          <w:sz w:val="32"/>
          <w:szCs w:val="32"/>
        </w:rPr>
      </w:pPr>
      <w:bookmarkStart w:id="1" w:name="_Toc63763257"/>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分项绩效目标</w:t>
      </w:r>
      <w:bookmarkEnd w:id="1"/>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TC 分项绩效目标 \f A \l 1 </w:instrText>
      </w:r>
      <w:r>
        <w:rPr>
          <w:rFonts w:hint="eastAsia" w:ascii="仿宋_GB2312" w:hAnsi="仿宋_GB2312" w:eastAsia="仿宋_GB2312" w:cs="仿宋_GB2312"/>
          <w:sz w:val="32"/>
          <w:szCs w:val="32"/>
        </w:rPr>
        <w:fldChar w:fldCharType="end"/>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）政务数据归集和应用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我局将继续紧扣“系统化提升、高质量发展”主线，激发“数据归集与应用”新动能，本着整合资源、促进共享、强化安全的原则，持续推进政务数据的开放和共享，实现信息共享、数据互通。完善政务数据资源支撑体系建设，推进与国家和省数据共享交换平台对接，持续建立各部门间数据交换共享实时通道，构建全市统一、多级互联的数据开放共享平台，实现数据“一次打通，统一流转、按需共享、可控调用”。强化政务数据归集和治理，持续做好数据交换共享平台的建设管理和数据归集工作的组织协调，以需求为导向，做好政务数据资源维护和更新，保持数据流通和鲜活，进一步充实完善城市基础数据库。在做好政务云需求研判及顶层设计基础上，对现有政务云平台进行必要的优化建设。同时，继续推动各部门系统上云，促进资源整合、系统互通等集约化建设，提升我市政务云建设和应用水平，提高新型智慧城市建设的基础支撑能力。</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加强政务数据开放和共享平台的推广使用力度，不断提高平台的知名度和影响力，大力推进政务数据开放和共享，市本级部门业务系统政务数据归集率超过95%，对部门政务数据共享需求按时响应率达到100%。</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建立政务数据开放共享管理机制，制发管理办法，明确工作流程，完善标准规范体系。提升政务云基础服务和集约化部署能力，完成不少于20个业务系统迁云部署。进一步落实中央关于加快数字“新基建”建设要求，提升我市新一代信息化、智能化基础设施水平。</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）信息化项目督导推进</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按照国家及省市相关规定，结合我市情况，充分考虑实际业务需求，积极推动协助业务主管部门统筹规划建设跨部门的信息化项目，推进信息共享和业务协同。完善各项管理制度，加强信息化项目建设过程中中后期的督导推进，注重效果评价及应用总结。</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组织全市使用市级财政资金的新建信息化项目的申报、审核、评审论证及入库，保障全市90%以上使用市级财政资金的新建信息化项目审核评审，节约财政资金比例大于20%。</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根据《石家庄市市本级数字化项目督导推进工作方案》，对安排的信息化项目进行全面督导检查，内容包括是否完成项目既定建设内容、实现预期建设效果、数据资源共享利用情况。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）政府网站和应用系统工作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绩效目标：通过多种形式推进政府与公众进行互动交流、推动全市政府网站服务水平迈上新台阶；做好办公应用系统功能完善工作，提升应用系统协同办公效率。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电子政务外网及我局电子政务网络关键基础设施进行安全风险排查和安全渗透测试，计划组织等保测评，针对三级等保测评中发现的安全隐患，进行整改，安全隐患排除率超过95%，确保网络和业务系统运行稳定、通畅、安全。加强政府网站信息发布，及时发布市委、市政府重要会议、活动，政策法规及解读、应急和热点事件的回应等信息，从偏重信息发布向推动公开、互动、办事三位一体均衡发展转变，年录入信息条数超过20000条。政民互动成效显著，对常见咨询类留言1个工作日内答复，一般留言5个工作日内答复，不断提高网民留言办理效率和质量，处理答复率超过90%，提升群众满意度。保障原有办公应用系统顺利运行，对政府部门提出的系统问题及时处理，及早解决,解决率超过90%。</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二、自评工作</w:t>
      </w:r>
      <w:r>
        <w:rPr>
          <w:rFonts w:hint="eastAsia" w:ascii="黑体" w:hAnsi="黑体" w:eastAsia="黑体"/>
          <w:sz w:val="32"/>
          <w:szCs w:val="32"/>
          <w:lang w:eastAsia="zh-CN"/>
        </w:rPr>
        <w:t>开展</w:t>
      </w:r>
      <w:r>
        <w:rPr>
          <w:rFonts w:hint="eastAsia" w:ascii="黑体" w:hAnsi="黑体" w:eastAsia="黑体"/>
          <w:sz w:val="32"/>
          <w:szCs w:val="32"/>
        </w:rPr>
        <w:t>情况</w:t>
      </w:r>
    </w:p>
    <w:p>
      <w:pPr>
        <w:keepNext w:val="0"/>
        <w:keepLines w:val="0"/>
        <w:pageBreakBefore w:val="0"/>
        <w:widowControl w:val="0"/>
        <w:kinsoku/>
        <w:wordWrap/>
        <w:overflowPunct/>
        <w:topLinePunct w:val="0"/>
        <w:autoSpaceDE/>
        <w:autoSpaceDN/>
        <w:bidi w:val="0"/>
        <w:spacing w:line="560" w:lineRule="exact"/>
        <w:ind w:left="0" w:leftChars="0" w:right="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b/>
          <w:bCs/>
          <w:sz w:val="32"/>
          <w:szCs w:val="32"/>
        </w:rPr>
        <w:t>（一）自评的组织工作</w:t>
      </w:r>
    </w:p>
    <w:p>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为保证绩效评价工作顺利开展，我局成立</w:t>
      </w:r>
      <w:r>
        <w:rPr>
          <w:rFonts w:hint="eastAsia" w:ascii="仿宋_GB2312" w:hAnsi="仿宋_GB2312" w:eastAsia="仿宋_GB2312" w:cs="仿宋_GB2312"/>
          <w:sz w:val="32"/>
          <w:szCs w:val="32"/>
          <w:lang w:eastAsia="zh-CN"/>
        </w:rPr>
        <w:t>了</w:t>
      </w:r>
      <w:r>
        <w:rPr>
          <w:rFonts w:hint="eastAsia" w:ascii="仿宋_GB2312" w:hAnsi="仿宋_GB2312" w:eastAsia="仿宋_GB2312" w:cs="仿宋_GB2312"/>
          <w:sz w:val="32"/>
          <w:szCs w:val="32"/>
        </w:rPr>
        <w:t>预算绩效</w:t>
      </w:r>
      <w:r>
        <w:rPr>
          <w:rFonts w:hint="eastAsia" w:ascii="仿宋_GB2312" w:hAnsi="仿宋_GB2312" w:eastAsia="仿宋_GB2312" w:cs="仿宋_GB2312"/>
          <w:sz w:val="32"/>
          <w:szCs w:val="32"/>
          <w:lang w:val="en-US" w:eastAsia="zh-CN"/>
        </w:rPr>
        <w:t>评价</w:t>
      </w:r>
      <w:r>
        <w:rPr>
          <w:rFonts w:hint="eastAsia" w:ascii="仿宋_GB2312" w:hAnsi="仿宋_GB2312" w:eastAsia="仿宋_GB2312" w:cs="仿宋_GB2312"/>
          <w:sz w:val="32"/>
          <w:szCs w:val="32"/>
        </w:rPr>
        <w:t>工作领导小组</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负责绩效评价的组织管理工作。</w:t>
      </w:r>
    </w:p>
    <w:p>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组长</w:t>
      </w:r>
      <w:r>
        <w:rPr>
          <w:rFonts w:hint="eastAsia" w:ascii="仿宋_GB2312" w:hAnsi="仿宋_GB2312" w:eastAsia="仿宋_GB2312" w:cs="仿宋_GB2312"/>
          <w:sz w:val="32"/>
          <w:szCs w:val="32"/>
          <w:lang w:eastAsia="zh-CN"/>
        </w:rPr>
        <w:t>：崔英民</w:t>
      </w:r>
      <w:r>
        <w:rPr>
          <w:rFonts w:hint="eastAsia" w:ascii="仿宋_GB2312" w:hAnsi="仿宋_GB2312" w:eastAsia="仿宋_GB2312" w:cs="仿宋_GB2312"/>
          <w:sz w:val="32"/>
          <w:szCs w:val="32"/>
        </w:rPr>
        <w:t>为组长</w:t>
      </w:r>
    </w:p>
    <w:p>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小组成员：</w:t>
      </w:r>
      <w:r>
        <w:rPr>
          <w:rFonts w:hint="eastAsia" w:ascii="仿宋_GB2312" w:hAnsi="仿宋_GB2312" w:eastAsia="仿宋_GB2312" w:cs="仿宋_GB2312"/>
          <w:sz w:val="32"/>
          <w:szCs w:val="32"/>
          <w:lang w:eastAsia="zh-CN"/>
        </w:rPr>
        <w:t>郭杰、朱晓军、耿磊、李双芹、连芳、王红芳、刘凯</w:t>
      </w:r>
    </w:p>
    <w:p>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outlineLvl w:val="9"/>
        <w:rPr>
          <w:rFonts w:hint="eastAsia" w:ascii="仿宋_GB2312" w:hAnsi="仿宋_GB2312" w:eastAsia="仿宋_GB2312" w:cs="仿宋_GB2312"/>
        </w:rPr>
      </w:pPr>
      <w:r>
        <w:rPr>
          <w:rFonts w:hint="eastAsia" w:ascii="仿宋_GB2312" w:hAnsi="仿宋_GB2312" w:eastAsia="仿宋_GB2312" w:cs="仿宋_GB2312"/>
          <w:sz w:val="32"/>
          <w:szCs w:val="32"/>
          <w:lang w:val="en-US" w:eastAsia="zh-CN"/>
        </w:rPr>
        <w:t>工作领导小组办公室设在局办公室，郭杰任办公室主任，成员包括程晓伟、孟倩、董韬，负责预算绩效自评的编制实施和其他</w:t>
      </w:r>
      <w:r>
        <w:rPr>
          <w:rFonts w:hint="eastAsia" w:ascii="仿宋_GB2312" w:hAnsi="仿宋_GB2312" w:eastAsia="仿宋_GB2312" w:cs="仿宋_GB2312"/>
          <w:sz w:val="32"/>
          <w:szCs w:val="32"/>
          <w:highlight w:val="none"/>
          <w:lang w:val="en-US" w:eastAsia="zh-CN"/>
        </w:rPr>
        <w:t>日常</w:t>
      </w:r>
      <w:r>
        <w:rPr>
          <w:rFonts w:hint="eastAsia" w:ascii="仿宋_GB2312" w:hAnsi="仿宋_GB2312" w:eastAsia="仿宋_GB2312" w:cs="仿宋_GB2312"/>
          <w:sz w:val="32"/>
          <w:szCs w:val="32"/>
          <w:lang w:val="en-US" w:eastAsia="zh-CN"/>
        </w:rPr>
        <w:t>事务。</w:t>
      </w:r>
    </w:p>
    <w:p>
      <w:pPr>
        <w:keepNext w:val="0"/>
        <w:keepLines w:val="0"/>
        <w:pageBreakBefore w:val="0"/>
        <w:widowControl w:val="0"/>
        <w:kinsoku/>
        <w:wordWrap/>
        <w:overflowPunct/>
        <w:topLinePunct w:val="0"/>
        <w:autoSpaceDE/>
        <w:autoSpaceDN/>
        <w:bidi w:val="0"/>
        <w:spacing w:line="560" w:lineRule="exact"/>
        <w:ind w:left="0" w:leftChars="0" w:right="0" w:rightChars="0" w:firstLine="643" w:firstLineChars="200"/>
        <w:outlineLvl w:val="9"/>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（二）自评的方法和过程</w:t>
      </w:r>
    </w:p>
    <w:p>
      <w:pPr>
        <w:keepNext w:val="0"/>
        <w:keepLines w:val="0"/>
        <w:pageBreakBefore w:val="0"/>
        <w:widowControl w:val="0"/>
        <w:kinsoku/>
        <w:wordWrap/>
        <w:overflowPunct/>
        <w:topLinePunct w:val="0"/>
        <w:autoSpaceDE/>
        <w:autoSpaceDN/>
        <w:bidi w:val="0"/>
        <w:spacing w:line="560" w:lineRule="exact"/>
        <w:ind w:left="0" w:leftChars="0" w:right="0" w:rightChars="0" w:firstLine="643" w:firstLineChars="200"/>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b/>
          <w:bCs/>
          <w:sz w:val="32"/>
          <w:szCs w:val="32"/>
          <w:lang w:val="en-US" w:eastAsia="zh-CN"/>
        </w:rPr>
        <w:t>1.</w:t>
      </w:r>
      <w:r>
        <w:rPr>
          <w:rFonts w:hint="eastAsia" w:ascii="仿宋_GB2312" w:hAnsi="仿宋_GB2312" w:eastAsia="仿宋_GB2312" w:cs="仿宋_GB2312"/>
          <w:b/>
          <w:bCs/>
          <w:sz w:val="32"/>
          <w:szCs w:val="32"/>
        </w:rPr>
        <w:t>自评方法</w:t>
      </w:r>
    </w:p>
    <w:p>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outlineLvl w:val="9"/>
        <w:rPr>
          <w:rFonts w:hint="eastAsia" w:ascii="仿宋_GB2312" w:hAnsi="仿宋_GB2312" w:eastAsia="仿宋_GB2312" w:cs="仿宋_GB2312"/>
          <w:b/>
          <w:bCs/>
          <w:sz w:val="32"/>
          <w:szCs w:val="32"/>
        </w:rPr>
      </w:pPr>
      <w:r>
        <w:rPr>
          <w:rFonts w:hint="eastAsia" w:ascii="仿宋_GB2312" w:hAnsi="仿宋_GB2312" w:eastAsia="仿宋_GB2312" w:cs="仿宋_GB2312"/>
          <w:color w:val="000000"/>
          <w:sz w:val="32"/>
          <w:szCs w:val="32"/>
        </w:rPr>
        <w:t>本次评价根据问题导向、系统评价、科学客观、讲求绩效的原则，采用</w:t>
      </w:r>
      <w:r>
        <w:rPr>
          <w:rFonts w:hint="eastAsia" w:ascii="仿宋_GB2312" w:hAnsi="仿宋_GB2312" w:eastAsia="仿宋_GB2312" w:cs="仿宋_GB2312"/>
          <w:color w:val="000000"/>
          <w:sz w:val="32"/>
          <w:szCs w:val="32"/>
          <w:lang w:val="en-US" w:eastAsia="zh-CN"/>
        </w:rPr>
        <w:t>专项项目评价和重点项目</w:t>
      </w:r>
      <w:r>
        <w:rPr>
          <w:rFonts w:hint="eastAsia" w:ascii="仿宋_GB2312" w:hAnsi="仿宋_GB2312" w:eastAsia="仿宋_GB2312" w:cs="仿宋_GB2312"/>
          <w:color w:val="000000"/>
          <w:sz w:val="32"/>
          <w:szCs w:val="32"/>
        </w:rPr>
        <w:t>评价相结合、现场评价和非现场评价相结合、定性分析与定量分析相结合的方式，</w:t>
      </w:r>
      <w:r>
        <w:rPr>
          <w:rFonts w:hint="eastAsia" w:ascii="仿宋_GB2312" w:hAnsi="仿宋_GB2312" w:eastAsia="仿宋_GB2312" w:cs="仿宋_GB2312"/>
          <w:color w:val="000000"/>
          <w:sz w:val="32"/>
          <w:szCs w:val="32"/>
          <w:lang w:val="en-US" w:eastAsia="zh-CN"/>
        </w:rPr>
        <w:t>通过资料收集</w:t>
      </w:r>
      <w:r>
        <w:rPr>
          <w:rFonts w:hint="eastAsia" w:ascii="仿宋_GB2312" w:hAnsi="仿宋_GB2312" w:eastAsia="仿宋_GB2312" w:cs="仿宋_GB2312"/>
          <w:color w:val="000000"/>
          <w:sz w:val="32"/>
          <w:szCs w:val="32"/>
        </w:rPr>
        <w:t>、座谈访谈</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lang w:val="en-US" w:eastAsia="zh-CN"/>
        </w:rPr>
        <w:t>数据分析和指标对比</w:t>
      </w:r>
      <w:r>
        <w:rPr>
          <w:rFonts w:hint="eastAsia" w:ascii="仿宋_GB2312" w:hAnsi="仿宋_GB2312" w:eastAsia="仿宋_GB2312" w:cs="仿宋_GB2312"/>
          <w:color w:val="000000"/>
          <w:sz w:val="32"/>
          <w:szCs w:val="32"/>
        </w:rPr>
        <w:t>等</w:t>
      </w:r>
      <w:r>
        <w:rPr>
          <w:rFonts w:hint="eastAsia" w:ascii="仿宋_GB2312" w:hAnsi="仿宋_GB2312" w:eastAsia="仿宋_GB2312" w:cs="仿宋_GB2312"/>
          <w:color w:val="000000"/>
          <w:sz w:val="32"/>
          <w:szCs w:val="32"/>
          <w:lang w:val="en-US" w:eastAsia="zh-CN"/>
        </w:rPr>
        <w:t>方式综合运用目标评价法、比较法、因素分析法和综合评判等</w:t>
      </w:r>
      <w:r>
        <w:rPr>
          <w:rFonts w:hint="eastAsia" w:ascii="仿宋_GB2312" w:hAnsi="仿宋_GB2312" w:eastAsia="仿宋_GB2312" w:cs="仿宋_GB2312"/>
          <w:color w:val="000000"/>
          <w:sz w:val="32"/>
          <w:szCs w:val="32"/>
        </w:rPr>
        <w:t>方法，对</w:t>
      </w:r>
      <w:r>
        <w:rPr>
          <w:rFonts w:hint="eastAsia" w:ascii="仿宋_GB2312" w:hAnsi="仿宋_GB2312" w:eastAsia="仿宋_GB2312" w:cs="仿宋_GB2312"/>
          <w:color w:val="000000"/>
          <w:sz w:val="32"/>
          <w:szCs w:val="32"/>
          <w:lang w:val="en-US" w:eastAsia="zh-CN"/>
        </w:rPr>
        <w:t>部门整体支出绩效</w:t>
      </w:r>
      <w:r>
        <w:rPr>
          <w:rFonts w:hint="eastAsia" w:ascii="仿宋_GB2312" w:hAnsi="仿宋_GB2312" w:eastAsia="仿宋_GB2312" w:cs="仿宋_GB2312"/>
          <w:color w:val="000000"/>
          <w:sz w:val="32"/>
          <w:szCs w:val="32"/>
        </w:rPr>
        <w:t>进行综合评价。</w:t>
      </w:r>
    </w:p>
    <w:p>
      <w:pPr>
        <w:keepNext w:val="0"/>
        <w:keepLines w:val="0"/>
        <w:pageBreakBefore w:val="0"/>
        <w:widowControl w:val="0"/>
        <w:kinsoku/>
        <w:wordWrap/>
        <w:overflowPunct/>
        <w:topLinePunct w:val="0"/>
        <w:autoSpaceDE/>
        <w:autoSpaceDN/>
        <w:bidi w:val="0"/>
        <w:spacing w:line="560" w:lineRule="exact"/>
        <w:ind w:left="0" w:leftChars="0" w:right="0" w:rightChars="0" w:firstLine="643" w:firstLineChars="200"/>
        <w:outlineLvl w:val="9"/>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2.</w:t>
      </w:r>
      <w:r>
        <w:rPr>
          <w:rFonts w:hint="eastAsia" w:ascii="仿宋_GB2312" w:hAnsi="仿宋_GB2312" w:eastAsia="仿宋_GB2312" w:cs="仿宋_GB2312"/>
          <w:b/>
          <w:bCs/>
          <w:sz w:val="32"/>
          <w:szCs w:val="32"/>
        </w:rPr>
        <w:t>实施过程</w:t>
      </w:r>
    </w:p>
    <w:p>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本次</w:t>
      </w:r>
      <w:r>
        <w:rPr>
          <w:rFonts w:hint="eastAsia" w:ascii="仿宋_GB2312" w:hAnsi="仿宋_GB2312" w:eastAsia="仿宋_GB2312" w:cs="仿宋_GB2312"/>
          <w:sz w:val="32"/>
          <w:szCs w:val="32"/>
          <w:lang w:val="en-US" w:eastAsia="zh-CN"/>
        </w:rPr>
        <w:t>自评</w:t>
      </w:r>
      <w:r>
        <w:rPr>
          <w:rFonts w:hint="eastAsia" w:ascii="仿宋_GB2312" w:hAnsi="仿宋_GB2312" w:eastAsia="仿宋_GB2312" w:cs="仿宋_GB2312"/>
          <w:sz w:val="32"/>
          <w:szCs w:val="32"/>
        </w:rPr>
        <w:t>工作过程包括前期准备、组织实施、撰写评价报告三个阶段。</w:t>
      </w:r>
    </w:p>
    <w:p>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前期准备</w:t>
      </w:r>
    </w:p>
    <w:p>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首先按照</w:t>
      </w:r>
      <w:r>
        <w:rPr>
          <w:rFonts w:hint="eastAsia" w:ascii="仿宋_GB2312" w:hAnsi="仿宋_GB2312" w:eastAsia="仿宋_GB2312" w:cs="仿宋_GB2312"/>
          <w:sz w:val="32"/>
          <w:szCs w:val="32"/>
          <w:lang w:val="en-US" w:eastAsia="zh-CN"/>
        </w:rPr>
        <w:t>财政局自评工作通知的</w:t>
      </w:r>
      <w:r>
        <w:rPr>
          <w:rFonts w:hint="eastAsia" w:ascii="仿宋_GB2312" w:hAnsi="仿宋_GB2312" w:eastAsia="仿宋_GB2312" w:cs="仿宋_GB2312"/>
          <w:sz w:val="32"/>
          <w:szCs w:val="32"/>
        </w:rPr>
        <w:t>要求，明确绩效评价的内容和范围，初步制定绩效评价工作方案</w:t>
      </w:r>
      <w:r>
        <w:rPr>
          <w:rFonts w:hint="eastAsia" w:ascii="仿宋_GB2312" w:hAnsi="仿宋_GB2312" w:eastAsia="仿宋_GB2312" w:cs="仿宋_GB2312"/>
          <w:sz w:val="32"/>
          <w:szCs w:val="32"/>
          <w:lang w:eastAsia="zh-CN"/>
        </w:rPr>
        <w:t>。其次</w:t>
      </w:r>
      <w:r>
        <w:rPr>
          <w:rFonts w:hint="eastAsia" w:ascii="仿宋_GB2312" w:hAnsi="仿宋_GB2312" w:eastAsia="仿宋_GB2312" w:cs="仿宋_GB2312"/>
          <w:sz w:val="32"/>
          <w:szCs w:val="32"/>
        </w:rPr>
        <w:t>是对我</w:t>
      </w:r>
      <w:r>
        <w:rPr>
          <w:rFonts w:hint="eastAsia" w:ascii="仿宋_GB2312" w:hAnsi="仿宋_GB2312" w:eastAsia="仿宋_GB2312" w:cs="仿宋_GB2312"/>
          <w:sz w:val="32"/>
          <w:szCs w:val="32"/>
          <w:lang w:eastAsia="zh-CN"/>
        </w:rPr>
        <w:t>局</w:t>
      </w:r>
      <w:r>
        <w:rPr>
          <w:rFonts w:hint="eastAsia" w:ascii="仿宋_GB2312" w:hAnsi="仿宋_GB2312" w:eastAsia="仿宋_GB2312" w:cs="仿宋_GB2312"/>
          <w:sz w:val="32"/>
          <w:szCs w:val="32"/>
        </w:rPr>
        <w:t>各预算</w:t>
      </w:r>
      <w:r>
        <w:rPr>
          <w:rFonts w:hint="eastAsia" w:ascii="仿宋_GB2312" w:hAnsi="仿宋_GB2312" w:eastAsia="仿宋_GB2312" w:cs="仿宋_GB2312"/>
          <w:sz w:val="32"/>
          <w:szCs w:val="32"/>
          <w:lang w:eastAsia="zh-CN"/>
        </w:rPr>
        <w:t>专项</w:t>
      </w:r>
      <w:r>
        <w:rPr>
          <w:rFonts w:hint="eastAsia" w:ascii="仿宋_GB2312" w:hAnsi="仿宋_GB2312" w:eastAsia="仿宋_GB2312" w:cs="仿宋_GB2312"/>
          <w:sz w:val="32"/>
          <w:szCs w:val="32"/>
        </w:rPr>
        <w:t>项目单独进行打分自评，在资料搜集、信息核实、现场调研、访谈沟通等工作的基础上，挖掘绩效数据，拟定项目产出、项目执行、项目效益等指标体系，评判各项目实施后产生的经济效益、生态效益、社会效益和可持续</w:t>
      </w:r>
      <w:r>
        <w:rPr>
          <w:rFonts w:hint="eastAsia" w:ascii="仿宋_GB2312" w:hAnsi="仿宋_GB2312" w:eastAsia="仿宋_GB2312" w:cs="仿宋_GB2312"/>
          <w:sz w:val="32"/>
          <w:szCs w:val="32"/>
          <w:lang w:eastAsia="zh-CN"/>
        </w:rPr>
        <w:t>影</w:t>
      </w:r>
      <w:r>
        <w:rPr>
          <w:rFonts w:hint="eastAsia" w:ascii="仿宋_GB2312" w:hAnsi="仿宋_GB2312" w:eastAsia="仿宋_GB2312" w:cs="仿宋_GB2312"/>
          <w:sz w:val="32"/>
          <w:szCs w:val="32"/>
        </w:rPr>
        <w:t>响，形成</w:t>
      </w:r>
      <w:r>
        <w:rPr>
          <w:rFonts w:hint="eastAsia" w:ascii="仿宋_GB2312" w:hAnsi="仿宋_GB2312" w:eastAsia="仿宋_GB2312" w:cs="仿宋_GB2312"/>
          <w:sz w:val="32"/>
          <w:szCs w:val="32"/>
          <w:lang w:val="en-US" w:eastAsia="zh-CN"/>
        </w:rPr>
        <w:t>初步方案</w:t>
      </w:r>
      <w:r>
        <w:rPr>
          <w:rFonts w:hint="eastAsia" w:ascii="仿宋_GB2312" w:hAnsi="仿宋_GB2312" w:eastAsia="仿宋_GB2312" w:cs="仿宋_GB2312"/>
          <w:sz w:val="32"/>
          <w:szCs w:val="32"/>
        </w:rPr>
        <w:t>。</w:t>
      </w:r>
    </w:p>
    <w:p>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组织实施</w:t>
      </w:r>
    </w:p>
    <w:p>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评价工作小组对</w:t>
      </w:r>
      <w:r>
        <w:rPr>
          <w:rFonts w:hint="eastAsia" w:ascii="仿宋_GB2312" w:hAnsi="仿宋_GB2312" w:eastAsia="仿宋_GB2312" w:cs="仿宋_GB2312"/>
          <w:sz w:val="32"/>
          <w:szCs w:val="32"/>
          <w:lang w:val="en-US" w:eastAsia="zh-CN"/>
        </w:rPr>
        <w:t>本部门</w:t>
      </w:r>
      <w:r>
        <w:rPr>
          <w:rFonts w:hint="eastAsia" w:ascii="仿宋_GB2312" w:hAnsi="仿宋_GB2312" w:eastAsia="仿宋_GB2312" w:cs="仿宋_GB2312"/>
          <w:sz w:val="32"/>
          <w:szCs w:val="32"/>
        </w:rPr>
        <w:t>年度</w:t>
      </w:r>
      <w:r>
        <w:rPr>
          <w:rFonts w:hint="eastAsia" w:ascii="仿宋_GB2312" w:hAnsi="仿宋_GB2312" w:eastAsia="仿宋_GB2312" w:cs="仿宋_GB2312"/>
          <w:sz w:val="32"/>
          <w:szCs w:val="32"/>
          <w:lang w:val="en-US" w:eastAsia="zh-CN"/>
        </w:rPr>
        <w:t>整体支出</w:t>
      </w:r>
      <w:r>
        <w:rPr>
          <w:rFonts w:hint="eastAsia" w:ascii="仿宋_GB2312" w:hAnsi="仿宋_GB2312" w:eastAsia="仿宋_GB2312" w:cs="仿宋_GB2312"/>
          <w:sz w:val="32"/>
          <w:szCs w:val="32"/>
        </w:rPr>
        <w:t>的相关资料进行收集、梳理。首先，通过分析、核实，确保所收集的数据和资料真实、可靠。其次，逐一梳理各</w:t>
      </w:r>
      <w:r>
        <w:rPr>
          <w:rFonts w:hint="eastAsia" w:ascii="仿宋_GB2312" w:hAnsi="仿宋_GB2312" w:eastAsia="仿宋_GB2312" w:cs="仿宋_GB2312"/>
          <w:sz w:val="32"/>
          <w:szCs w:val="32"/>
          <w:lang w:eastAsia="zh-CN"/>
        </w:rPr>
        <w:t>项目</w:t>
      </w:r>
      <w:r>
        <w:rPr>
          <w:rFonts w:hint="eastAsia" w:ascii="仿宋_GB2312" w:hAnsi="仿宋_GB2312" w:eastAsia="仿宋_GB2312" w:cs="仿宋_GB2312"/>
          <w:sz w:val="32"/>
          <w:szCs w:val="32"/>
        </w:rPr>
        <w:t>文件内容，</w:t>
      </w:r>
      <w:r>
        <w:rPr>
          <w:rFonts w:hint="eastAsia" w:ascii="仿宋_GB2312" w:hAnsi="仿宋_GB2312" w:eastAsia="仿宋_GB2312" w:cs="仿宋_GB2312"/>
          <w:sz w:val="32"/>
          <w:szCs w:val="32"/>
          <w:lang w:val="en-US" w:eastAsia="zh-CN"/>
        </w:rPr>
        <w:t>审核数据，对比绩效指标，</w:t>
      </w:r>
      <w:r>
        <w:rPr>
          <w:rFonts w:hint="eastAsia" w:ascii="仿宋_GB2312" w:hAnsi="仿宋_GB2312" w:eastAsia="仿宋_GB2312" w:cs="仿宋_GB2312"/>
          <w:sz w:val="32"/>
          <w:szCs w:val="32"/>
        </w:rPr>
        <w:t>形成</w:t>
      </w:r>
      <w:r>
        <w:rPr>
          <w:rFonts w:hint="eastAsia" w:ascii="仿宋_GB2312" w:hAnsi="仿宋_GB2312" w:eastAsia="仿宋_GB2312" w:cs="仿宋_GB2312"/>
          <w:sz w:val="32"/>
          <w:szCs w:val="32"/>
          <w:lang w:val="en-US" w:eastAsia="zh-CN"/>
        </w:rPr>
        <w:t>评价资料</w:t>
      </w:r>
      <w:r>
        <w:rPr>
          <w:rFonts w:hint="eastAsia" w:ascii="仿宋_GB2312" w:hAnsi="仿宋_GB2312" w:eastAsia="仿宋_GB2312" w:cs="仿宋_GB2312"/>
          <w:sz w:val="32"/>
          <w:szCs w:val="32"/>
        </w:rPr>
        <w:t>清单</w:t>
      </w:r>
      <w:r>
        <w:rPr>
          <w:rFonts w:hint="eastAsia" w:ascii="仿宋_GB2312" w:hAnsi="仿宋_GB2312" w:eastAsia="仿宋_GB2312" w:cs="仿宋_GB2312"/>
          <w:sz w:val="32"/>
          <w:szCs w:val="32"/>
          <w:lang w:eastAsia="zh-CN"/>
        </w:rPr>
        <w:t>，并对存在的问题及时标注出来</w:t>
      </w:r>
      <w:r>
        <w:rPr>
          <w:rFonts w:hint="eastAsia" w:ascii="仿宋_GB2312" w:hAnsi="仿宋_GB2312" w:eastAsia="仿宋_GB2312" w:cs="仿宋_GB2312"/>
          <w:sz w:val="32"/>
          <w:szCs w:val="32"/>
        </w:rPr>
        <w:t>。最后，与</w:t>
      </w:r>
      <w:r>
        <w:rPr>
          <w:rFonts w:hint="eastAsia" w:ascii="仿宋_GB2312" w:hAnsi="仿宋_GB2312" w:eastAsia="仿宋_GB2312" w:cs="仿宋_GB2312"/>
          <w:sz w:val="32"/>
          <w:szCs w:val="32"/>
          <w:lang w:val="en-US" w:eastAsia="zh-CN"/>
        </w:rPr>
        <w:t>各个</w:t>
      </w:r>
      <w:r>
        <w:rPr>
          <w:rFonts w:hint="eastAsia" w:ascii="仿宋_GB2312" w:hAnsi="仿宋_GB2312" w:eastAsia="仿宋_GB2312" w:cs="仿宋_GB2312"/>
          <w:sz w:val="32"/>
          <w:szCs w:val="32"/>
          <w:lang w:eastAsia="zh-CN"/>
        </w:rPr>
        <w:t>项目负责</w:t>
      </w:r>
      <w:r>
        <w:rPr>
          <w:rFonts w:hint="eastAsia" w:ascii="仿宋_GB2312" w:hAnsi="仿宋_GB2312" w:eastAsia="仿宋_GB2312" w:cs="仿宋_GB2312"/>
          <w:sz w:val="32"/>
          <w:szCs w:val="32"/>
          <w:lang w:val="en-US" w:eastAsia="zh-CN"/>
        </w:rPr>
        <w:t>科室</w:t>
      </w:r>
      <w:r>
        <w:rPr>
          <w:rFonts w:hint="eastAsia" w:ascii="仿宋_GB2312" w:hAnsi="仿宋_GB2312" w:eastAsia="仿宋_GB2312" w:cs="仿宋_GB2312"/>
          <w:sz w:val="32"/>
          <w:szCs w:val="32"/>
        </w:rPr>
        <w:t>沟通，直接对照资料清单进行核实，随时</w:t>
      </w:r>
      <w:r>
        <w:rPr>
          <w:rFonts w:hint="eastAsia" w:ascii="仿宋_GB2312" w:hAnsi="仿宋_GB2312" w:eastAsia="仿宋_GB2312" w:cs="仿宋_GB2312"/>
          <w:sz w:val="32"/>
          <w:szCs w:val="32"/>
          <w:lang w:eastAsia="zh-CN"/>
        </w:rPr>
        <w:t>处理标</w:t>
      </w:r>
      <w:r>
        <w:rPr>
          <w:rFonts w:hint="eastAsia" w:ascii="仿宋_GB2312" w:hAnsi="仿宋_GB2312" w:eastAsia="仿宋_GB2312" w:cs="仿宋_GB2312"/>
          <w:sz w:val="32"/>
          <w:szCs w:val="32"/>
        </w:rPr>
        <w:t>注</w:t>
      </w:r>
      <w:r>
        <w:rPr>
          <w:rFonts w:hint="eastAsia" w:ascii="仿宋_GB2312" w:hAnsi="仿宋_GB2312" w:eastAsia="仿宋_GB2312" w:cs="仿宋_GB2312"/>
          <w:sz w:val="32"/>
          <w:szCs w:val="32"/>
          <w:lang w:eastAsia="zh-CN"/>
        </w:rPr>
        <w:t>的</w:t>
      </w:r>
      <w:r>
        <w:rPr>
          <w:rFonts w:hint="eastAsia" w:ascii="仿宋_GB2312" w:hAnsi="仿宋_GB2312" w:eastAsia="仿宋_GB2312" w:cs="仿宋_GB2312"/>
          <w:sz w:val="32"/>
          <w:szCs w:val="32"/>
        </w:rPr>
        <w:t>问题，确保已提交</w:t>
      </w:r>
      <w:r>
        <w:rPr>
          <w:rFonts w:hint="eastAsia" w:ascii="仿宋_GB2312" w:hAnsi="仿宋_GB2312" w:eastAsia="仿宋_GB2312" w:cs="仿宋_GB2312"/>
          <w:sz w:val="32"/>
          <w:szCs w:val="32"/>
          <w:lang w:eastAsia="zh-CN"/>
        </w:rPr>
        <w:t>及需补充的</w:t>
      </w:r>
      <w:r>
        <w:rPr>
          <w:rFonts w:hint="eastAsia" w:ascii="仿宋_GB2312" w:hAnsi="仿宋_GB2312" w:eastAsia="仿宋_GB2312" w:cs="仿宋_GB2312"/>
          <w:sz w:val="32"/>
          <w:szCs w:val="32"/>
        </w:rPr>
        <w:t>资料</w:t>
      </w:r>
      <w:r>
        <w:rPr>
          <w:rFonts w:hint="eastAsia" w:ascii="仿宋_GB2312" w:hAnsi="仿宋_GB2312" w:eastAsia="仿宋_GB2312" w:cs="仿宋_GB2312"/>
          <w:sz w:val="32"/>
          <w:szCs w:val="32"/>
          <w:lang w:eastAsia="zh-CN"/>
        </w:rPr>
        <w:t>能准确反映项目绩效目标实现情况</w:t>
      </w:r>
      <w:r>
        <w:rPr>
          <w:rFonts w:hint="eastAsia" w:ascii="仿宋_GB2312" w:hAnsi="仿宋_GB2312" w:eastAsia="仿宋_GB2312" w:cs="仿宋_GB2312"/>
          <w:sz w:val="32"/>
          <w:szCs w:val="32"/>
        </w:rPr>
        <w:t>。</w:t>
      </w:r>
    </w:p>
    <w:p>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撰写绩效评价报告</w:t>
      </w:r>
    </w:p>
    <w:p>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outlineLvl w:val="9"/>
        <w:rPr>
          <w:rFonts w:hint="eastAsia" w:ascii="仿宋_GB2312" w:hAnsi="仿宋_GB2312" w:eastAsia="仿宋_GB2312" w:cs="仿宋_GB2312"/>
          <w:b/>
          <w:bCs/>
          <w:sz w:val="32"/>
          <w:szCs w:val="32"/>
        </w:rPr>
      </w:pPr>
      <w:r>
        <w:rPr>
          <w:rFonts w:hint="eastAsia" w:ascii="仿宋_GB2312" w:hAnsi="仿宋_GB2312" w:eastAsia="仿宋_GB2312" w:cs="仿宋_GB2312"/>
          <w:sz w:val="32"/>
          <w:szCs w:val="32"/>
        </w:rPr>
        <w:t>小组成员在对收集</w:t>
      </w:r>
      <w:r>
        <w:rPr>
          <w:rFonts w:hint="eastAsia" w:ascii="仿宋_GB2312" w:hAnsi="仿宋_GB2312" w:eastAsia="仿宋_GB2312" w:cs="仿宋_GB2312"/>
          <w:sz w:val="32"/>
          <w:szCs w:val="32"/>
          <w:lang w:eastAsia="zh-CN"/>
        </w:rPr>
        <w:t>到</w:t>
      </w:r>
      <w:r>
        <w:rPr>
          <w:rFonts w:hint="eastAsia" w:ascii="仿宋_GB2312" w:hAnsi="仿宋_GB2312" w:eastAsia="仿宋_GB2312" w:cs="仿宋_GB2312"/>
          <w:sz w:val="32"/>
          <w:szCs w:val="32"/>
        </w:rPr>
        <w:t>的</w:t>
      </w:r>
      <w:r>
        <w:rPr>
          <w:rFonts w:hint="eastAsia" w:ascii="仿宋_GB2312" w:hAnsi="仿宋_GB2312" w:eastAsia="仿宋_GB2312" w:cs="仿宋_GB2312"/>
          <w:sz w:val="32"/>
          <w:szCs w:val="32"/>
          <w:lang w:eastAsia="zh-CN"/>
        </w:rPr>
        <w:t>项目</w:t>
      </w:r>
      <w:r>
        <w:rPr>
          <w:rFonts w:hint="eastAsia" w:ascii="仿宋_GB2312" w:hAnsi="仿宋_GB2312" w:eastAsia="仿宋_GB2312" w:cs="仿宋_GB2312"/>
          <w:sz w:val="32"/>
          <w:szCs w:val="32"/>
        </w:rPr>
        <w:t>数据、资料进行核对、比较、计算的基础上，</w:t>
      </w:r>
      <w:r>
        <w:rPr>
          <w:rFonts w:hint="eastAsia" w:ascii="仿宋_GB2312" w:hAnsi="仿宋_GB2312" w:eastAsia="仿宋_GB2312" w:cs="仿宋_GB2312"/>
          <w:sz w:val="32"/>
          <w:szCs w:val="32"/>
          <w:lang w:val="en-US" w:eastAsia="zh-CN"/>
        </w:rPr>
        <w:t>同时审核部门整体支出与预算支出计划相符性，结合各个项目指标完成数据和评价结论并进行归集汇总，审核评价部门整体绩效目标和分项目标的完成情况。</w:t>
      </w:r>
      <w:r>
        <w:rPr>
          <w:rFonts w:hint="eastAsia" w:ascii="仿宋_GB2312" w:hAnsi="仿宋_GB2312" w:eastAsia="仿宋_GB2312" w:cs="仿宋_GB2312"/>
          <w:sz w:val="32"/>
          <w:szCs w:val="32"/>
        </w:rPr>
        <w:t>对比年</w:t>
      </w:r>
      <w:r>
        <w:rPr>
          <w:rFonts w:hint="eastAsia" w:ascii="仿宋_GB2312" w:hAnsi="仿宋_GB2312" w:eastAsia="仿宋_GB2312" w:cs="仿宋_GB2312"/>
          <w:sz w:val="32"/>
          <w:szCs w:val="32"/>
          <w:lang w:eastAsia="zh-CN"/>
        </w:rPr>
        <w:t>初</w:t>
      </w:r>
      <w:r>
        <w:rPr>
          <w:rFonts w:hint="eastAsia" w:ascii="仿宋_GB2312" w:hAnsi="仿宋_GB2312" w:eastAsia="仿宋_GB2312" w:cs="仿宋_GB2312"/>
          <w:sz w:val="32"/>
          <w:szCs w:val="32"/>
          <w:lang w:val="en-US" w:eastAsia="zh-CN"/>
        </w:rPr>
        <w:t>部门</w:t>
      </w:r>
      <w:r>
        <w:rPr>
          <w:rFonts w:hint="eastAsia" w:ascii="仿宋_GB2312" w:hAnsi="仿宋_GB2312" w:eastAsia="仿宋_GB2312" w:cs="仿宋_GB2312"/>
          <w:sz w:val="32"/>
          <w:szCs w:val="32"/>
        </w:rPr>
        <w:t>绩效目标，形成评价结论；根据</w:t>
      </w:r>
      <w:r>
        <w:rPr>
          <w:rFonts w:hint="eastAsia" w:ascii="仿宋_GB2312" w:hAnsi="仿宋_GB2312" w:eastAsia="仿宋_GB2312" w:cs="仿宋_GB2312"/>
          <w:sz w:val="32"/>
          <w:szCs w:val="32"/>
          <w:lang w:eastAsia="zh-CN"/>
        </w:rPr>
        <w:t>结</w:t>
      </w:r>
      <w:r>
        <w:rPr>
          <w:rFonts w:hint="eastAsia" w:ascii="仿宋_GB2312" w:hAnsi="仿宋_GB2312" w:eastAsia="仿宋_GB2312" w:cs="仿宋_GB2312"/>
          <w:sz w:val="32"/>
          <w:szCs w:val="32"/>
        </w:rPr>
        <w:t>论，撰写</w:t>
      </w:r>
      <w:r>
        <w:rPr>
          <w:rFonts w:hint="eastAsia" w:ascii="仿宋_GB2312" w:hAnsi="仿宋_GB2312" w:eastAsia="仿宋_GB2312" w:cs="仿宋_GB2312"/>
          <w:sz w:val="32"/>
          <w:szCs w:val="32"/>
          <w:lang w:val="en-US" w:eastAsia="zh-CN"/>
        </w:rPr>
        <w:t>部门整体支出</w:t>
      </w:r>
      <w:r>
        <w:rPr>
          <w:rFonts w:hint="eastAsia" w:ascii="仿宋_GB2312" w:hAnsi="仿宋_GB2312" w:eastAsia="仿宋_GB2312" w:cs="仿宋_GB2312"/>
          <w:sz w:val="32"/>
          <w:szCs w:val="32"/>
        </w:rPr>
        <w:t>绩效评价报告。</w:t>
      </w:r>
    </w:p>
    <w:p>
      <w:pPr>
        <w:keepNext w:val="0"/>
        <w:keepLines w:val="0"/>
        <w:pageBreakBefore w:val="0"/>
        <w:widowControl w:val="0"/>
        <w:kinsoku/>
        <w:wordWrap/>
        <w:overflowPunct/>
        <w:topLinePunct w:val="0"/>
        <w:autoSpaceDE/>
        <w:autoSpaceDN/>
        <w:bidi w:val="0"/>
        <w:spacing w:line="560" w:lineRule="exact"/>
        <w:ind w:left="0" w:leftChars="0" w:right="0"/>
        <w:textAlignment w:val="auto"/>
        <w:outlineLvl w:val="9"/>
        <w:rPr>
          <w:rFonts w:hint="eastAsia" w:ascii="黑体" w:hAnsi="黑体" w:eastAsia="黑体"/>
          <w:b/>
          <w:bCs/>
          <w:sz w:val="32"/>
          <w:szCs w:val="32"/>
          <w:lang w:eastAsia="zh-CN"/>
        </w:rPr>
      </w:pPr>
      <w:r>
        <w:rPr>
          <w:rFonts w:hint="eastAsia" w:ascii="仿宋" w:hAnsi="仿宋" w:eastAsia="仿宋" w:cs="楷体_GB2312"/>
          <w:b/>
          <w:bCs/>
          <w:sz w:val="32"/>
          <w:szCs w:val="32"/>
        </w:rPr>
        <w:t xml:space="preserve">    </w:t>
      </w:r>
      <w:r>
        <w:rPr>
          <w:rFonts w:hint="eastAsia" w:ascii="仿宋" w:hAnsi="仿宋" w:eastAsia="仿宋"/>
          <w:b/>
          <w:bCs/>
          <w:sz w:val="32"/>
          <w:szCs w:val="32"/>
        </w:rPr>
        <w:t xml:space="preserve"> </w:t>
      </w:r>
      <w:r>
        <w:rPr>
          <w:rFonts w:hint="eastAsia" w:ascii="黑体" w:hAnsi="黑体" w:eastAsia="黑体"/>
          <w:sz w:val="32"/>
          <w:szCs w:val="32"/>
        </w:rPr>
        <w:t>三、</w:t>
      </w:r>
      <w:r>
        <w:rPr>
          <w:rFonts w:hint="eastAsia" w:ascii="黑体" w:hAnsi="黑体" w:eastAsia="黑体"/>
          <w:sz w:val="32"/>
          <w:szCs w:val="32"/>
          <w:lang w:eastAsia="zh-CN"/>
        </w:rPr>
        <w:t>部门整体支出</w:t>
      </w:r>
      <w:r>
        <w:rPr>
          <w:rFonts w:hint="eastAsia" w:ascii="黑体" w:hAnsi="黑体" w:eastAsia="黑体"/>
          <w:sz w:val="32"/>
          <w:szCs w:val="32"/>
        </w:rPr>
        <w:t>绩效</w:t>
      </w:r>
      <w:r>
        <w:rPr>
          <w:rFonts w:hint="eastAsia" w:ascii="黑体" w:hAnsi="黑体" w:eastAsia="黑体"/>
          <w:sz w:val="32"/>
          <w:szCs w:val="32"/>
          <w:lang w:eastAsia="zh-CN"/>
        </w:rPr>
        <w:t>目标实现情况及指标分析</w:t>
      </w:r>
    </w:p>
    <w:p>
      <w:pPr>
        <w:keepNext w:val="0"/>
        <w:keepLines w:val="0"/>
        <w:pageBreakBefore w:val="0"/>
        <w:widowControl w:val="0"/>
        <w:numPr>
          <w:ilvl w:val="0"/>
          <w:numId w:val="0"/>
        </w:numPr>
        <w:kinsoku/>
        <w:wordWrap/>
        <w:overflowPunct/>
        <w:topLinePunct w:val="0"/>
        <w:autoSpaceDE/>
        <w:autoSpaceDN/>
        <w:bidi w:val="0"/>
        <w:spacing w:line="560" w:lineRule="exact"/>
        <w:ind w:right="0" w:rightChars="0" w:firstLine="643" w:firstLineChars="200"/>
        <w:textAlignment w:val="auto"/>
        <w:outlineLvl w:val="9"/>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lang w:val="en-US" w:eastAsia="zh-CN"/>
        </w:rPr>
        <w:t>一</w:t>
      </w:r>
      <w:r>
        <w:rPr>
          <w:rFonts w:hint="eastAsia" w:ascii="仿宋_GB2312" w:hAnsi="仿宋_GB2312" w:eastAsia="仿宋_GB2312" w:cs="仿宋_GB2312"/>
          <w:b/>
          <w:bCs/>
          <w:sz w:val="32"/>
          <w:szCs w:val="32"/>
          <w:lang w:eastAsia="zh-CN"/>
        </w:rPr>
        <w:t>）总体绩效目标实现情况</w:t>
      </w:r>
    </w:p>
    <w:p>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outlineLvl w:val="9"/>
        <w:rPr>
          <w:rFonts w:hint="eastAsia" w:ascii="仿宋_GB2312" w:hAnsi="仿宋_GB2312" w:eastAsia="仿宋_GB2312" w:cs="仿宋_GB2312"/>
          <w:lang w:eastAsia="zh-CN"/>
        </w:rPr>
      </w:pPr>
      <w:r>
        <w:rPr>
          <w:rFonts w:hint="eastAsia" w:ascii="仿宋_GB2312" w:hAnsi="仿宋_GB2312" w:eastAsia="仿宋_GB2312" w:cs="仿宋_GB2312"/>
          <w:sz w:val="32"/>
          <w:szCs w:val="32"/>
          <w:lang w:val="en-US" w:eastAsia="zh-CN"/>
        </w:rPr>
        <w:t>2021</w:t>
      </w:r>
      <w:r>
        <w:rPr>
          <w:rFonts w:hint="eastAsia" w:ascii="仿宋_GB2312" w:hAnsi="仿宋_GB2312" w:eastAsia="仿宋_GB2312" w:cs="仿宋_GB2312"/>
          <w:sz w:val="32"/>
          <w:szCs w:val="32"/>
        </w:rPr>
        <w:t>年，新冠肺炎疫情</w:t>
      </w:r>
      <w:r>
        <w:rPr>
          <w:rFonts w:hint="eastAsia" w:ascii="仿宋_GB2312" w:hAnsi="仿宋_GB2312" w:eastAsia="仿宋_GB2312" w:cs="仿宋_GB2312"/>
          <w:sz w:val="32"/>
          <w:szCs w:val="32"/>
          <w:lang w:val="en-US" w:eastAsia="zh-CN"/>
        </w:rPr>
        <w:t>依然严峻</w:t>
      </w:r>
      <w:r>
        <w:rPr>
          <w:rFonts w:hint="eastAsia" w:ascii="仿宋_GB2312" w:hAnsi="仿宋_GB2312" w:eastAsia="仿宋_GB2312" w:cs="仿宋_GB2312"/>
          <w:sz w:val="32"/>
          <w:szCs w:val="32"/>
        </w:rPr>
        <w:t>，市</w:t>
      </w:r>
      <w:r>
        <w:rPr>
          <w:rFonts w:hint="eastAsia" w:ascii="仿宋_GB2312" w:hAnsi="仿宋_GB2312" w:eastAsia="仿宋_GB2312" w:cs="仿宋_GB2312"/>
          <w:sz w:val="32"/>
          <w:szCs w:val="32"/>
          <w:lang w:eastAsia="zh-CN"/>
        </w:rPr>
        <w:t>数据资源管理局</w:t>
      </w:r>
      <w:r>
        <w:rPr>
          <w:rFonts w:hint="eastAsia" w:ascii="仿宋_GB2312" w:hAnsi="仿宋_GB2312" w:eastAsia="仿宋_GB2312" w:cs="仿宋_GB2312"/>
          <w:sz w:val="32"/>
          <w:szCs w:val="32"/>
        </w:rPr>
        <w:t>在</w:t>
      </w:r>
      <w:r>
        <w:rPr>
          <w:rFonts w:hint="eastAsia" w:ascii="仿宋_GB2312" w:hAnsi="仿宋_GB2312" w:eastAsia="仿宋_GB2312" w:cs="仿宋_GB2312"/>
          <w:sz w:val="32"/>
          <w:szCs w:val="32"/>
          <w:lang w:eastAsia="zh-CN"/>
        </w:rPr>
        <w:t>市</w:t>
      </w:r>
      <w:r>
        <w:rPr>
          <w:rFonts w:hint="eastAsia" w:ascii="仿宋_GB2312" w:hAnsi="仿宋_GB2312" w:eastAsia="仿宋_GB2312" w:cs="仿宋_GB2312"/>
          <w:sz w:val="32"/>
          <w:szCs w:val="32"/>
        </w:rPr>
        <w:t>委、</w:t>
      </w:r>
      <w:r>
        <w:rPr>
          <w:rFonts w:hint="eastAsia" w:ascii="仿宋_GB2312" w:hAnsi="仿宋_GB2312" w:eastAsia="仿宋_GB2312" w:cs="仿宋_GB2312"/>
          <w:sz w:val="32"/>
          <w:szCs w:val="32"/>
          <w:lang w:eastAsia="zh-CN"/>
        </w:rPr>
        <w:t>市</w:t>
      </w:r>
      <w:r>
        <w:rPr>
          <w:rFonts w:hint="eastAsia" w:ascii="仿宋_GB2312" w:hAnsi="仿宋_GB2312" w:eastAsia="仿宋_GB2312" w:cs="仿宋_GB2312"/>
          <w:sz w:val="32"/>
          <w:szCs w:val="32"/>
        </w:rPr>
        <w:t>政府的坚强领导下，坚持以习近平新时代中国特色社会主义思想为指导，深入贯彻落实习近平总书记在中央统筹推进新冠肺炎疫情防控和经济社会发展工作部署会上的重要讲话精神，在坚定不移地做好疫情防控</w:t>
      </w:r>
      <w:r>
        <w:rPr>
          <w:rFonts w:hint="eastAsia" w:ascii="仿宋_GB2312" w:hAnsi="仿宋_GB2312" w:eastAsia="仿宋_GB2312" w:cs="仿宋_GB2312"/>
          <w:sz w:val="32"/>
          <w:szCs w:val="32"/>
          <w:lang w:eastAsia="zh-CN"/>
        </w:rPr>
        <w:t>常态化</w:t>
      </w:r>
      <w:r>
        <w:rPr>
          <w:rFonts w:hint="eastAsia" w:ascii="仿宋_GB2312" w:hAnsi="仿宋_GB2312" w:eastAsia="仿宋_GB2312" w:cs="仿宋_GB2312"/>
          <w:sz w:val="32"/>
          <w:szCs w:val="32"/>
        </w:rPr>
        <w:t>工作的同时，统筹推进石家庄市“新型智慧城市”总体</w:t>
      </w:r>
      <w:r>
        <w:rPr>
          <w:rFonts w:hint="eastAsia" w:ascii="仿宋_GB2312" w:hAnsi="仿宋_GB2312" w:eastAsia="仿宋_GB2312" w:cs="仿宋_GB2312"/>
          <w:sz w:val="32"/>
          <w:szCs w:val="32"/>
          <w:lang w:eastAsia="zh-CN"/>
        </w:rPr>
        <w:t>布局</w:t>
      </w:r>
      <w:r>
        <w:rPr>
          <w:rFonts w:hint="eastAsia" w:ascii="仿宋_GB2312" w:hAnsi="仿宋_GB2312" w:eastAsia="仿宋_GB2312" w:cs="仿宋_GB2312"/>
          <w:sz w:val="32"/>
          <w:szCs w:val="32"/>
        </w:rPr>
        <w:t>，持续推进“政务数据归集和应用”项目建设，实现信息共享、数据互通，加强政务数据开放和共享平台的推广使用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坚持稳中求进、进中求好、补齐短板工作基调，较好地完成了各项工作</w:t>
      </w:r>
      <w:r>
        <w:rPr>
          <w:rFonts w:hint="eastAsia" w:ascii="仿宋_GB2312" w:hAnsi="仿宋_GB2312" w:eastAsia="仿宋_GB2312" w:cs="仿宋_GB2312"/>
          <w:sz w:val="32"/>
          <w:szCs w:val="32"/>
          <w:lang w:eastAsia="zh-CN"/>
        </w:rPr>
        <w:t>全年</w:t>
      </w:r>
      <w:r>
        <w:rPr>
          <w:rFonts w:hint="eastAsia" w:ascii="仿宋_GB2312" w:hAnsi="仿宋_GB2312" w:eastAsia="仿宋_GB2312" w:cs="仿宋_GB2312"/>
          <w:sz w:val="32"/>
          <w:szCs w:val="32"/>
        </w:rPr>
        <w:t>任务。</w:t>
      </w:r>
      <w:r>
        <w:rPr>
          <w:rFonts w:hint="eastAsia" w:ascii="仿宋_GB2312" w:hAnsi="仿宋_GB2312" w:eastAsia="仿宋_GB2312" w:cs="仿宋_GB2312"/>
          <w:sz w:val="32"/>
          <w:szCs w:val="32"/>
          <w:lang w:val="en-US" w:eastAsia="zh-CN"/>
        </w:rPr>
        <w:t>经过一年的工作</w:t>
      </w:r>
      <w:r>
        <w:rPr>
          <w:rFonts w:hint="eastAsia" w:ascii="仿宋_GB2312" w:hAnsi="仿宋_GB2312" w:eastAsia="仿宋_GB2312" w:cs="仿宋_GB2312"/>
          <w:sz w:val="32"/>
          <w:szCs w:val="32"/>
          <w:highlight w:val="none"/>
          <w:lang w:val="en-US" w:eastAsia="zh-CN"/>
        </w:rPr>
        <w:t>，</w:t>
      </w:r>
      <w:r>
        <w:rPr>
          <w:rFonts w:hint="eastAsia" w:ascii="仿宋_GB2312" w:hAnsi="仿宋_GB2312" w:eastAsia="仿宋_GB2312" w:cs="仿宋_GB2312"/>
          <w:sz w:val="32"/>
          <w:szCs w:val="32"/>
          <w:highlight w:val="none"/>
        </w:rPr>
        <w:t>市本级部门业务系统政务数据归集率超过95%，对部门政务数据共享需求按时响应率达到100%。</w:t>
      </w:r>
      <w:r>
        <w:rPr>
          <w:rFonts w:hint="eastAsia" w:ascii="仿宋_GB2312" w:hAnsi="仿宋_GB2312" w:eastAsia="仿宋_GB2312" w:cs="仿宋_GB2312"/>
          <w:sz w:val="32"/>
          <w:szCs w:val="32"/>
        </w:rPr>
        <w:t>保障全市政务网络安全运行，确保网络和业务系统运行稳定、通畅、安全，持续提升政府网站工作效率和应用系统协同办公效率。保障了</w:t>
      </w:r>
      <w:bookmarkStart w:id="2" w:name="_GoBack"/>
      <w:r>
        <w:rPr>
          <w:rFonts w:hint="eastAsia" w:ascii="仿宋_GB2312" w:hAnsi="仿宋_GB2312" w:eastAsia="仿宋_GB2312" w:cs="仿宋_GB2312"/>
          <w:sz w:val="32"/>
          <w:szCs w:val="32"/>
        </w:rPr>
        <w:t>政府</w:t>
      </w:r>
      <w:bookmarkEnd w:id="2"/>
      <w:r>
        <w:rPr>
          <w:rFonts w:hint="eastAsia" w:ascii="仿宋_GB2312" w:hAnsi="仿宋_GB2312" w:eastAsia="仿宋_GB2312" w:cs="仿宋_GB2312"/>
          <w:sz w:val="32"/>
          <w:szCs w:val="32"/>
        </w:rPr>
        <w:t>门户网站、政府办公平台平稳、安全、高效运行，取得了良好的社会效益和经济效益。</w:t>
      </w:r>
    </w:p>
    <w:p>
      <w:pPr>
        <w:keepNext w:val="0"/>
        <w:keepLines w:val="0"/>
        <w:pageBreakBefore w:val="0"/>
        <w:widowControl w:val="0"/>
        <w:kinsoku/>
        <w:wordWrap/>
        <w:overflowPunct/>
        <w:topLinePunct w:val="0"/>
        <w:autoSpaceDE/>
        <w:autoSpaceDN/>
        <w:bidi w:val="0"/>
        <w:spacing w:line="560" w:lineRule="exact"/>
        <w:ind w:left="0" w:leftChars="0" w:right="0"/>
        <w:textAlignment w:val="auto"/>
        <w:outlineLvl w:val="9"/>
        <w:rPr>
          <w:rFonts w:hint="eastAsia" w:ascii="仿宋_GB2312" w:hAnsi="仿宋_GB2312" w:eastAsia="仿宋_GB2312" w:cs="仿宋_GB2312"/>
          <w:b/>
          <w:bCs/>
          <w:sz w:val="32"/>
          <w:szCs w:val="32"/>
          <w:lang w:eastAsia="zh-CN"/>
        </w:rPr>
      </w:pPr>
      <w:r>
        <w:rPr>
          <w:rFonts w:hint="eastAsia" w:ascii="仿宋_GB2312" w:hAnsi="仿宋_GB2312" w:eastAsia="仿宋_GB2312" w:cs="仿宋_GB2312"/>
          <w:b/>
          <w:bCs/>
          <w:sz w:val="32"/>
          <w:szCs w:val="32"/>
        </w:rPr>
        <w:t xml:space="preserve">    （二）</w:t>
      </w:r>
      <w:r>
        <w:rPr>
          <w:rFonts w:hint="eastAsia" w:ascii="仿宋_GB2312" w:hAnsi="仿宋_GB2312" w:eastAsia="仿宋_GB2312" w:cs="仿宋_GB2312"/>
          <w:b/>
          <w:bCs/>
          <w:sz w:val="32"/>
          <w:szCs w:val="32"/>
          <w:lang w:eastAsia="zh-CN"/>
        </w:rPr>
        <w:t>分项绩效目标实现情况及指标分析</w:t>
      </w:r>
    </w:p>
    <w:p>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参照预算绩效文本中分项绩效目标、指标，从完成数量、质量、时效、成本效</w:t>
      </w:r>
      <w:r>
        <w:rPr>
          <w:rFonts w:hint="eastAsia" w:ascii="仿宋_GB2312" w:hAnsi="仿宋_GB2312" w:eastAsia="仿宋_GB2312" w:cs="仿宋_GB2312"/>
          <w:sz w:val="32"/>
          <w:szCs w:val="32"/>
          <w:lang w:eastAsia="zh-CN"/>
        </w:rPr>
        <w:t>益</w:t>
      </w:r>
      <w:r>
        <w:rPr>
          <w:rFonts w:hint="eastAsia" w:ascii="仿宋_GB2312" w:hAnsi="仿宋_GB2312" w:eastAsia="仿宋_GB2312" w:cs="仿宋_GB2312"/>
          <w:sz w:val="32"/>
          <w:szCs w:val="32"/>
        </w:rPr>
        <w:t>等</w:t>
      </w:r>
      <w:r>
        <w:rPr>
          <w:rFonts w:hint="eastAsia" w:ascii="仿宋_GB2312" w:hAnsi="仿宋_GB2312" w:eastAsia="仿宋_GB2312" w:cs="仿宋_GB2312"/>
          <w:sz w:val="32"/>
          <w:szCs w:val="32"/>
          <w:lang w:eastAsia="zh-CN"/>
        </w:rPr>
        <w:t>方面</w:t>
      </w:r>
      <w:r>
        <w:rPr>
          <w:rFonts w:hint="eastAsia" w:ascii="仿宋_GB2312" w:hAnsi="仿宋_GB2312" w:eastAsia="仿宋_GB2312" w:cs="仿宋_GB2312"/>
          <w:sz w:val="32"/>
          <w:szCs w:val="32"/>
        </w:rPr>
        <w:t>，对</w:t>
      </w:r>
      <w:r>
        <w:rPr>
          <w:rFonts w:hint="eastAsia" w:ascii="仿宋_GB2312" w:hAnsi="仿宋_GB2312" w:eastAsia="仿宋_GB2312" w:cs="仿宋_GB2312"/>
          <w:sz w:val="32"/>
          <w:szCs w:val="32"/>
          <w:lang w:eastAsia="zh-CN"/>
        </w:rPr>
        <w:t>分项目标指标完成情况进行评价，指标要细化、量化，得分依据要充分</w:t>
      </w:r>
      <w:r>
        <w:rPr>
          <w:rFonts w:hint="eastAsia" w:ascii="仿宋_GB2312" w:hAnsi="仿宋_GB2312" w:eastAsia="仿宋_GB2312" w:cs="仿宋_GB2312"/>
          <w:sz w:val="32"/>
          <w:szCs w:val="32"/>
        </w:rPr>
        <w:t>。</w:t>
      </w:r>
    </w:p>
    <w:p>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政务数据归集和应用</w:t>
      </w:r>
      <w:r>
        <w:rPr>
          <w:rFonts w:hint="eastAsia" w:ascii="仿宋_GB2312" w:hAnsi="仿宋_GB2312" w:eastAsia="仿宋_GB2312" w:cs="仿宋_GB2312"/>
          <w:sz w:val="32"/>
          <w:szCs w:val="32"/>
          <w:lang w:eastAsia="zh-CN"/>
        </w:rPr>
        <w:t>方面，</w:t>
      </w:r>
      <w:r>
        <w:rPr>
          <w:rFonts w:hint="eastAsia" w:ascii="仿宋_GB2312" w:hAnsi="仿宋_GB2312" w:eastAsia="仿宋_GB2312" w:cs="仿宋_GB2312"/>
          <w:sz w:val="32"/>
          <w:szCs w:val="32"/>
        </w:rPr>
        <w:t>加大综合集成，全力打造数字政府硬核功能</w:t>
      </w:r>
    </w:p>
    <w:p>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一是从夯实基础入手，集约建设“政务云”。启动“信息化系统迁移上云”项目建设，同时积极与相关机构沟通对接，谋划“信创云”建设思路，进一步提升政务云承载能力，推进系统资源集约化建设。</w:t>
      </w:r>
      <w:r>
        <w:rPr>
          <w:rFonts w:hint="eastAsia" w:ascii="仿宋_GB2312" w:hAnsi="仿宋_GB2312" w:eastAsia="仿宋_GB2312" w:cs="仿宋_GB2312"/>
          <w:sz w:val="32"/>
          <w:szCs w:val="32"/>
          <w:lang w:eastAsia="zh-CN"/>
        </w:rPr>
        <w:t>截至目前</w:t>
      </w:r>
      <w:r>
        <w:rPr>
          <w:rFonts w:hint="eastAsia" w:ascii="仿宋_GB2312" w:hAnsi="仿宋_GB2312" w:eastAsia="仿宋_GB2312" w:cs="仿宋_GB2312"/>
          <w:sz w:val="32"/>
          <w:szCs w:val="32"/>
        </w:rPr>
        <w:t>已有34个市级部门65个业务系统部署在市政务云平台。完善政务数据资源支撑体系建设，提高对政务数据进行录入、治理清洗、脱敏等处理的能力。</w:t>
      </w:r>
    </w:p>
    <w:p>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是从共建共享入手，集中打造“数据中心”。坚持政务数据“应收尽收”、民生数据“能收则收”的原则，持续推进政务数据资源编目、归集和治理，进一步充实完善城市基础数据库。截至目前，已累计归集27个部门66.45亿条政务数据。依托政务数据共享平台，逐步打破信息壁垒，大力推进数据共享服务。目前已向23个部门提供共享数据34.96亿条，发挥了重要的数据支撑作用。今年4月9日，《河北日报》“数字经济（专刊）”对我市经验做法予以专题报道</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信息化项目督导推进</w:t>
      </w:r>
      <w:r>
        <w:rPr>
          <w:rFonts w:hint="eastAsia" w:ascii="仿宋_GB2312" w:hAnsi="仿宋_GB2312" w:eastAsia="仿宋_GB2312" w:cs="仿宋_GB2312"/>
          <w:sz w:val="32"/>
          <w:szCs w:val="32"/>
          <w:lang w:eastAsia="zh-CN"/>
        </w:rPr>
        <w:t>方面</w:t>
      </w:r>
    </w:p>
    <w:p>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一是从一体化推进入手，着力构建严谨规范的信息化项目管理机制。2021年度信息化建设项目计划，经市政府常务会批准通过，共47个项目列入建设计划（其中续建项目20个，新建项目27个），专项资金预算1.5亿元。2021年10月以来，我局按照市委市政府“应统尽统”的要求，以“统一管理、各负其责、协同高效”为原则，探索集中统筹信息化项目建设、运维管理改革思路，成立由相关处室专业人员组成审核工作组，集中统筹2022年全市信息化项目建设、运维管理。目前，已完成2022年信息化运维预算组织申报及审核工作，正积极推进2022年市级信息化建设项目初审筛选，待正式确定安排计划后报市政府审议，确保各项重点工作顺利实施，保障各部门业务系统正常运转。</w:t>
      </w:r>
    </w:p>
    <w:p>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二是从落地应用入手，重点探索市本级信息化项目“双盲”评审机制。先行先试启动对市级信息化项目的“双盲”网络评审。即依托网络评审系统将项目评审的相关流程在网上封闭运行，遴选专家时，系统自动随机抽取专家；专家评审时，系统屏蔽项目建设方案有关单位、人员联系信息。减少人为干预，实现计算机全程自动处理。确定评审流程，制定了评审标准，2021年已对十余个项目建设方案完成了网络“双盲”评审，并在2022年信息化建设项目（非涉密）的评审工作全面应用。</w:t>
      </w:r>
    </w:p>
    <w:p>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lang w:eastAsia="zh-CN"/>
        </w:rPr>
        <w:t>在</w:t>
      </w:r>
      <w:r>
        <w:rPr>
          <w:rFonts w:hint="eastAsia" w:ascii="仿宋_GB2312" w:hAnsi="仿宋_GB2312" w:eastAsia="仿宋_GB2312" w:cs="仿宋_GB2312"/>
          <w:color w:val="auto"/>
          <w:sz w:val="32"/>
          <w:szCs w:val="32"/>
        </w:rPr>
        <w:t>政务</w:t>
      </w:r>
      <w:r>
        <w:rPr>
          <w:rFonts w:hint="eastAsia" w:ascii="仿宋_GB2312" w:hAnsi="仿宋_GB2312" w:eastAsia="仿宋_GB2312" w:cs="仿宋_GB2312"/>
          <w:color w:val="auto"/>
          <w:sz w:val="32"/>
          <w:szCs w:val="32"/>
          <w:lang w:eastAsia="zh-CN"/>
        </w:rPr>
        <w:t>信息化工作上着力，各方协同提质强基</w:t>
      </w:r>
    </w:p>
    <w:p>
      <w:pPr>
        <w:keepNext w:val="0"/>
        <w:keepLines w:val="0"/>
        <w:pageBreakBefore w:val="0"/>
        <w:widowControl w:val="0"/>
        <w:kinsoku/>
        <w:wordWrap/>
        <w:overflowPunct/>
        <w:topLinePunct w:val="0"/>
        <w:autoSpaceDE/>
        <w:autoSpaceDN/>
        <w:bidi w:val="0"/>
        <w:spacing w:line="560" w:lineRule="exact"/>
        <w:ind w:left="0" w:leftChars="0" w:right="0" w:firstLine="640" w:firstLineChars="200"/>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一是数字政府和智慧城市建设实现新突破，找准城市治理“发力点”。今年以来，全市在智慧政务服务、智能设施、精准治理、惠民服务、生态宜居、信息资源等领域建设方面已经初见成果，多领域已有多套智慧应用实施落地，城市治理科学化、精准化、智能化水平有了一定提高。并充分借鉴广州、贵阳等地先进经验，研究制定了《石家庄市人民政府关于石家庄市加快推进数字政府建设实施意见》（石政函〔2021〕83号），经市政府党组会议审议通过，于11月22日正式印发执行。实施意见明确了我市“数字政府”和智慧城市建设发展总体目标、主要任务等，提升了信息化工作法治化、制度化、标准化水平，保障项目建设规范有序，为推进数字政府建设、提高政府治理水平和治理能力现代化提供了有力支撑。</w:t>
      </w:r>
    </w:p>
    <w:p>
      <w:pPr>
        <w:keepNext w:val="0"/>
        <w:keepLines w:val="0"/>
        <w:pageBreakBefore w:val="0"/>
        <w:widowControl w:val="0"/>
        <w:kinsoku/>
        <w:wordWrap/>
        <w:overflowPunct/>
        <w:topLinePunct w:val="0"/>
        <w:autoSpaceDE/>
        <w:autoSpaceDN/>
        <w:bidi w:val="0"/>
        <w:spacing w:line="560" w:lineRule="exact"/>
        <w:ind w:left="0" w:leftChars="0" w:right="0" w:firstLine="640" w:firstLineChars="200"/>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二是跨部门业务协同实现新突破，构建政务服务“软实力”。进一步提升“互联网+政务服务”保障能力。积极争取省政务办在政策优惠、政务数据共享、平台系统建设、技术支持等方面给予我市重点支持。实现与市、县政务服务大厅办件数据库的对接，并通过省市两级数据交换平台将线上线下办件数据、“好差评”数据汇聚到省统一的办件信息库。按照省、市“互联网+政务服务”相关要求，规范电子印章、电子证照的制作、管理和应用，推进在省级一体化平台的备案，实现全省政务服务领域统一备案管理和跨地区、跨部门互信互任，积极推进业务“全流程网办”。在河北政务服务网建设了我市政务服务旗舰店，按照统一标准整合高频政务服务事项，增加更多利企便民应用，差异化展示我市的特色服务。截至目前，全市政务服务事项全流程网办率达98.29%，在全省领先。全面启用政务服务“五级四同”事项库。完成乡村两级政务服务事项库切换工作；完成市“互联网+政务服务”平台乡镇（街道）、村（社区）机构数量与省统一身份认证平台机构数量核对工作；完成“五级四同”事项库与市“互联网+政务服务”平台、“冀时办”APP的对接工作。</w:t>
      </w:r>
    </w:p>
    <w:p>
      <w:pPr>
        <w:keepNext w:val="0"/>
        <w:keepLines w:val="0"/>
        <w:pageBreakBefore w:val="0"/>
        <w:widowControl w:val="0"/>
        <w:kinsoku/>
        <w:wordWrap/>
        <w:overflowPunct/>
        <w:topLinePunct w:val="0"/>
        <w:autoSpaceDE/>
        <w:autoSpaceDN/>
        <w:bidi w:val="0"/>
        <w:spacing w:line="560" w:lineRule="exact"/>
        <w:ind w:left="0" w:leftChars="0" w:right="0" w:firstLine="640" w:firstLineChars="200"/>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三是为认真贯彻我市十五届人大一次会议政府工作报告中提出的“启动‘掌上石家庄’超级应用，在更大范围内实现一网通办，落实政府系统网上办公”的要求，启动建设“掌上石家庄”超级应用项目，打造全市服务APP总入口（含政务服务），实现覆盖全域、覆盖所有人群、覆盖全部办事流程，联通市直各部门、联通各大社会类APP、联通全部社会公益服务的全方位服务；建设党政协同办公平台，在PC端、移动端同时部署应用，实现市、县、乡三级政务部门全覆盖。经过前期考察学习、需求调研，已完成建设方案编写并成功通过信息化项目网络“双盲”评审和财政评审，</w:t>
      </w:r>
      <w:r>
        <w:rPr>
          <w:rFonts w:hint="eastAsia" w:ascii="仿宋_GB2312" w:hAnsi="仿宋_GB2312" w:eastAsia="仿宋_GB2312" w:cs="仿宋_GB2312"/>
          <w:color w:val="auto"/>
          <w:kern w:val="2"/>
          <w:sz w:val="32"/>
          <w:szCs w:val="32"/>
          <w:lang w:val="en-US" w:eastAsia="zh-CN"/>
        </w:rPr>
        <w:t>并于12月24日通过石家庄市公共资源交易中心完成招标，签订合同，开始实施。</w:t>
      </w:r>
    </w:p>
    <w:p>
      <w:pPr>
        <w:keepNext w:val="0"/>
        <w:keepLines w:val="0"/>
        <w:pageBreakBefore w:val="0"/>
        <w:widowControl w:val="0"/>
        <w:kinsoku/>
        <w:wordWrap/>
        <w:overflowPunct/>
        <w:topLinePunct w:val="0"/>
        <w:autoSpaceDE/>
        <w:autoSpaceDN/>
        <w:bidi w:val="0"/>
        <w:spacing w:line="560" w:lineRule="exact"/>
        <w:ind w:left="0" w:leftChars="0" w:right="0" w:firstLine="640" w:firstLineChars="200"/>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四是按照年度工作计划安排，完成对电子政务外网关键基础设施进行网络安全渗透测试，组织对我局电子政务网络关键基础设施进行安全检查。开展全市政府信息系统（APP）人脸识别身份认证安全风险排查工作，并将有关情况分类汇总，按时上报省政府办公厅。积极推动我市政府网站IPv6改造工作，按时完成县级政府网站改造任务。</w:t>
      </w:r>
    </w:p>
    <w:p>
      <w:pPr>
        <w:keepNext w:val="0"/>
        <w:keepLines w:val="0"/>
        <w:pageBreakBefore w:val="0"/>
        <w:widowControl w:val="0"/>
        <w:kinsoku/>
        <w:wordWrap/>
        <w:overflowPunct/>
        <w:topLinePunct w:val="0"/>
        <w:autoSpaceDE/>
        <w:autoSpaceDN/>
        <w:bidi w:val="0"/>
        <w:spacing w:line="560" w:lineRule="exact"/>
        <w:ind w:left="0" w:leftChars="0" w:right="0" w:firstLine="640" w:firstLineChars="200"/>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五是对我市政务云机房进行安全隐患排查，组织政务云平台应急演练，确保政务云机房正常运转，全力做好庆祝建党100周年期间网络安全保障工作。对市委、市政府东西两院机房、配线间等重要部位进行火灾安全检查工作。</w:t>
      </w:r>
    </w:p>
    <w:p>
      <w:pPr>
        <w:keepNext w:val="0"/>
        <w:keepLines w:val="0"/>
        <w:pageBreakBefore w:val="0"/>
        <w:widowControl w:val="0"/>
        <w:kinsoku/>
        <w:wordWrap/>
        <w:overflowPunct/>
        <w:topLinePunct w:val="0"/>
        <w:autoSpaceDE/>
        <w:autoSpaceDN/>
        <w:bidi w:val="0"/>
        <w:spacing w:line="560" w:lineRule="exact"/>
        <w:ind w:left="0" w:leftChars="0" w:right="0" w:firstLine="640" w:firstLineChars="200"/>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六是强化市政府门户网站政民互动纽带功能。第一时间开设疫情防控专栏，及时发布疫情防控政策文件、工作进展，推送人员管控、交通出行和企业复工复产等重点信息，网站“政府信箱”充分发挥网上民声载体作用，及时答复群众有关疫情防控的咨询、投诉等信息。</w:t>
      </w:r>
    </w:p>
    <w:p>
      <w:pPr>
        <w:keepNext w:val="0"/>
        <w:keepLines w:val="0"/>
        <w:pageBreakBefore w:val="0"/>
        <w:widowControl w:val="0"/>
        <w:kinsoku/>
        <w:wordWrap/>
        <w:overflowPunct/>
        <w:topLinePunct w:val="0"/>
        <w:autoSpaceDE/>
        <w:autoSpaceDN/>
        <w:bidi w:val="0"/>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四、评价结论和评价等级</w:t>
      </w:r>
    </w:p>
    <w:p>
      <w:pPr>
        <w:keepNext w:val="0"/>
        <w:keepLines w:val="0"/>
        <w:pageBreakBefore w:val="0"/>
        <w:widowControl w:val="0"/>
        <w:kinsoku/>
        <w:wordWrap/>
        <w:overflowPunct/>
        <w:topLinePunct w:val="0"/>
        <w:autoSpaceDE/>
        <w:autoSpaceDN/>
        <w:bidi w:val="0"/>
        <w:adjustRightInd/>
        <w:snapToGrid/>
        <w:spacing w:line="560" w:lineRule="exact"/>
        <w:ind w:left="19" w:leftChars="9" w:firstLine="617" w:firstLineChars="193"/>
        <w:jc w:val="both"/>
        <w:textAlignment w:val="auto"/>
        <w:rPr>
          <w:rFonts w:hint="eastAsia" w:ascii="仿宋_GB2312" w:hAnsi="仿宋_GB2312" w:eastAsia="仿宋_GB2312" w:cs="仿宋_GB2312"/>
          <w:b w:val="0"/>
          <w:bCs w:val="0"/>
          <w:color w:val="auto"/>
          <w:sz w:val="32"/>
          <w:szCs w:val="28"/>
          <w:highlight w:val="none"/>
          <w:lang w:val="en-US" w:eastAsia="zh-CN"/>
        </w:rPr>
      </w:pPr>
      <w:r>
        <w:rPr>
          <w:rFonts w:hint="eastAsia" w:ascii="仿宋_GB2312" w:hAnsi="仿宋_GB2312" w:eastAsia="仿宋_GB2312" w:cs="仿宋_GB2312"/>
          <w:b w:val="0"/>
          <w:bCs w:val="0"/>
          <w:color w:val="auto"/>
          <w:sz w:val="32"/>
          <w:szCs w:val="28"/>
          <w:lang w:val="en-US" w:eastAsia="zh-CN"/>
        </w:rPr>
        <w:t>我局通过查阅文件、收集资料，核实数据、对比指标等方式，对我</w:t>
      </w:r>
      <w:r>
        <w:rPr>
          <w:rFonts w:hint="eastAsia" w:ascii="仿宋_GB2312" w:hAnsi="仿宋_GB2312" w:eastAsia="仿宋_GB2312" w:cs="仿宋_GB2312"/>
          <w:sz w:val="32"/>
          <w:szCs w:val="32"/>
          <w:lang w:eastAsia="zh-CN"/>
        </w:rPr>
        <w:t>部门整体支出</w:t>
      </w:r>
      <w:r>
        <w:rPr>
          <w:rFonts w:hint="eastAsia" w:ascii="仿宋_GB2312" w:hAnsi="仿宋_GB2312" w:eastAsia="仿宋_GB2312" w:cs="仿宋_GB2312"/>
          <w:sz w:val="32"/>
          <w:szCs w:val="32"/>
        </w:rPr>
        <w:t>综合绩效</w:t>
      </w:r>
      <w:r>
        <w:rPr>
          <w:rFonts w:hint="eastAsia" w:ascii="仿宋_GB2312" w:hAnsi="仿宋_GB2312" w:eastAsia="仿宋_GB2312" w:cs="仿宋_GB2312"/>
          <w:b w:val="0"/>
          <w:bCs w:val="0"/>
          <w:color w:val="auto"/>
          <w:sz w:val="32"/>
          <w:szCs w:val="28"/>
          <w:lang w:val="en-US" w:eastAsia="zh-CN"/>
        </w:rPr>
        <w:t>进行客观评价。经过评价，部门整体支出绩效综合</w:t>
      </w:r>
      <w:r>
        <w:rPr>
          <w:rFonts w:hint="eastAsia" w:ascii="仿宋_GB2312" w:hAnsi="仿宋_GB2312" w:eastAsia="仿宋_GB2312" w:cs="仿宋_GB2312"/>
          <w:b w:val="0"/>
          <w:bCs w:val="0"/>
          <w:color w:val="auto"/>
          <w:sz w:val="32"/>
          <w:szCs w:val="28"/>
          <w:highlight w:val="none"/>
          <w:lang w:val="en-US" w:eastAsia="zh-CN"/>
        </w:rPr>
        <w:t>评价最终得分为98分，评价结果为优秀。</w:t>
      </w:r>
    </w:p>
    <w:p>
      <w:pPr>
        <w:keepNext w:val="0"/>
        <w:keepLines w:val="0"/>
        <w:pageBreakBefore w:val="0"/>
        <w:widowControl w:val="0"/>
        <w:kinsoku/>
        <w:wordWrap/>
        <w:overflowPunct/>
        <w:topLinePunct w:val="0"/>
        <w:autoSpaceDE/>
        <w:autoSpaceDN/>
        <w:bidi w:val="0"/>
        <w:adjustRightInd/>
        <w:snapToGrid/>
        <w:spacing w:line="560" w:lineRule="exact"/>
        <w:ind w:left="19" w:leftChars="9" w:firstLine="617" w:firstLineChars="193"/>
        <w:jc w:val="both"/>
        <w:textAlignment w:val="auto"/>
        <w:rPr>
          <w:rFonts w:hint="eastAsia" w:ascii="仿宋_GB2312" w:hAnsi="仿宋_GB2312" w:eastAsia="仿宋_GB2312" w:cs="仿宋_GB2312"/>
          <w:b w:val="0"/>
          <w:bCs w:val="0"/>
          <w:color w:val="auto"/>
          <w:sz w:val="32"/>
          <w:szCs w:val="28"/>
          <w:lang w:val="en-US" w:eastAsia="zh-CN"/>
        </w:rPr>
      </w:pPr>
      <w:r>
        <w:rPr>
          <w:rFonts w:hint="eastAsia" w:ascii="仿宋_GB2312" w:hAnsi="仿宋_GB2312" w:eastAsia="仿宋_GB2312" w:cs="仿宋_GB2312"/>
          <w:b w:val="0"/>
          <w:bCs w:val="0"/>
          <w:color w:val="auto"/>
          <w:sz w:val="32"/>
          <w:szCs w:val="28"/>
          <w:lang w:val="en-US" w:eastAsia="zh-CN"/>
        </w:rPr>
        <w:t>根据部门职责定位和各项工作履职情况进行综合评价，给出总得分，满分100分，得出综合绩效评价等级。部门整体支出综合绩效评价分为4个等级：得分≥85分为优秀；75≤得分＜85分为良好；60≤得分＜75分为一般；得分＜60分为较差。</w:t>
      </w:r>
    </w:p>
    <w:p>
      <w:pPr>
        <w:keepNext w:val="0"/>
        <w:keepLines w:val="0"/>
        <w:pageBreakBefore w:val="0"/>
        <w:widowControl w:val="0"/>
        <w:kinsoku/>
        <w:wordWrap/>
        <w:overflowPunct/>
        <w:topLinePunct w:val="0"/>
        <w:autoSpaceDE/>
        <w:autoSpaceDN/>
        <w:bidi w:val="0"/>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五、存在的问题及改进措施</w:t>
      </w:r>
    </w:p>
    <w:p>
      <w:pPr>
        <w:keepNext w:val="0"/>
        <w:keepLines w:val="0"/>
        <w:pageBreakBefore w:val="0"/>
        <w:widowControl w:val="0"/>
        <w:kinsoku/>
        <w:wordWrap/>
        <w:overflowPunct/>
        <w:topLinePunct w:val="0"/>
        <w:autoSpaceDE/>
        <w:autoSpaceDN/>
        <w:bidi w:val="0"/>
        <w:spacing w:line="560" w:lineRule="exact"/>
        <w:ind w:left="0" w:leftChars="0" w:right="0" w:firstLine="643" w:firstLineChars="200"/>
        <w:textAlignment w:val="auto"/>
        <w:outlineLvl w:val="9"/>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（一）存在的主要问题</w:t>
      </w:r>
    </w:p>
    <w:p>
      <w:pPr>
        <w:keepNext w:val="0"/>
        <w:keepLines w:val="0"/>
        <w:pageBreakBefore w:val="0"/>
        <w:widowControl w:val="0"/>
        <w:kinsoku/>
        <w:wordWrap/>
        <w:overflowPunct/>
        <w:topLinePunct w:val="0"/>
        <w:autoSpaceDE/>
        <w:autoSpaceDN/>
        <w:bidi w:val="0"/>
        <w:adjustRightInd/>
        <w:snapToGrid/>
        <w:spacing w:line="560" w:lineRule="exact"/>
        <w:ind w:left="19" w:leftChars="9" w:firstLine="617" w:firstLineChars="193"/>
        <w:jc w:val="both"/>
        <w:textAlignment w:val="auto"/>
        <w:rPr>
          <w:rFonts w:hint="eastAsia" w:ascii="仿宋_GB2312" w:hAnsi="仿宋_GB2312" w:eastAsia="仿宋_GB2312" w:cs="仿宋_GB2312"/>
          <w:b w:val="0"/>
          <w:bCs w:val="0"/>
          <w:color w:val="auto"/>
          <w:sz w:val="32"/>
          <w:szCs w:val="28"/>
          <w:lang w:val="en-US" w:eastAsia="zh-CN"/>
        </w:rPr>
      </w:pPr>
      <w:r>
        <w:rPr>
          <w:rFonts w:hint="eastAsia" w:ascii="仿宋_GB2312" w:hAnsi="仿宋_GB2312" w:eastAsia="仿宋_GB2312" w:cs="仿宋_GB2312"/>
          <w:b w:val="0"/>
          <w:bCs w:val="0"/>
          <w:color w:val="auto"/>
          <w:sz w:val="32"/>
          <w:szCs w:val="28"/>
          <w:lang w:val="en-US" w:eastAsia="zh-CN"/>
        </w:rPr>
        <w:t>1.随着近年来部分市直部门所属电子政务事业机构整合至电子政务中心，相关人员和职能也转移至本单位。但是相关网络、机房等设备资产仍未进行移交。加之近两年实施的智慧城市、政务云、政务数据归集和应用、机房改造、网络升级等工作项目进行中，也形成大量新的设备。由于历史存留和政策变化，上述资产来源各异权属复杂，使用状态无法全面了解，更谈不上管控。这些国有资产的产权归属和使用管理，后期都是单位要面临的重要问题。</w:t>
      </w:r>
    </w:p>
    <w:p>
      <w:pPr>
        <w:keepNext w:val="0"/>
        <w:keepLines w:val="0"/>
        <w:pageBreakBefore w:val="0"/>
        <w:widowControl w:val="0"/>
        <w:kinsoku/>
        <w:wordWrap/>
        <w:overflowPunct/>
        <w:topLinePunct w:val="0"/>
        <w:autoSpaceDE/>
        <w:autoSpaceDN/>
        <w:bidi w:val="0"/>
        <w:adjustRightInd/>
        <w:snapToGrid/>
        <w:spacing w:line="560" w:lineRule="exact"/>
        <w:ind w:left="19" w:leftChars="9" w:firstLine="617" w:firstLineChars="193"/>
        <w:jc w:val="both"/>
        <w:textAlignment w:val="auto"/>
        <w:rPr>
          <w:rFonts w:hint="eastAsia" w:ascii="仿宋_GB2312" w:hAnsi="仿宋_GB2312" w:eastAsia="仿宋_GB2312" w:cs="仿宋_GB2312"/>
          <w:b w:val="0"/>
          <w:bCs w:val="0"/>
          <w:color w:val="auto"/>
          <w:sz w:val="32"/>
          <w:szCs w:val="28"/>
          <w:lang w:val="en-US" w:eastAsia="zh-CN"/>
        </w:rPr>
      </w:pPr>
      <w:r>
        <w:rPr>
          <w:rFonts w:hint="eastAsia" w:ascii="仿宋_GB2312" w:hAnsi="仿宋_GB2312" w:eastAsia="仿宋_GB2312" w:cs="仿宋_GB2312"/>
          <w:b w:val="0"/>
          <w:bCs w:val="0"/>
          <w:color w:val="auto"/>
          <w:sz w:val="32"/>
          <w:szCs w:val="28"/>
          <w:lang w:val="en-US" w:eastAsia="zh-CN"/>
        </w:rPr>
        <w:t>2.信息化新的变革带来新的工作方式，对于新的系统的使用维护，新的平台运作和维保，新技术新模式下，信息传播、公文传递的速度都得到了极大的提升，在提高政务信息更新速率，提高政务办公效率的同时，对于如何迅速处置政府网站、政务网络、平台运行中的突发事件，对电子政务数据管理人员提出了更高的要求。但是在评价中发现，随着大量信息化项目的建设或改造完成，相关培训工作未能跟进，过去一年中单位未组织相关技术培训。</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3" w:firstLineChars="200"/>
        <w:jc w:val="both"/>
        <w:textAlignment w:val="auto"/>
        <w:outlineLvl w:val="9"/>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eastAsia="zh-CN"/>
        </w:rPr>
        <w:t>（二）</w:t>
      </w:r>
      <w:r>
        <w:rPr>
          <w:rFonts w:hint="eastAsia" w:ascii="仿宋_GB2312" w:hAnsi="仿宋_GB2312" w:eastAsia="仿宋_GB2312" w:cs="仿宋_GB2312"/>
          <w:b/>
          <w:bCs/>
          <w:sz w:val="32"/>
          <w:szCs w:val="32"/>
        </w:rPr>
        <w:t>针对问题提出具体的改进措施或建议</w:t>
      </w:r>
    </w:p>
    <w:p>
      <w:pPr>
        <w:keepNext w:val="0"/>
        <w:keepLines w:val="0"/>
        <w:pageBreakBefore w:val="0"/>
        <w:widowControl w:val="0"/>
        <w:kinsoku/>
        <w:wordWrap/>
        <w:overflowPunct/>
        <w:topLinePunct w:val="0"/>
        <w:autoSpaceDE/>
        <w:autoSpaceDN/>
        <w:bidi w:val="0"/>
        <w:adjustRightInd/>
        <w:snapToGrid/>
        <w:spacing w:line="560" w:lineRule="exact"/>
        <w:ind w:left="19" w:leftChars="9" w:firstLine="617" w:firstLineChars="193"/>
        <w:jc w:val="both"/>
        <w:textAlignment w:val="auto"/>
        <w:rPr>
          <w:rFonts w:hint="eastAsia" w:ascii="仿宋_GB2312" w:hAnsi="仿宋_GB2312" w:eastAsia="仿宋_GB2312" w:cs="仿宋_GB2312"/>
          <w:b w:val="0"/>
          <w:bCs w:val="0"/>
          <w:color w:val="auto"/>
          <w:sz w:val="32"/>
          <w:szCs w:val="28"/>
          <w:lang w:val="en-US" w:eastAsia="zh-CN"/>
        </w:rPr>
      </w:pPr>
      <w:r>
        <w:rPr>
          <w:rFonts w:hint="eastAsia" w:ascii="仿宋_GB2312" w:hAnsi="仿宋_GB2312" w:eastAsia="仿宋_GB2312" w:cs="仿宋_GB2312"/>
          <w:b w:val="0"/>
          <w:bCs w:val="0"/>
          <w:color w:val="auto"/>
          <w:sz w:val="32"/>
          <w:szCs w:val="28"/>
          <w:lang w:val="en-US" w:eastAsia="zh-CN"/>
        </w:rPr>
        <w:t>1.彻底梳理本单位固定资产，对于已划归本单位仍在其他单位挂账并占用使用的资产，应尽快履行资产移交手续，完成登帐管理。完善资产管理制度，加强固定资产移交、登记、使用和报废处置管理，确保本单位国有资产产权明晰，账实相符，严格审批程序，做到程序合规，物尽其用。</w:t>
      </w:r>
    </w:p>
    <w:p>
      <w:pPr>
        <w:keepNext w:val="0"/>
        <w:keepLines w:val="0"/>
        <w:pageBreakBefore w:val="0"/>
        <w:widowControl w:val="0"/>
        <w:kinsoku/>
        <w:wordWrap/>
        <w:overflowPunct/>
        <w:topLinePunct w:val="0"/>
        <w:autoSpaceDE/>
        <w:autoSpaceDN/>
        <w:bidi w:val="0"/>
        <w:adjustRightInd/>
        <w:snapToGrid/>
        <w:spacing w:line="560" w:lineRule="exact"/>
        <w:ind w:left="19" w:leftChars="9" w:firstLine="617" w:firstLineChars="193"/>
        <w:jc w:val="both"/>
        <w:textAlignment w:val="auto"/>
        <w:rPr>
          <w:rFonts w:hint="eastAsia" w:ascii="仿宋_GB2312" w:hAnsi="仿宋_GB2312" w:eastAsia="仿宋_GB2312" w:cs="仿宋_GB2312"/>
          <w:b w:val="0"/>
          <w:bCs w:val="0"/>
          <w:color w:val="auto"/>
          <w:sz w:val="32"/>
          <w:szCs w:val="28"/>
          <w:lang w:val="en-US" w:eastAsia="zh-CN"/>
        </w:rPr>
      </w:pPr>
      <w:r>
        <w:rPr>
          <w:rFonts w:hint="eastAsia" w:ascii="仿宋_GB2312" w:hAnsi="仿宋_GB2312" w:eastAsia="仿宋_GB2312" w:cs="仿宋_GB2312"/>
          <w:b w:val="0"/>
          <w:bCs w:val="0"/>
          <w:color w:val="auto"/>
          <w:sz w:val="32"/>
          <w:szCs w:val="28"/>
          <w:lang w:val="en-US" w:eastAsia="zh-CN"/>
        </w:rPr>
        <w:t>2.加强培训，提高本单位职工业务素质，加强网络安全工作队伍的培训力度，2021年开展网络建设与安全管理人员专题培训，进一步提升业务水平，强化网络安全保障工作能力。</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六、评价工作组人员名单及签字（姓名、工作单位、职务、职称）</w:t>
      </w:r>
    </w:p>
    <w:tbl>
      <w:tblPr>
        <w:tblStyle w:val="6"/>
        <w:tblW w:w="9058" w:type="dxa"/>
        <w:tblInd w:w="0" w:type="dxa"/>
        <w:shd w:val="clear" w:color="auto" w:fill="auto"/>
        <w:tblLayout w:type="fixed"/>
        <w:tblCellMar>
          <w:top w:w="0" w:type="dxa"/>
          <w:left w:w="108" w:type="dxa"/>
          <w:bottom w:w="0" w:type="dxa"/>
          <w:right w:w="108" w:type="dxa"/>
        </w:tblCellMar>
      </w:tblPr>
      <w:tblGrid>
        <w:gridCol w:w="1681"/>
        <w:gridCol w:w="2805"/>
        <w:gridCol w:w="2160"/>
        <w:gridCol w:w="2412"/>
      </w:tblGrid>
      <w:tr>
        <w:tblPrEx>
          <w:tblCellMar>
            <w:top w:w="0" w:type="dxa"/>
            <w:left w:w="108" w:type="dxa"/>
            <w:bottom w:w="0" w:type="dxa"/>
            <w:right w:w="108" w:type="dxa"/>
          </w:tblCellMar>
        </w:tblPrEx>
        <w:trPr>
          <w:trHeight w:val="552" w:hRule="atLeast"/>
        </w:trPr>
        <w:tc>
          <w:tcPr>
            <w:tcW w:w="16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姓名</w:t>
            </w:r>
          </w:p>
        </w:tc>
        <w:tc>
          <w:tcPr>
            <w:tcW w:w="28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工作单位</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职务</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b/>
                <w:bCs/>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职</w:t>
            </w:r>
            <w:r>
              <w:rPr>
                <w:rFonts w:hint="eastAsia" w:ascii="宋体" w:hAnsi="宋体" w:cs="宋体"/>
                <w:b/>
                <w:bCs/>
                <w:i w:val="0"/>
                <w:iCs w:val="0"/>
                <w:color w:val="000000"/>
                <w:kern w:val="0"/>
                <w:sz w:val="22"/>
                <w:szCs w:val="22"/>
                <w:u w:val="none"/>
                <w:lang w:val="en-US" w:eastAsia="zh-CN" w:bidi="ar"/>
              </w:rPr>
              <w:t>称</w:t>
            </w:r>
          </w:p>
        </w:tc>
      </w:tr>
      <w:tr>
        <w:tblPrEx>
          <w:tblCellMar>
            <w:top w:w="0" w:type="dxa"/>
            <w:left w:w="108" w:type="dxa"/>
            <w:bottom w:w="0" w:type="dxa"/>
            <w:right w:w="108" w:type="dxa"/>
          </w:tblCellMar>
        </w:tblPrEx>
        <w:trPr>
          <w:trHeight w:val="552" w:hRule="atLeast"/>
        </w:trPr>
        <w:tc>
          <w:tcPr>
            <w:tcW w:w="16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郭</w:t>
            </w:r>
            <w:r>
              <w:rPr>
                <w:rFonts w:hint="eastAsia" w:ascii="宋体" w:hAnsi="宋体" w:cs="宋体"/>
                <w:i w:val="0"/>
                <w:iCs w:val="0"/>
                <w:color w:val="000000"/>
                <w:sz w:val="22"/>
                <w:szCs w:val="22"/>
                <w:u w:val="none"/>
                <w:lang w:val="en-US" w:eastAsia="zh-CN"/>
              </w:rPr>
              <w:t xml:space="preserve">  </w:t>
            </w:r>
            <w:r>
              <w:rPr>
                <w:rFonts w:hint="eastAsia" w:ascii="宋体" w:hAnsi="宋体" w:cs="宋体"/>
                <w:i w:val="0"/>
                <w:iCs w:val="0"/>
                <w:color w:val="000000"/>
                <w:sz w:val="22"/>
                <w:szCs w:val="22"/>
                <w:u w:val="none"/>
                <w:lang w:eastAsia="zh-CN"/>
              </w:rPr>
              <w:t>杰</w:t>
            </w:r>
          </w:p>
        </w:tc>
        <w:tc>
          <w:tcPr>
            <w:tcW w:w="28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石家庄市数据资源管理局</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办公室主任</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552" w:hRule="atLeast"/>
        </w:trPr>
        <w:tc>
          <w:tcPr>
            <w:tcW w:w="16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朱晓军</w:t>
            </w:r>
          </w:p>
        </w:tc>
        <w:tc>
          <w:tcPr>
            <w:tcW w:w="28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石家庄市数据资源管理局</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规划发展科科长</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552" w:hRule="atLeast"/>
        </w:trPr>
        <w:tc>
          <w:tcPr>
            <w:tcW w:w="16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耿</w:t>
            </w:r>
            <w:r>
              <w:rPr>
                <w:rFonts w:hint="eastAsia" w:ascii="宋体" w:hAnsi="宋体" w:cs="宋体"/>
                <w:i w:val="0"/>
                <w:iCs w:val="0"/>
                <w:color w:val="000000"/>
                <w:sz w:val="22"/>
                <w:szCs w:val="22"/>
                <w:u w:val="none"/>
                <w:lang w:val="en-US" w:eastAsia="zh-CN"/>
              </w:rPr>
              <w:t xml:space="preserve">  </w:t>
            </w:r>
            <w:r>
              <w:rPr>
                <w:rFonts w:hint="eastAsia" w:ascii="宋体" w:hAnsi="宋体" w:cs="宋体"/>
                <w:i w:val="0"/>
                <w:iCs w:val="0"/>
                <w:color w:val="000000"/>
                <w:sz w:val="22"/>
                <w:szCs w:val="22"/>
                <w:u w:val="none"/>
                <w:lang w:eastAsia="zh-CN"/>
              </w:rPr>
              <w:t>磊</w:t>
            </w:r>
          </w:p>
        </w:tc>
        <w:tc>
          <w:tcPr>
            <w:tcW w:w="28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石家庄市数据资源管理局</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应用推广科科长</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552" w:hRule="atLeast"/>
        </w:trPr>
        <w:tc>
          <w:tcPr>
            <w:tcW w:w="16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李双芹</w:t>
            </w:r>
          </w:p>
        </w:tc>
        <w:tc>
          <w:tcPr>
            <w:tcW w:w="28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石家庄市数据资源管理局</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数据资源管理科科长</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552" w:hRule="atLeast"/>
        </w:trPr>
        <w:tc>
          <w:tcPr>
            <w:tcW w:w="16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连</w:t>
            </w:r>
            <w:r>
              <w:rPr>
                <w:rFonts w:hint="eastAsia" w:ascii="宋体" w:hAnsi="宋体" w:cs="宋体"/>
                <w:i w:val="0"/>
                <w:iCs w:val="0"/>
                <w:color w:val="000000"/>
                <w:sz w:val="22"/>
                <w:szCs w:val="22"/>
                <w:u w:val="none"/>
                <w:lang w:val="en-US" w:eastAsia="zh-CN"/>
              </w:rPr>
              <w:t xml:space="preserve">  </w:t>
            </w:r>
            <w:r>
              <w:rPr>
                <w:rFonts w:hint="eastAsia" w:ascii="宋体" w:hAnsi="宋体" w:cs="宋体"/>
                <w:i w:val="0"/>
                <w:iCs w:val="0"/>
                <w:color w:val="000000"/>
                <w:sz w:val="22"/>
                <w:szCs w:val="22"/>
                <w:u w:val="none"/>
                <w:lang w:eastAsia="zh-CN"/>
              </w:rPr>
              <w:t>芳</w:t>
            </w:r>
          </w:p>
        </w:tc>
        <w:tc>
          <w:tcPr>
            <w:tcW w:w="28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石家庄市数据资源管理局</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网络建设与安全科科长</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552" w:hRule="atLeast"/>
        </w:trPr>
        <w:tc>
          <w:tcPr>
            <w:tcW w:w="16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王红芳</w:t>
            </w:r>
          </w:p>
        </w:tc>
        <w:tc>
          <w:tcPr>
            <w:tcW w:w="28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石家庄市数据资源管理局</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机关党总支专职副书记</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552" w:hRule="atLeast"/>
        </w:trPr>
        <w:tc>
          <w:tcPr>
            <w:tcW w:w="16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刘</w:t>
            </w:r>
            <w:r>
              <w:rPr>
                <w:rFonts w:hint="eastAsia" w:ascii="宋体" w:hAnsi="宋体" w:cs="宋体"/>
                <w:i w:val="0"/>
                <w:iCs w:val="0"/>
                <w:color w:val="000000"/>
                <w:sz w:val="22"/>
                <w:szCs w:val="22"/>
                <w:u w:val="none"/>
                <w:lang w:val="en-US" w:eastAsia="zh-CN"/>
              </w:rPr>
              <w:t xml:space="preserve">  </w:t>
            </w:r>
            <w:r>
              <w:rPr>
                <w:rFonts w:hint="eastAsia" w:ascii="宋体" w:hAnsi="宋体" w:cs="宋体"/>
                <w:i w:val="0"/>
                <w:iCs w:val="0"/>
                <w:color w:val="000000"/>
                <w:sz w:val="22"/>
                <w:szCs w:val="22"/>
                <w:u w:val="none"/>
                <w:lang w:eastAsia="zh-CN"/>
              </w:rPr>
              <w:t>凯</w:t>
            </w:r>
          </w:p>
        </w:tc>
        <w:tc>
          <w:tcPr>
            <w:tcW w:w="28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石家庄市电子政务中心</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副主任</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552" w:hRule="atLeast"/>
        </w:trPr>
        <w:tc>
          <w:tcPr>
            <w:tcW w:w="16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姚喜中</w:t>
            </w:r>
          </w:p>
        </w:tc>
        <w:tc>
          <w:tcPr>
            <w:tcW w:w="28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石家庄市电子政务中心</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办公自动化科负责人</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552" w:hRule="atLeast"/>
        </w:trPr>
        <w:tc>
          <w:tcPr>
            <w:tcW w:w="16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封晓丽</w:t>
            </w:r>
          </w:p>
        </w:tc>
        <w:tc>
          <w:tcPr>
            <w:tcW w:w="28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石家庄市电子政务中心</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网站科负责人</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552" w:hRule="atLeast"/>
        </w:trPr>
        <w:tc>
          <w:tcPr>
            <w:tcW w:w="16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曹</w:t>
            </w:r>
            <w:r>
              <w:rPr>
                <w:rFonts w:hint="eastAsia" w:ascii="宋体" w:hAnsi="宋体" w:cs="宋体"/>
                <w:i w:val="0"/>
                <w:iCs w:val="0"/>
                <w:color w:val="000000"/>
                <w:sz w:val="22"/>
                <w:szCs w:val="22"/>
                <w:u w:val="none"/>
                <w:lang w:val="en-US" w:eastAsia="zh-CN"/>
              </w:rPr>
              <w:t xml:space="preserve">  </w:t>
            </w:r>
            <w:r>
              <w:rPr>
                <w:rFonts w:hint="eastAsia" w:ascii="宋体" w:hAnsi="宋体" w:cs="宋体"/>
                <w:i w:val="0"/>
                <w:iCs w:val="0"/>
                <w:color w:val="000000"/>
                <w:sz w:val="22"/>
                <w:szCs w:val="22"/>
                <w:u w:val="none"/>
                <w:lang w:eastAsia="zh-CN"/>
              </w:rPr>
              <w:t>雷</w:t>
            </w:r>
          </w:p>
        </w:tc>
        <w:tc>
          <w:tcPr>
            <w:tcW w:w="28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石家庄市电子政务中心</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网络科负责人</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569" w:hRule="atLeast"/>
        </w:trPr>
        <w:tc>
          <w:tcPr>
            <w:tcW w:w="16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程晓伟</w:t>
            </w:r>
          </w:p>
        </w:tc>
        <w:tc>
          <w:tcPr>
            <w:tcW w:w="28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石家庄市数据资源管理局</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规划发展科副科长</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569" w:hRule="atLeast"/>
        </w:trPr>
        <w:tc>
          <w:tcPr>
            <w:tcW w:w="16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孟</w:t>
            </w:r>
            <w:r>
              <w:rPr>
                <w:rFonts w:hint="eastAsia" w:ascii="宋体" w:hAnsi="宋体" w:cs="宋体"/>
                <w:i w:val="0"/>
                <w:iCs w:val="0"/>
                <w:color w:val="000000"/>
                <w:sz w:val="22"/>
                <w:szCs w:val="22"/>
                <w:u w:val="none"/>
                <w:lang w:val="en-US" w:eastAsia="zh-CN"/>
              </w:rPr>
              <w:t xml:space="preserve">  </w:t>
            </w:r>
            <w:r>
              <w:rPr>
                <w:rFonts w:hint="eastAsia" w:ascii="宋体" w:hAnsi="宋体" w:cs="宋体"/>
                <w:i w:val="0"/>
                <w:iCs w:val="0"/>
                <w:color w:val="000000"/>
                <w:sz w:val="22"/>
                <w:szCs w:val="22"/>
                <w:u w:val="none"/>
                <w:lang w:eastAsia="zh-CN"/>
              </w:rPr>
              <w:t>倩</w:t>
            </w:r>
          </w:p>
        </w:tc>
        <w:tc>
          <w:tcPr>
            <w:tcW w:w="28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石家庄市数据资源管理局</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办公室三级主任科员</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569" w:hRule="atLeast"/>
        </w:trPr>
        <w:tc>
          <w:tcPr>
            <w:tcW w:w="16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董</w:t>
            </w:r>
            <w:r>
              <w:rPr>
                <w:rFonts w:hint="eastAsia" w:ascii="宋体" w:hAnsi="宋体" w:cs="宋体"/>
                <w:i w:val="0"/>
                <w:iCs w:val="0"/>
                <w:color w:val="000000"/>
                <w:sz w:val="22"/>
                <w:szCs w:val="22"/>
                <w:u w:val="none"/>
                <w:lang w:val="en-US" w:eastAsia="zh-CN"/>
              </w:rPr>
              <w:t xml:space="preserve">  </w:t>
            </w:r>
            <w:r>
              <w:rPr>
                <w:rFonts w:hint="eastAsia" w:ascii="宋体" w:hAnsi="宋体" w:cs="宋体"/>
                <w:i w:val="0"/>
                <w:iCs w:val="0"/>
                <w:color w:val="000000"/>
                <w:sz w:val="22"/>
                <w:szCs w:val="22"/>
                <w:u w:val="none"/>
                <w:lang w:eastAsia="zh-CN"/>
              </w:rPr>
              <w:t>韬</w:t>
            </w:r>
          </w:p>
        </w:tc>
        <w:tc>
          <w:tcPr>
            <w:tcW w:w="28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石家庄市数据资源管理局</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办公室四级主任科员</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tblPrEx>
          <w:tblCellMar>
            <w:top w:w="0" w:type="dxa"/>
            <w:left w:w="108" w:type="dxa"/>
            <w:bottom w:w="0" w:type="dxa"/>
            <w:right w:w="108" w:type="dxa"/>
          </w:tblCellMar>
        </w:tblPrEx>
        <w:trPr>
          <w:trHeight w:val="569" w:hRule="atLeast"/>
        </w:trPr>
        <w:tc>
          <w:tcPr>
            <w:tcW w:w="16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李海军</w:t>
            </w:r>
          </w:p>
        </w:tc>
        <w:tc>
          <w:tcPr>
            <w:tcW w:w="28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石家庄市电子政务中心</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职员</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高级工程师</w:t>
            </w:r>
          </w:p>
        </w:tc>
      </w:tr>
      <w:tr>
        <w:tblPrEx>
          <w:tblCellMar>
            <w:top w:w="0" w:type="dxa"/>
            <w:left w:w="108" w:type="dxa"/>
            <w:bottom w:w="0" w:type="dxa"/>
            <w:right w:w="108" w:type="dxa"/>
          </w:tblCellMar>
        </w:tblPrEx>
        <w:trPr>
          <w:trHeight w:val="569" w:hRule="atLeast"/>
        </w:trPr>
        <w:tc>
          <w:tcPr>
            <w:tcW w:w="16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崔力鹏</w:t>
            </w:r>
          </w:p>
        </w:tc>
        <w:tc>
          <w:tcPr>
            <w:tcW w:w="28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石家庄市电子政务中心</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职员</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工程师</w:t>
            </w:r>
          </w:p>
        </w:tc>
      </w:tr>
    </w:tbl>
    <w:p>
      <w:pPr>
        <w:keepNext w:val="0"/>
        <w:keepLines w:val="0"/>
        <w:pageBreakBefore w:val="0"/>
        <w:kinsoku/>
        <w:overflowPunct/>
        <w:topLinePunct w:val="0"/>
        <w:autoSpaceDE/>
        <w:autoSpaceDN/>
        <w:bidi w:val="0"/>
        <w:spacing w:line="560" w:lineRule="exact"/>
        <w:ind w:firstLine="640" w:firstLineChars="200"/>
        <w:rPr>
          <w:rFonts w:hint="eastAsia" w:ascii="仿宋_GB2312" w:eastAsia="仿宋_GB2312"/>
          <w:sz w:val="32"/>
          <w:szCs w:val="32"/>
          <w:lang w:val="en-US" w:eastAsia="zh-CN"/>
        </w:rPr>
      </w:pPr>
    </w:p>
    <w:p>
      <w:pPr>
        <w:pStyle w:val="2"/>
        <w:rPr>
          <w:rFonts w:hint="eastAsia"/>
          <w:lang w:val="en-US" w:eastAsia="zh-CN"/>
        </w:rPr>
      </w:pPr>
    </w:p>
    <w:p>
      <w:pPr>
        <w:keepNext w:val="0"/>
        <w:keepLines w:val="0"/>
        <w:pageBreakBefore w:val="0"/>
        <w:kinsoku/>
        <w:wordWrap w:val="0"/>
        <w:overflowPunct/>
        <w:topLinePunct w:val="0"/>
        <w:autoSpaceDE/>
        <w:autoSpaceDN/>
        <w:bidi w:val="0"/>
        <w:spacing w:line="560" w:lineRule="exact"/>
        <w:ind w:firstLine="640" w:firstLineChars="200"/>
        <w:jc w:val="right"/>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石家庄市数据资源管理局    </w:t>
      </w:r>
    </w:p>
    <w:p>
      <w:pPr>
        <w:keepNext w:val="0"/>
        <w:keepLines w:val="0"/>
        <w:pageBreakBefore w:val="0"/>
        <w:kinsoku/>
        <w:wordWrap w:val="0"/>
        <w:overflowPunct/>
        <w:topLinePunct w:val="0"/>
        <w:autoSpaceDE/>
        <w:autoSpaceDN/>
        <w:bidi w:val="0"/>
        <w:spacing w:line="560" w:lineRule="exact"/>
        <w:ind w:firstLine="640" w:firstLineChars="200"/>
        <w:jc w:val="right"/>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2022年3月29日       </w:t>
      </w:r>
    </w:p>
    <w:p>
      <w:pPr>
        <w:keepNext w:val="0"/>
        <w:keepLines w:val="0"/>
        <w:pageBreakBefore w:val="0"/>
        <w:widowControl w:val="0"/>
        <w:kinsoku/>
        <w:wordWrap/>
        <w:overflowPunct/>
        <w:topLinePunct w:val="0"/>
        <w:autoSpaceDE/>
        <w:autoSpaceDN/>
        <w:bidi w:val="0"/>
        <w:spacing w:line="560" w:lineRule="exact"/>
        <w:ind w:left="0" w:leftChars="0" w:right="0"/>
        <w:textAlignment w:val="auto"/>
        <w:outlineLvl w:val="9"/>
        <w:rPr>
          <w:rFonts w:ascii="仿宋" w:hAnsi="仿宋" w:eastAsia="仿宋"/>
        </w:rPr>
      </w:pPr>
    </w:p>
    <w:sectPr>
      <w:footerReference r:id="rId3" w:type="default"/>
      <w:pgSz w:w="11906" w:h="16838"/>
      <w:pgMar w:top="1723" w:right="1474" w:bottom="1440" w:left="1587"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altName w:val="方正书宋_GBK"/>
    <w:panose1 w:val="02010600030101010101"/>
    <w:charset w:val="50"/>
    <w:family w:val="auto"/>
    <w:pitch w:val="default"/>
    <w:sig w:usb0="00000000" w:usb1="0000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仿宋">
    <w:altName w:val="方正仿宋_GBK"/>
    <w:panose1 w:val="02010609060101010101"/>
    <w:charset w:val="86"/>
    <w:family w:val="auto"/>
    <w:pitch w:val="default"/>
    <w:sig w:usb0="00000000" w:usb1="00000000" w:usb2="00000016" w:usb3="00000000" w:csb0="00040001" w:csb1="00000000"/>
  </w:font>
  <w:font w:name="方正仿宋_GBK">
    <w:panose1 w:val="02000000000000000000"/>
    <w:charset w:val="86"/>
    <w:family w:val="auto"/>
    <w:pitch w:val="default"/>
    <w:sig w:usb0="00000001" w:usb1="08000000" w:usb2="00000000" w:usb3="00000000" w:csb0="00040000" w:csb1="00000000"/>
  </w:font>
  <w:font w:name="微软雅黑">
    <w:altName w:val="方正黑体_GBK"/>
    <w:panose1 w:val="020B0503020204020204"/>
    <w:charset w:val="86"/>
    <w:family w:val="auto"/>
    <w:pitch w:val="default"/>
    <w:sig w:usb0="00000000" w:usb1="00000000" w:usb2="00000016" w:usb3="00000000" w:csb0="0004001F"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rFonts w:ascii="Calibri" w:hAnsi="Calibri" w:eastAsia="宋体" w:cs="黑体"/>
        <w:kern w:val="2"/>
        <w:sz w:val="18"/>
        <w:szCs w:val="22"/>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EBD2122"/>
    <w:rsid w:val="007E6C1F"/>
    <w:rsid w:val="00AF566A"/>
    <w:rsid w:val="00B6553A"/>
    <w:rsid w:val="01B104CA"/>
    <w:rsid w:val="02106AB0"/>
    <w:rsid w:val="02B43A28"/>
    <w:rsid w:val="03351867"/>
    <w:rsid w:val="03BC22A0"/>
    <w:rsid w:val="046F331E"/>
    <w:rsid w:val="05B61658"/>
    <w:rsid w:val="0755643D"/>
    <w:rsid w:val="07956271"/>
    <w:rsid w:val="09721397"/>
    <w:rsid w:val="0BB63BED"/>
    <w:rsid w:val="0EB97A43"/>
    <w:rsid w:val="0EBD2122"/>
    <w:rsid w:val="0F214EAE"/>
    <w:rsid w:val="11B71E6A"/>
    <w:rsid w:val="123B6A64"/>
    <w:rsid w:val="1AA4618B"/>
    <w:rsid w:val="1AAF0063"/>
    <w:rsid w:val="1BE140DE"/>
    <w:rsid w:val="1BFF272F"/>
    <w:rsid w:val="1C1F5136"/>
    <w:rsid w:val="1D225FD8"/>
    <w:rsid w:val="218421C7"/>
    <w:rsid w:val="22C25BA6"/>
    <w:rsid w:val="23752B3F"/>
    <w:rsid w:val="23783AA5"/>
    <w:rsid w:val="248C197D"/>
    <w:rsid w:val="252959AF"/>
    <w:rsid w:val="277A6671"/>
    <w:rsid w:val="27F37477"/>
    <w:rsid w:val="292D35B7"/>
    <w:rsid w:val="2EDF14BE"/>
    <w:rsid w:val="2FA27D05"/>
    <w:rsid w:val="319224D8"/>
    <w:rsid w:val="32500693"/>
    <w:rsid w:val="325B33EA"/>
    <w:rsid w:val="33EB6CFF"/>
    <w:rsid w:val="35A12947"/>
    <w:rsid w:val="35ED6CDC"/>
    <w:rsid w:val="36FD5C1C"/>
    <w:rsid w:val="37387040"/>
    <w:rsid w:val="375B650A"/>
    <w:rsid w:val="38A32BEF"/>
    <w:rsid w:val="39AA36F9"/>
    <w:rsid w:val="3A37568D"/>
    <w:rsid w:val="3B625C0A"/>
    <w:rsid w:val="3CEE1963"/>
    <w:rsid w:val="44C36AD5"/>
    <w:rsid w:val="45D82D63"/>
    <w:rsid w:val="472F7CDD"/>
    <w:rsid w:val="48C30100"/>
    <w:rsid w:val="4A0E12C1"/>
    <w:rsid w:val="4AD222D3"/>
    <w:rsid w:val="4AD41289"/>
    <w:rsid w:val="4C4E6E28"/>
    <w:rsid w:val="4C9C27FE"/>
    <w:rsid w:val="4DC63409"/>
    <w:rsid w:val="4EA736C8"/>
    <w:rsid w:val="4F4F0F4A"/>
    <w:rsid w:val="512260B4"/>
    <w:rsid w:val="52BD6ACB"/>
    <w:rsid w:val="52F245E0"/>
    <w:rsid w:val="54F22F39"/>
    <w:rsid w:val="55537534"/>
    <w:rsid w:val="561A74F1"/>
    <w:rsid w:val="59502636"/>
    <w:rsid w:val="597244E8"/>
    <w:rsid w:val="5EB71C30"/>
    <w:rsid w:val="5EE425D6"/>
    <w:rsid w:val="5FE92AFB"/>
    <w:rsid w:val="62301110"/>
    <w:rsid w:val="63791105"/>
    <w:rsid w:val="66AF0CE5"/>
    <w:rsid w:val="66B65C39"/>
    <w:rsid w:val="66BB0757"/>
    <w:rsid w:val="6763037A"/>
    <w:rsid w:val="67F21848"/>
    <w:rsid w:val="6A6066B5"/>
    <w:rsid w:val="6AC537CF"/>
    <w:rsid w:val="6AD90E24"/>
    <w:rsid w:val="6D787E40"/>
    <w:rsid w:val="6E5B14A6"/>
    <w:rsid w:val="6F3100D6"/>
    <w:rsid w:val="70CA6ABC"/>
    <w:rsid w:val="711B255E"/>
    <w:rsid w:val="723459BC"/>
    <w:rsid w:val="72DC4A64"/>
    <w:rsid w:val="7415168F"/>
    <w:rsid w:val="7460645B"/>
    <w:rsid w:val="75216EAC"/>
    <w:rsid w:val="789E779C"/>
    <w:rsid w:val="78CE3B31"/>
    <w:rsid w:val="7BB51E06"/>
    <w:rsid w:val="7C387F7C"/>
    <w:rsid w:val="7CCC5441"/>
    <w:rsid w:val="7CE871EA"/>
    <w:rsid w:val="7E3838BC"/>
    <w:rsid w:val="7FE83423"/>
    <w:rsid w:val="D79F6008"/>
    <w:rsid w:val="DD7EA4FC"/>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Block Text"/>
    <w:basedOn w:val="1"/>
    <w:qFormat/>
    <w:uiPriority w:val="0"/>
    <w:pPr>
      <w:spacing w:after="120"/>
      <w:ind w:left="1440" w:leftChars="700" w:right="1440" w:rightChars="700"/>
    </w:pPr>
  </w:style>
  <w:style w:type="paragraph" w:styleId="3">
    <w:name w:val="Normal Indent"/>
    <w:basedOn w:val="1"/>
    <w:unhideWhenUsed/>
    <w:qFormat/>
    <w:uiPriority w:val="99"/>
    <w:pPr>
      <w:adjustRightInd w:val="0"/>
      <w:spacing w:line="360" w:lineRule="atLeast"/>
      <w:ind w:firstLine="420"/>
      <w:jc w:val="left"/>
      <w:textAlignment w:val="baseline"/>
    </w:pPr>
    <w:rPr>
      <w:kern w:val="0"/>
      <w:sz w:val="25"/>
      <w:szCs w:val="20"/>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9">
    <w:name w:val="Hyperlink"/>
    <w:basedOn w:val="8"/>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16</Pages>
  <Words>8327</Words>
  <Characters>8731</Characters>
  <Lines>7</Lines>
  <Paragraphs>2</Paragraphs>
  <TotalTime>9</TotalTime>
  <ScaleCrop>false</ScaleCrop>
  <LinksUpToDate>false</LinksUpToDate>
  <CharactersWithSpaces>8784</CharactersWithSpaces>
  <Application>WPS Office_11.8.2.12313_F1E327BC-269C-435d-A152-05C5408002CA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2020-02-04T19:46:00Z</dcterms:created>
  <dc:creator>欣欣大人</dc:creator>
  <cp:lastModifiedBy>admin123</cp:lastModifiedBy>
  <cp:lastPrinted>2022-03-29T00:07:00Z</cp:lastPrinted>
  <dcterms:modified xsi:type="dcterms:W3CDTF">2025-07-29T18:20:37Z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2052-11.8.2.12313</vt:lpwstr>
  </property>
  <property fmtid="{D5CDD505-2E9C-101B-9397-08002B2CF9AE}" pid="3" name="ICV">
    <vt:lpwstr>1F60D70E386746F6F2932A68A7DB6D05</vt:lpwstr>
  </property>
  <property fmtid="{D5CDD505-2E9C-101B-9397-08002B2CF9AE}" pid="4" name="KSOTemplateDocerSaveRecord">
    <vt:lpwstr>eyJoZGlkIjoiZWFiZDA5ODMyMjczYmM0MDUyYjk1NDhmMzg4ZjdmODkiLCJ1c2VySWQiOiIxNTUwMjQwMDk2In0=</vt:lpwstr>
  </property>
</Properties>
</file>