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32BBED">
      <w:pPr>
        <w:keepNext w:val="0"/>
        <w:keepLines w:val="0"/>
        <w:pageBreakBefore w:val="0"/>
        <w:widowControl w:val="0"/>
        <w:kinsoku/>
        <w:wordWrap/>
        <w:overflowPunct/>
        <w:topLinePunct w:val="0"/>
        <w:autoSpaceDE/>
        <w:autoSpaceDN/>
        <w:bidi w:val="0"/>
        <w:adjustRightInd/>
        <w:snapToGrid/>
        <w:spacing w:line="780" w:lineRule="exact"/>
        <w:jc w:val="both"/>
        <w:textAlignment w:val="auto"/>
        <w:outlineLvl w:val="9"/>
        <w:rPr>
          <w:rFonts w:hint="eastAsia" w:ascii="宋体" w:hAnsi="宋体" w:eastAsia="宋体" w:cs="宋体"/>
          <w:b/>
          <w:bCs/>
          <w:sz w:val="44"/>
          <w:szCs w:val="44"/>
          <w:highlight w:val="none"/>
          <w:shd w:val="clear" w:color="auto" w:fill="auto"/>
        </w:rPr>
      </w:pPr>
    </w:p>
    <w:p w14:paraId="451DD04E">
      <w:pPr>
        <w:keepNext w:val="0"/>
        <w:keepLines w:val="0"/>
        <w:pageBreakBefore w:val="0"/>
        <w:widowControl w:val="0"/>
        <w:kinsoku/>
        <w:wordWrap/>
        <w:overflowPunct/>
        <w:topLinePunct w:val="0"/>
        <w:autoSpaceDE/>
        <w:autoSpaceDN/>
        <w:bidi w:val="0"/>
        <w:adjustRightInd/>
        <w:snapToGrid/>
        <w:textAlignment w:val="auto"/>
        <w:outlineLvl w:val="9"/>
        <w:rPr>
          <w:rFonts w:hint="eastAsia"/>
        </w:rPr>
      </w:pPr>
    </w:p>
    <w:p w14:paraId="38C73C51">
      <w:pPr>
        <w:keepNext w:val="0"/>
        <w:keepLines w:val="0"/>
        <w:pageBreakBefore w:val="0"/>
        <w:widowControl w:val="0"/>
        <w:kinsoku/>
        <w:wordWrap/>
        <w:overflowPunct/>
        <w:topLinePunct w:val="0"/>
        <w:autoSpaceDE/>
        <w:autoSpaceDN/>
        <w:bidi w:val="0"/>
        <w:adjustRightInd/>
        <w:snapToGrid/>
        <w:textAlignment w:val="auto"/>
        <w:outlineLvl w:val="9"/>
        <w:rPr>
          <w:rFonts w:hint="eastAsia"/>
        </w:rPr>
      </w:pPr>
    </w:p>
    <w:p w14:paraId="1CED22AF">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shd w:val="clear" w:color="auto" w:fill="auto"/>
          <w:lang w:eastAsia="zh-CN"/>
        </w:rPr>
      </w:pPr>
      <w:r>
        <w:rPr>
          <w:rFonts w:hint="eastAsia" w:ascii="宋体" w:hAnsi="宋体" w:cs="宋体"/>
          <w:b/>
          <w:bCs/>
          <w:kern w:val="0"/>
          <w:sz w:val="44"/>
          <w:szCs w:val="44"/>
          <w:highlight w:val="none"/>
          <w:shd w:val="clear" w:color="auto" w:fill="auto"/>
          <w:lang w:val="en-US" w:eastAsia="zh-CN"/>
        </w:rPr>
        <w:t>中共</w:t>
      </w:r>
      <w:r>
        <w:rPr>
          <w:rFonts w:hint="eastAsia" w:ascii="宋体" w:hAnsi="宋体" w:cs="宋体"/>
          <w:b/>
          <w:bCs/>
          <w:kern w:val="0"/>
          <w:sz w:val="44"/>
          <w:szCs w:val="44"/>
          <w:highlight w:val="none"/>
          <w:shd w:val="clear" w:color="auto" w:fill="auto"/>
          <w:lang w:eastAsia="zh-CN"/>
        </w:rPr>
        <w:t>石家庄市</w:t>
      </w:r>
      <w:r>
        <w:rPr>
          <w:rFonts w:hint="eastAsia" w:ascii="宋体" w:hAnsi="宋体" w:cs="宋体"/>
          <w:b/>
          <w:bCs/>
          <w:kern w:val="0"/>
          <w:sz w:val="44"/>
          <w:szCs w:val="44"/>
          <w:highlight w:val="none"/>
          <w:shd w:val="clear" w:color="auto" w:fill="auto"/>
          <w:lang w:val="en-US" w:eastAsia="zh-CN"/>
        </w:rPr>
        <w:t>委老干部局</w:t>
      </w:r>
    </w:p>
    <w:p w14:paraId="707C0DA4">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highlight w:val="none"/>
          <w:shd w:val="clear" w:color="auto" w:fill="auto"/>
          <w:lang w:eastAsia="zh-CN"/>
        </w:rPr>
      </w:pPr>
      <w:r>
        <w:rPr>
          <w:rFonts w:hint="eastAsia" w:ascii="宋体" w:hAnsi="宋体" w:cs="宋体"/>
          <w:b/>
          <w:bCs/>
          <w:kern w:val="0"/>
          <w:sz w:val="44"/>
          <w:szCs w:val="44"/>
          <w:highlight w:val="none"/>
          <w:shd w:val="clear" w:color="auto" w:fill="auto"/>
          <w:lang w:val="en-US" w:eastAsia="zh-CN"/>
        </w:rPr>
        <w:t>2024部门年度绩效</w:t>
      </w:r>
      <w:r>
        <w:rPr>
          <w:rFonts w:hint="eastAsia" w:ascii="宋体" w:hAnsi="宋体" w:cs="宋体"/>
          <w:b/>
          <w:bCs/>
          <w:kern w:val="0"/>
          <w:sz w:val="44"/>
          <w:szCs w:val="44"/>
          <w:highlight w:val="none"/>
          <w:shd w:val="clear" w:color="auto" w:fill="auto"/>
          <w:lang w:eastAsia="zh-CN"/>
        </w:rPr>
        <w:t>自评</w:t>
      </w:r>
      <w:r>
        <w:rPr>
          <w:rFonts w:hint="eastAsia" w:ascii="宋体" w:hAnsi="宋体" w:cs="宋体"/>
          <w:b/>
          <w:bCs/>
          <w:kern w:val="0"/>
          <w:sz w:val="44"/>
          <w:szCs w:val="44"/>
          <w:highlight w:val="none"/>
          <w:shd w:val="clear" w:color="auto" w:fill="auto"/>
          <w:lang w:val="en-US" w:eastAsia="zh-CN"/>
        </w:rPr>
        <w:t>工作</w:t>
      </w:r>
      <w:r>
        <w:rPr>
          <w:rFonts w:hint="eastAsia" w:ascii="宋体" w:hAnsi="宋体" w:cs="宋体"/>
          <w:b/>
          <w:bCs/>
          <w:kern w:val="0"/>
          <w:sz w:val="44"/>
          <w:szCs w:val="44"/>
          <w:highlight w:val="none"/>
          <w:shd w:val="clear" w:color="auto" w:fill="auto"/>
          <w:lang w:eastAsia="zh-CN"/>
        </w:rPr>
        <w:t>报告</w:t>
      </w:r>
    </w:p>
    <w:p w14:paraId="7F895D09">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default" w:ascii="方正小标宋简体" w:hAnsi="Calibri" w:eastAsia="方正小标宋简体" w:cs="黑体"/>
          <w:b/>
          <w:bCs/>
          <w:sz w:val="44"/>
          <w:szCs w:val="44"/>
          <w:highlight w:val="none"/>
          <w:shd w:val="clear" w:color="auto" w:fill="auto"/>
          <w:lang w:val="en-US" w:eastAsia="zh-CN"/>
        </w:rPr>
      </w:pPr>
    </w:p>
    <w:p w14:paraId="63B6854F">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14:paraId="7B6601A9">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14:paraId="254F05B6">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14:paraId="7C314F6F">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方正小标宋简体" w:hAnsi="Calibri" w:eastAsia="方正小标宋简体" w:cs="黑体"/>
          <w:sz w:val="44"/>
          <w:szCs w:val="44"/>
          <w:highlight w:val="none"/>
          <w:shd w:val="clear" w:color="auto" w:fill="auto"/>
        </w:rPr>
      </w:pPr>
    </w:p>
    <w:p w14:paraId="47C7A30A">
      <w:pPr>
        <w:keepNext w:val="0"/>
        <w:keepLines w:val="0"/>
        <w:pageBreakBefore w:val="0"/>
        <w:widowControl w:val="0"/>
        <w:kinsoku/>
        <w:wordWrap/>
        <w:overflowPunct/>
        <w:topLinePunct w:val="0"/>
        <w:autoSpaceDE/>
        <w:autoSpaceDN/>
        <w:bidi w:val="0"/>
        <w:adjustRightInd/>
        <w:snapToGrid/>
        <w:spacing w:before="240" w:after="60" w:line="780" w:lineRule="exact"/>
        <w:textAlignment w:val="auto"/>
        <w:rPr>
          <w:rFonts w:ascii="仿宋_GB2312" w:hAnsi="Calibri" w:eastAsia="仿宋_GB2312"/>
          <w:bCs/>
          <w:kern w:val="28"/>
          <w:sz w:val="32"/>
          <w:szCs w:val="20"/>
          <w:highlight w:val="none"/>
          <w:shd w:val="clear" w:color="auto" w:fill="auto"/>
          <w:lang w:val="zh-CN"/>
        </w:rPr>
      </w:pPr>
    </w:p>
    <w:p w14:paraId="3BB2F4F0">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eastAsia" w:eastAsia="宋体" w:cs="Times New Roman"/>
          <w:b/>
          <w:bCs/>
          <w:sz w:val="32"/>
          <w:szCs w:val="32"/>
          <w:highlight w:val="none"/>
          <w:shd w:val="clear" w:color="auto" w:fill="auto"/>
          <w:lang w:val="en-US" w:eastAsia="zh-CN"/>
        </w:rPr>
      </w:pPr>
    </w:p>
    <w:p w14:paraId="4E037216">
      <w:pPr>
        <w:keepNext w:val="0"/>
        <w:keepLines w:val="0"/>
        <w:pageBreakBefore w:val="0"/>
        <w:widowControl w:val="0"/>
        <w:kinsoku/>
        <w:wordWrap/>
        <w:overflowPunct/>
        <w:topLinePunct w:val="0"/>
        <w:autoSpaceDE/>
        <w:autoSpaceDN/>
        <w:bidi w:val="0"/>
        <w:adjustRightInd/>
        <w:snapToGrid/>
        <w:spacing w:before="240" w:after="60" w:line="780" w:lineRule="exact"/>
        <w:jc w:val="center"/>
        <w:textAlignment w:val="auto"/>
        <w:rPr>
          <w:rFonts w:hint="default" w:ascii="仿宋_GB2312" w:hAnsi="Calibri" w:eastAsia="仿宋_GB2312"/>
          <w:b/>
          <w:bCs w:val="0"/>
          <w:kern w:val="28"/>
          <w:sz w:val="32"/>
          <w:szCs w:val="20"/>
          <w:highlight w:val="none"/>
          <w:shd w:val="clear" w:color="auto" w:fill="auto"/>
          <w:lang w:val="en-US" w:eastAsia="zh-CN"/>
        </w:rPr>
      </w:pPr>
      <w:r>
        <w:rPr>
          <w:rFonts w:hint="eastAsia" w:cs="Times New Roman"/>
          <w:b/>
          <w:bCs/>
          <w:sz w:val="32"/>
          <w:szCs w:val="32"/>
          <w:highlight w:val="none"/>
          <w:shd w:val="clear" w:color="auto" w:fill="auto"/>
          <w:lang w:val="en-US" w:eastAsia="zh-CN"/>
        </w:rPr>
        <w:t>中共石家庄市委老干部局</w:t>
      </w:r>
    </w:p>
    <w:p w14:paraId="61F5EE52">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shd w:val="clear" w:color="auto" w:fill="auto"/>
          <w:lang w:val="zh-CN"/>
        </w:rPr>
      </w:pPr>
      <w:bookmarkStart w:id="0" w:name="_Toc3470"/>
    </w:p>
    <w:p w14:paraId="543B3068">
      <w:pPr>
        <w:keepNext w:val="0"/>
        <w:keepLines w:val="0"/>
        <w:pageBreakBefore w:val="0"/>
        <w:widowControl w:val="0"/>
        <w:kinsoku/>
        <w:wordWrap/>
        <w:overflowPunct/>
        <w:topLinePunct w:val="0"/>
        <w:autoSpaceDE/>
        <w:autoSpaceDN/>
        <w:bidi w:val="0"/>
        <w:adjustRightInd/>
        <w:snapToGrid/>
        <w:spacing w:line="780" w:lineRule="exact"/>
        <w:jc w:val="both"/>
        <w:textAlignment w:val="auto"/>
        <w:rPr>
          <w:rFonts w:ascii="仿宋_GB2312" w:hAnsi="Calibri" w:eastAsia="仿宋_GB2312"/>
          <w:b/>
          <w:bCs w:val="0"/>
          <w:sz w:val="32"/>
          <w:szCs w:val="20"/>
          <w:highlight w:val="none"/>
          <w:shd w:val="clear" w:color="auto" w:fill="auto"/>
          <w:lang w:val="zh-CN"/>
        </w:rPr>
      </w:pPr>
    </w:p>
    <w:bookmarkEnd w:id="0"/>
    <w:p w14:paraId="3CF8C026">
      <w:pPr>
        <w:keepNext w:val="0"/>
        <w:keepLines w:val="0"/>
        <w:pageBreakBefore w:val="0"/>
        <w:widowControl w:val="0"/>
        <w:kinsoku/>
        <w:wordWrap/>
        <w:overflowPunct/>
        <w:topLinePunct w:val="0"/>
        <w:autoSpaceDE/>
        <w:autoSpaceDN/>
        <w:bidi w:val="0"/>
        <w:adjustRightInd/>
        <w:snapToGrid/>
        <w:spacing w:line="780" w:lineRule="exact"/>
        <w:jc w:val="center"/>
        <w:textAlignment w:val="auto"/>
        <w:rPr>
          <w:rFonts w:hint="eastAsia" w:ascii="宋体" w:hAnsi="宋体" w:eastAsia="宋体" w:cs="宋体"/>
          <w:sz w:val="44"/>
          <w:szCs w:val="44"/>
          <w:highlight w:val="none"/>
          <w:shd w:val="clear" w:color="auto" w:fill="auto"/>
        </w:rPr>
      </w:pPr>
      <w:r>
        <w:rPr>
          <w:rFonts w:hint="eastAsia" w:ascii="仿宋" w:hAnsi="仿宋" w:eastAsia="仿宋" w:cs="仿宋"/>
          <w:b/>
          <w:bCs/>
          <w:sz w:val="28"/>
          <w:szCs w:val="28"/>
          <w:highlight w:val="none"/>
          <w:shd w:val="clear" w:color="auto" w:fill="auto"/>
          <w:lang w:val="zh-CN" w:eastAsia="zh-CN"/>
        </w:rPr>
        <w:t>202</w:t>
      </w:r>
      <w:r>
        <w:rPr>
          <w:rFonts w:hint="eastAsia" w:ascii="仿宋" w:hAnsi="仿宋" w:eastAsia="仿宋" w:cs="仿宋"/>
          <w:b/>
          <w:bCs/>
          <w:sz w:val="28"/>
          <w:szCs w:val="28"/>
          <w:highlight w:val="none"/>
          <w:shd w:val="clear" w:color="auto" w:fill="auto"/>
          <w:lang w:val="en-US" w:eastAsia="zh-CN"/>
        </w:rPr>
        <w:t>5</w:t>
      </w:r>
      <w:r>
        <w:rPr>
          <w:rFonts w:hint="eastAsia" w:ascii="仿宋" w:hAnsi="仿宋" w:eastAsia="仿宋" w:cs="仿宋"/>
          <w:b/>
          <w:bCs/>
          <w:sz w:val="28"/>
          <w:szCs w:val="28"/>
          <w:highlight w:val="none"/>
          <w:shd w:val="clear" w:color="auto" w:fill="auto"/>
          <w:lang w:val="zh-CN" w:eastAsia="zh-CN"/>
        </w:rPr>
        <w:t>年</w:t>
      </w:r>
      <w:r>
        <w:rPr>
          <w:rFonts w:hint="eastAsia" w:ascii="仿宋" w:hAnsi="仿宋" w:eastAsia="仿宋" w:cs="仿宋"/>
          <w:b/>
          <w:bCs/>
          <w:sz w:val="28"/>
          <w:szCs w:val="28"/>
          <w:highlight w:val="none"/>
          <w:shd w:val="clear" w:color="auto" w:fill="auto"/>
          <w:lang w:val="en-US" w:eastAsia="zh-CN"/>
        </w:rPr>
        <w:t>3</w:t>
      </w:r>
      <w:r>
        <w:rPr>
          <w:rFonts w:hint="eastAsia" w:ascii="仿宋" w:hAnsi="仿宋" w:eastAsia="仿宋" w:cs="仿宋"/>
          <w:b/>
          <w:bCs/>
          <w:sz w:val="28"/>
          <w:szCs w:val="28"/>
          <w:highlight w:val="none"/>
          <w:shd w:val="clear" w:color="auto" w:fill="auto"/>
          <w:lang w:val="zh-CN" w:eastAsia="zh-CN"/>
        </w:rPr>
        <w:t>月</w:t>
      </w:r>
    </w:p>
    <w:p w14:paraId="6C87CEC8">
      <w:pPr>
        <w:spacing w:line="360" w:lineRule="auto"/>
        <w:jc w:val="both"/>
        <w:rPr>
          <w:rFonts w:hint="eastAsia" w:ascii="宋体" w:hAnsi="宋体" w:eastAsia="宋体" w:cs="宋体"/>
          <w:sz w:val="44"/>
          <w:szCs w:val="44"/>
          <w:highlight w:val="none"/>
          <w:shd w:val="clear" w:color="auto" w:fill="auto"/>
        </w:rPr>
      </w:pPr>
    </w:p>
    <w:p w14:paraId="091174BD">
      <w:pPr>
        <w:spacing w:line="360" w:lineRule="auto"/>
        <w:jc w:val="both"/>
        <w:rPr>
          <w:rFonts w:hint="eastAsia" w:ascii="仿宋_GB2312" w:hAnsi="Calibri" w:eastAsia="仿宋_GB2312"/>
          <w:bCs/>
          <w:sz w:val="32"/>
          <w:szCs w:val="20"/>
          <w:highlight w:val="none"/>
          <w:shd w:val="clear" w:color="auto" w:fill="auto"/>
          <w:lang w:val="zh-CN"/>
        </w:rPr>
        <w:sectPr>
          <w:headerReference r:id="rId3" w:type="default"/>
          <w:pgSz w:w="11906" w:h="16838"/>
          <w:pgMar w:top="2041" w:right="1304" w:bottom="1701" w:left="1531"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222A14AA">
      <w:pPr>
        <w:keepNext w:val="0"/>
        <w:keepLines w:val="0"/>
        <w:pageBreakBefore w:val="0"/>
        <w:widowControl w:val="0"/>
        <w:kinsoku/>
        <w:wordWrap/>
        <w:overflowPunct/>
        <w:topLinePunct w:val="0"/>
        <w:autoSpaceDE/>
        <w:autoSpaceDN/>
        <w:bidi w:val="0"/>
        <w:adjustRightInd/>
        <w:snapToGrid/>
        <w:spacing w:before="0" w:beforeLines="0" w:after="157" w:afterLines="50" w:line="240" w:lineRule="auto"/>
        <w:ind w:left="0" w:leftChars="0" w:right="0" w:rightChars="0" w:firstLine="0" w:firstLineChars="0"/>
        <w:jc w:val="center"/>
        <w:textAlignment w:val="auto"/>
        <w:rPr>
          <w:rFonts w:ascii="Times New Roman" w:hAnsi="Times New Roman"/>
          <w:b/>
          <w:bCs/>
        </w:rPr>
      </w:pPr>
      <w:r>
        <w:rPr>
          <w:rFonts w:ascii="Times New Roman" w:hAnsi="Times New Roman" w:eastAsia="宋体"/>
          <w:b/>
          <w:bCs/>
          <w:sz w:val="40"/>
          <w:szCs w:val="48"/>
        </w:rPr>
        <w:t>目</w:t>
      </w:r>
      <w:r>
        <w:rPr>
          <w:rFonts w:hint="eastAsia" w:ascii="Times New Roman" w:hAnsi="Times New Roman" w:eastAsia="宋体"/>
          <w:b/>
          <w:bCs/>
          <w:sz w:val="40"/>
          <w:szCs w:val="48"/>
          <w:lang w:val="en-US" w:eastAsia="zh-CN"/>
        </w:rPr>
        <w:t xml:space="preserve"> </w:t>
      </w:r>
      <w:r>
        <w:rPr>
          <w:rFonts w:ascii="Times New Roman" w:hAnsi="Times New Roman" w:eastAsia="宋体"/>
          <w:b/>
          <w:bCs/>
          <w:sz w:val="40"/>
          <w:szCs w:val="48"/>
        </w:rPr>
        <w:t>录</w:t>
      </w:r>
    </w:p>
    <w:p w14:paraId="6A7783F3">
      <w:pPr>
        <w:pStyle w:val="8"/>
        <w:tabs>
          <w:tab w:val="right" w:leader="dot" w:pos="9071"/>
        </w:tabs>
        <w:rPr>
          <w:sz w:val="28"/>
          <w:szCs w:val="36"/>
        </w:rPr>
      </w:pPr>
      <w:r>
        <w:rPr>
          <w:rFonts w:hint="eastAsia" w:ascii="Times New Roman" w:hAnsi="Times New Roman" w:cs="宋体"/>
          <w:b/>
          <w:bCs/>
          <w:kern w:val="0"/>
          <w:sz w:val="44"/>
          <w:szCs w:val="44"/>
        </w:rPr>
        <w:fldChar w:fldCharType="begin"/>
      </w:r>
      <w:r>
        <w:rPr>
          <w:rFonts w:hint="eastAsia" w:ascii="Times New Roman" w:hAnsi="Times New Roman" w:cs="宋体"/>
          <w:b/>
          <w:bCs/>
          <w:kern w:val="0"/>
          <w:sz w:val="44"/>
          <w:szCs w:val="44"/>
        </w:rPr>
        <w:instrText xml:space="preserve">TOC \o "1-2" \h \u </w:instrText>
      </w:r>
      <w:r>
        <w:rPr>
          <w:rFonts w:hint="eastAsia" w:ascii="Times New Roman" w:hAnsi="Times New Roman" w:cs="宋体"/>
          <w:b/>
          <w:bCs/>
          <w:kern w:val="0"/>
          <w:sz w:val="44"/>
          <w:szCs w:val="44"/>
        </w:rPr>
        <w:fldChar w:fldCharType="separate"/>
      </w: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_Toc4051 </w:instrText>
      </w:r>
      <w:r>
        <w:rPr>
          <w:rFonts w:hint="eastAsia" w:ascii="Times New Roman" w:hAnsi="Times New Roman" w:cs="宋体"/>
          <w:bCs/>
          <w:kern w:val="0"/>
          <w:sz w:val="28"/>
          <w:szCs w:val="56"/>
        </w:rPr>
        <w:fldChar w:fldCharType="separate"/>
      </w:r>
      <w:r>
        <w:rPr>
          <w:rFonts w:hint="eastAsia" w:ascii="Times New Roman" w:hAnsi="Times New Roman" w:eastAsia="黑体" w:cs="黑体"/>
          <w:sz w:val="28"/>
          <w:szCs w:val="44"/>
          <w:highlight w:val="none"/>
          <w:shd w:val="clear" w:color="auto" w:fill="auto"/>
        </w:rPr>
        <w:t>一、绩效自评工作组织开展情况</w:t>
      </w:r>
      <w:r>
        <w:rPr>
          <w:sz w:val="28"/>
          <w:szCs w:val="36"/>
        </w:rPr>
        <w:tab/>
      </w:r>
      <w:r>
        <w:rPr>
          <w:sz w:val="28"/>
          <w:szCs w:val="36"/>
        </w:rPr>
        <w:fldChar w:fldCharType="begin"/>
      </w:r>
      <w:r>
        <w:rPr>
          <w:sz w:val="28"/>
          <w:szCs w:val="36"/>
        </w:rPr>
        <w:instrText xml:space="preserve"> PAGEREF _Toc4051 \h </w:instrText>
      </w:r>
      <w:r>
        <w:rPr>
          <w:sz w:val="28"/>
          <w:szCs w:val="36"/>
        </w:rPr>
        <w:fldChar w:fldCharType="separate"/>
      </w:r>
      <w:r>
        <w:rPr>
          <w:sz w:val="28"/>
          <w:szCs w:val="36"/>
        </w:rPr>
        <w:t>- 1 -</w:t>
      </w:r>
      <w:r>
        <w:rPr>
          <w:sz w:val="28"/>
          <w:szCs w:val="36"/>
        </w:rPr>
        <w:fldChar w:fldCharType="end"/>
      </w:r>
      <w:r>
        <w:rPr>
          <w:rFonts w:hint="eastAsia" w:ascii="Times New Roman" w:hAnsi="Times New Roman" w:cs="宋体"/>
          <w:bCs/>
          <w:kern w:val="0"/>
          <w:sz w:val="28"/>
          <w:szCs w:val="56"/>
        </w:rPr>
        <w:fldChar w:fldCharType="end"/>
      </w:r>
    </w:p>
    <w:p w14:paraId="6A8D1EA9">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_Toc10339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一</w:t>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组织与实施情况</w:t>
      </w:r>
      <w:r>
        <w:rPr>
          <w:sz w:val="28"/>
          <w:szCs w:val="36"/>
        </w:rPr>
        <w:tab/>
      </w:r>
      <w:r>
        <w:rPr>
          <w:sz w:val="28"/>
          <w:szCs w:val="36"/>
        </w:rPr>
        <w:fldChar w:fldCharType="begin"/>
      </w:r>
      <w:r>
        <w:rPr>
          <w:sz w:val="28"/>
          <w:szCs w:val="36"/>
        </w:rPr>
        <w:instrText xml:space="preserve"> PAGEREF _Toc10339 \h </w:instrText>
      </w:r>
      <w:r>
        <w:rPr>
          <w:sz w:val="28"/>
          <w:szCs w:val="36"/>
        </w:rPr>
        <w:fldChar w:fldCharType="separate"/>
      </w:r>
      <w:r>
        <w:rPr>
          <w:sz w:val="28"/>
          <w:szCs w:val="36"/>
        </w:rPr>
        <w:t>- 1 -</w:t>
      </w:r>
      <w:r>
        <w:rPr>
          <w:sz w:val="28"/>
          <w:szCs w:val="36"/>
        </w:rPr>
        <w:fldChar w:fldCharType="end"/>
      </w:r>
      <w:r>
        <w:rPr>
          <w:rFonts w:hint="eastAsia" w:ascii="Times New Roman" w:hAnsi="Times New Roman" w:cs="宋体"/>
          <w:bCs/>
          <w:kern w:val="0"/>
          <w:sz w:val="28"/>
          <w:szCs w:val="56"/>
        </w:rPr>
        <w:fldChar w:fldCharType="end"/>
      </w:r>
    </w:p>
    <w:p w14:paraId="6AABDF33">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_Toc16266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二</w:t>
      </w:r>
      <w:r>
        <w:rPr>
          <w:rFonts w:hint="eastAsia" w:ascii="Times New Roman" w:hAnsi="Times New Roman" w:eastAsia="楷体" w:cs="楷体"/>
          <w:sz w:val="28"/>
          <w:szCs w:val="44"/>
          <w:highlight w:val="none"/>
          <w:shd w:val="clear" w:color="auto" w:fill="auto"/>
          <w:lang w:eastAsia="zh-CN"/>
        </w:rPr>
        <w:t>）预算安排及资金分配拨付</w:t>
      </w:r>
      <w:r>
        <w:rPr>
          <w:rFonts w:hint="eastAsia" w:ascii="Times New Roman" w:hAnsi="Times New Roman" w:eastAsia="楷体" w:cs="楷体"/>
          <w:sz w:val="28"/>
          <w:szCs w:val="44"/>
          <w:highlight w:val="none"/>
          <w:shd w:val="clear" w:color="auto" w:fill="auto"/>
          <w:lang w:val="en-US" w:eastAsia="zh-CN"/>
        </w:rPr>
        <w:t>情况</w:t>
      </w:r>
      <w:r>
        <w:rPr>
          <w:sz w:val="28"/>
          <w:szCs w:val="36"/>
        </w:rPr>
        <w:tab/>
      </w:r>
      <w:r>
        <w:rPr>
          <w:sz w:val="28"/>
          <w:szCs w:val="36"/>
        </w:rPr>
        <w:fldChar w:fldCharType="begin"/>
      </w:r>
      <w:r>
        <w:rPr>
          <w:sz w:val="28"/>
          <w:szCs w:val="36"/>
        </w:rPr>
        <w:instrText xml:space="preserve"> PAGEREF _Toc16266 \h </w:instrText>
      </w:r>
      <w:r>
        <w:rPr>
          <w:sz w:val="28"/>
          <w:szCs w:val="36"/>
        </w:rPr>
        <w:fldChar w:fldCharType="separate"/>
      </w:r>
      <w:r>
        <w:rPr>
          <w:sz w:val="28"/>
          <w:szCs w:val="36"/>
        </w:rPr>
        <w:t>- 2 -</w:t>
      </w:r>
      <w:r>
        <w:rPr>
          <w:sz w:val="28"/>
          <w:szCs w:val="36"/>
        </w:rPr>
        <w:fldChar w:fldCharType="end"/>
      </w:r>
      <w:r>
        <w:rPr>
          <w:rFonts w:hint="eastAsia" w:ascii="Times New Roman" w:hAnsi="Times New Roman" w:cs="宋体"/>
          <w:bCs/>
          <w:kern w:val="0"/>
          <w:sz w:val="28"/>
          <w:szCs w:val="56"/>
        </w:rPr>
        <w:fldChar w:fldCharType="end"/>
      </w:r>
    </w:p>
    <w:p w14:paraId="5659EA56">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_Toc15552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三</w:t>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制度建设情况</w:t>
      </w:r>
      <w:r>
        <w:rPr>
          <w:sz w:val="28"/>
          <w:szCs w:val="36"/>
        </w:rPr>
        <w:tab/>
      </w:r>
      <w:r>
        <w:rPr>
          <w:sz w:val="28"/>
          <w:szCs w:val="36"/>
        </w:rPr>
        <w:fldChar w:fldCharType="begin"/>
      </w:r>
      <w:r>
        <w:rPr>
          <w:sz w:val="28"/>
          <w:szCs w:val="36"/>
        </w:rPr>
        <w:instrText xml:space="preserve"> PAGEREF _Toc15552 \h </w:instrText>
      </w:r>
      <w:r>
        <w:rPr>
          <w:sz w:val="28"/>
          <w:szCs w:val="36"/>
        </w:rPr>
        <w:fldChar w:fldCharType="separate"/>
      </w:r>
      <w:r>
        <w:rPr>
          <w:sz w:val="28"/>
          <w:szCs w:val="36"/>
        </w:rPr>
        <w:t>- 2 -</w:t>
      </w:r>
      <w:r>
        <w:rPr>
          <w:sz w:val="28"/>
          <w:szCs w:val="36"/>
        </w:rPr>
        <w:fldChar w:fldCharType="end"/>
      </w:r>
      <w:r>
        <w:rPr>
          <w:rFonts w:hint="eastAsia" w:ascii="Times New Roman" w:hAnsi="Times New Roman" w:cs="宋体"/>
          <w:bCs/>
          <w:kern w:val="0"/>
          <w:sz w:val="28"/>
          <w:szCs w:val="56"/>
        </w:rPr>
        <w:fldChar w:fldCharType="end"/>
      </w:r>
    </w:p>
    <w:p w14:paraId="07D6A656">
      <w:pPr>
        <w:pStyle w:val="8"/>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_Toc3474 </w:instrText>
      </w:r>
      <w:r>
        <w:rPr>
          <w:rFonts w:hint="eastAsia" w:ascii="Times New Roman" w:hAnsi="Times New Roman" w:cs="宋体"/>
          <w:bCs/>
          <w:kern w:val="0"/>
          <w:sz w:val="28"/>
          <w:szCs w:val="56"/>
        </w:rPr>
        <w:fldChar w:fldCharType="separate"/>
      </w:r>
      <w:r>
        <w:rPr>
          <w:rFonts w:hint="eastAsia" w:ascii="Times New Roman" w:hAnsi="Times New Roman" w:eastAsia="黑体" w:cs="黑体"/>
          <w:sz w:val="28"/>
          <w:szCs w:val="44"/>
          <w:highlight w:val="none"/>
          <w:shd w:val="clear" w:color="auto" w:fill="auto"/>
        </w:rPr>
        <w:t>二、绩效目标实现情况</w:t>
      </w:r>
      <w:r>
        <w:rPr>
          <w:sz w:val="28"/>
          <w:szCs w:val="36"/>
        </w:rPr>
        <w:tab/>
      </w:r>
      <w:r>
        <w:rPr>
          <w:sz w:val="28"/>
          <w:szCs w:val="36"/>
        </w:rPr>
        <w:fldChar w:fldCharType="begin"/>
      </w:r>
      <w:r>
        <w:rPr>
          <w:sz w:val="28"/>
          <w:szCs w:val="36"/>
        </w:rPr>
        <w:instrText xml:space="preserve"> PAGEREF _Toc3474 \h </w:instrText>
      </w:r>
      <w:r>
        <w:rPr>
          <w:sz w:val="28"/>
          <w:szCs w:val="36"/>
        </w:rPr>
        <w:fldChar w:fldCharType="separate"/>
      </w:r>
      <w:r>
        <w:rPr>
          <w:sz w:val="28"/>
          <w:szCs w:val="36"/>
        </w:rPr>
        <w:t>- 3 -</w:t>
      </w:r>
      <w:r>
        <w:rPr>
          <w:sz w:val="28"/>
          <w:szCs w:val="36"/>
        </w:rPr>
        <w:fldChar w:fldCharType="end"/>
      </w:r>
      <w:r>
        <w:rPr>
          <w:rFonts w:hint="eastAsia" w:ascii="Times New Roman" w:hAnsi="Times New Roman" w:cs="宋体"/>
          <w:bCs/>
          <w:kern w:val="0"/>
          <w:sz w:val="28"/>
          <w:szCs w:val="56"/>
        </w:rPr>
        <w:fldChar w:fldCharType="end"/>
      </w:r>
    </w:p>
    <w:p w14:paraId="07BA5B69">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_Toc20591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一</w:t>
      </w:r>
      <w:r>
        <w:rPr>
          <w:rFonts w:hint="eastAsia" w:ascii="Times New Roman" w:hAnsi="Times New Roman" w:eastAsia="楷体" w:cs="楷体"/>
          <w:sz w:val="28"/>
          <w:szCs w:val="44"/>
          <w:highlight w:val="none"/>
          <w:shd w:val="clear" w:color="auto" w:fill="auto"/>
          <w:lang w:eastAsia="zh-CN"/>
        </w:rPr>
        <w:t>）部门总体工作开展情况</w:t>
      </w:r>
      <w:r>
        <w:rPr>
          <w:sz w:val="28"/>
          <w:szCs w:val="36"/>
        </w:rPr>
        <w:tab/>
      </w:r>
      <w:r>
        <w:rPr>
          <w:sz w:val="28"/>
          <w:szCs w:val="36"/>
        </w:rPr>
        <w:fldChar w:fldCharType="begin"/>
      </w:r>
      <w:r>
        <w:rPr>
          <w:sz w:val="28"/>
          <w:szCs w:val="36"/>
        </w:rPr>
        <w:instrText xml:space="preserve"> PAGEREF _Toc20591 \h </w:instrText>
      </w:r>
      <w:r>
        <w:rPr>
          <w:sz w:val="28"/>
          <w:szCs w:val="36"/>
        </w:rPr>
        <w:fldChar w:fldCharType="separate"/>
      </w:r>
      <w:r>
        <w:rPr>
          <w:sz w:val="28"/>
          <w:szCs w:val="36"/>
        </w:rPr>
        <w:t>- 3 -</w:t>
      </w:r>
      <w:r>
        <w:rPr>
          <w:sz w:val="28"/>
          <w:szCs w:val="36"/>
        </w:rPr>
        <w:fldChar w:fldCharType="end"/>
      </w:r>
      <w:r>
        <w:rPr>
          <w:rFonts w:hint="eastAsia" w:ascii="Times New Roman" w:hAnsi="Times New Roman" w:cs="宋体"/>
          <w:bCs/>
          <w:kern w:val="0"/>
          <w:sz w:val="28"/>
          <w:szCs w:val="56"/>
        </w:rPr>
        <w:fldChar w:fldCharType="end"/>
      </w:r>
    </w:p>
    <w:p w14:paraId="40CE76B3">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_Toc31691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val="en-US" w:eastAsia="zh-CN"/>
        </w:rPr>
        <w:t>（二）绩效目标完成情况</w:t>
      </w:r>
      <w:r>
        <w:rPr>
          <w:sz w:val="28"/>
          <w:szCs w:val="36"/>
        </w:rPr>
        <w:tab/>
      </w:r>
      <w:r>
        <w:rPr>
          <w:sz w:val="28"/>
          <w:szCs w:val="36"/>
        </w:rPr>
        <w:fldChar w:fldCharType="begin"/>
      </w:r>
      <w:r>
        <w:rPr>
          <w:sz w:val="28"/>
          <w:szCs w:val="36"/>
        </w:rPr>
        <w:instrText xml:space="preserve"> PAGEREF _Toc31691 \h </w:instrText>
      </w:r>
      <w:r>
        <w:rPr>
          <w:sz w:val="28"/>
          <w:szCs w:val="36"/>
        </w:rPr>
        <w:fldChar w:fldCharType="separate"/>
      </w:r>
      <w:r>
        <w:rPr>
          <w:sz w:val="28"/>
          <w:szCs w:val="36"/>
        </w:rPr>
        <w:t>- 7 -</w:t>
      </w:r>
      <w:r>
        <w:rPr>
          <w:sz w:val="28"/>
          <w:szCs w:val="36"/>
        </w:rPr>
        <w:fldChar w:fldCharType="end"/>
      </w:r>
      <w:r>
        <w:rPr>
          <w:rFonts w:hint="eastAsia" w:ascii="Times New Roman" w:hAnsi="Times New Roman" w:cs="宋体"/>
          <w:bCs/>
          <w:kern w:val="0"/>
          <w:sz w:val="28"/>
          <w:szCs w:val="56"/>
        </w:rPr>
        <w:fldChar w:fldCharType="end"/>
      </w:r>
    </w:p>
    <w:p w14:paraId="28B32D63">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_Toc8716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val="en-US" w:eastAsia="zh-CN"/>
        </w:rPr>
        <w:t>（三）存在的问题及原因</w:t>
      </w:r>
      <w:r>
        <w:rPr>
          <w:sz w:val="28"/>
          <w:szCs w:val="36"/>
        </w:rPr>
        <w:tab/>
      </w:r>
      <w:r>
        <w:rPr>
          <w:sz w:val="28"/>
          <w:szCs w:val="36"/>
        </w:rPr>
        <w:fldChar w:fldCharType="begin"/>
      </w:r>
      <w:r>
        <w:rPr>
          <w:sz w:val="28"/>
          <w:szCs w:val="36"/>
        </w:rPr>
        <w:instrText xml:space="preserve"> PAGEREF _Toc8716 \h </w:instrText>
      </w:r>
      <w:r>
        <w:rPr>
          <w:sz w:val="28"/>
          <w:szCs w:val="36"/>
        </w:rPr>
        <w:fldChar w:fldCharType="separate"/>
      </w:r>
      <w:r>
        <w:rPr>
          <w:sz w:val="28"/>
          <w:szCs w:val="36"/>
        </w:rPr>
        <w:t>- 11 -</w:t>
      </w:r>
      <w:r>
        <w:rPr>
          <w:sz w:val="28"/>
          <w:szCs w:val="36"/>
        </w:rPr>
        <w:fldChar w:fldCharType="end"/>
      </w:r>
      <w:r>
        <w:rPr>
          <w:rFonts w:hint="eastAsia" w:ascii="Times New Roman" w:hAnsi="Times New Roman" w:cs="宋体"/>
          <w:bCs/>
          <w:kern w:val="0"/>
          <w:sz w:val="28"/>
          <w:szCs w:val="56"/>
        </w:rPr>
        <w:fldChar w:fldCharType="end"/>
      </w:r>
    </w:p>
    <w:p w14:paraId="0BE440D9">
      <w:pPr>
        <w:pStyle w:val="8"/>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_Toc27064 </w:instrText>
      </w:r>
      <w:r>
        <w:rPr>
          <w:rFonts w:hint="eastAsia" w:ascii="Times New Roman" w:hAnsi="Times New Roman" w:cs="宋体"/>
          <w:bCs/>
          <w:kern w:val="0"/>
          <w:sz w:val="28"/>
          <w:szCs w:val="56"/>
        </w:rPr>
        <w:fldChar w:fldCharType="separate"/>
      </w:r>
      <w:r>
        <w:rPr>
          <w:rFonts w:hint="eastAsia" w:ascii="Times New Roman" w:hAnsi="Times New Roman" w:eastAsia="黑体" w:cs="黑体"/>
          <w:sz w:val="28"/>
          <w:szCs w:val="44"/>
          <w:highlight w:val="none"/>
          <w:shd w:val="clear" w:color="auto" w:fill="auto"/>
        </w:rPr>
        <w:t>三、绩效目标设定质量情况</w:t>
      </w:r>
      <w:r>
        <w:rPr>
          <w:sz w:val="28"/>
          <w:szCs w:val="36"/>
        </w:rPr>
        <w:tab/>
      </w:r>
      <w:r>
        <w:rPr>
          <w:sz w:val="28"/>
          <w:szCs w:val="36"/>
        </w:rPr>
        <w:fldChar w:fldCharType="begin"/>
      </w:r>
      <w:r>
        <w:rPr>
          <w:sz w:val="28"/>
          <w:szCs w:val="36"/>
        </w:rPr>
        <w:instrText xml:space="preserve"> PAGEREF _Toc27064 \h </w:instrText>
      </w:r>
      <w:r>
        <w:rPr>
          <w:sz w:val="28"/>
          <w:szCs w:val="36"/>
        </w:rPr>
        <w:fldChar w:fldCharType="separate"/>
      </w:r>
      <w:r>
        <w:rPr>
          <w:sz w:val="28"/>
          <w:szCs w:val="36"/>
        </w:rPr>
        <w:t>- 11 -</w:t>
      </w:r>
      <w:r>
        <w:rPr>
          <w:sz w:val="28"/>
          <w:szCs w:val="36"/>
        </w:rPr>
        <w:fldChar w:fldCharType="end"/>
      </w:r>
      <w:r>
        <w:rPr>
          <w:rFonts w:hint="eastAsia" w:ascii="Times New Roman" w:hAnsi="Times New Roman" w:cs="宋体"/>
          <w:bCs/>
          <w:kern w:val="0"/>
          <w:sz w:val="28"/>
          <w:szCs w:val="56"/>
        </w:rPr>
        <w:fldChar w:fldCharType="end"/>
      </w:r>
    </w:p>
    <w:p w14:paraId="656CFF24">
      <w:pPr>
        <w:pStyle w:val="8"/>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_Toc2331 </w:instrText>
      </w:r>
      <w:r>
        <w:rPr>
          <w:rFonts w:hint="eastAsia" w:ascii="Times New Roman" w:hAnsi="Times New Roman" w:cs="宋体"/>
          <w:bCs/>
          <w:kern w:val="0"/>
          <w:sz w:val="28"/>
          <w:szCs w:val="56"/>
        </w:rPr>
        <w:fldChar w:fldCharType="separate"/>
      </w:r>
      <w:r>
        <w:rPr>
          <w:rFonts w:hint="eastAsia" w:ascii="Times New Roman" w:hAnsi="Times New Roman" w:eastAsia="黑体" w:cs="黑体"/>
          <w:sz w:val="28"/>
          <w:szCs w:val="44"/>
          <w:highlight w:val="none"/>
          <w:shd w:val="clear" w:color="auto" w:fill="auto"/>
        </w:rPr>
        <w:t>四、整改措施及结果应用</w:t>
      </w:r>
      <w:r>
        <w:rPr>
          <w:sz w:val="28"/>
          <w:szCs w:val="36"/>
        </w:rPr>
        <w:tab/>
      </w:r>
      <w:r>
        <w:rPr>
          <w:sz w:val="28"/>
          <w:szCs w:val="36"/>
        </w:rPr>
        <w:fldChar w:fldCharType="begin"/>
      </w:r>
      <w:r>
        <w:rPr>
          <w:sz w:val="28"/>
          <w:szCs w:val="36"/>
        </w:rPr>
        <w:instrText xml:space="preserve"> PAGEREF _Toc2331 \h </w:instrText>
      </w:r>
      <w:r>
        <w:rPr>
          <w:sz w:val="28"/>
          <w:szCs w:val="36"/>
        </w:rPr>
        <w:fldChar w:fldCharType="separate"/>
      </w:r>
      <w:r>
        <w:rPr>
          <w:sz w:val="28"/>
          <w:szCs w:val="36"/>
        </w:rPr>
        <w:t>- 12 -</w:t>
      </w:r>
      <w:r>
        <w:rPr>
          <w:sz w:val="28"/>
          <w:szCs w:val="36"/>
        </w:rPr>
        <w:fldChar w:fldCharType="end"/>
      </w:r>
      <w:r>
        <w:rPr>
          <w:rFonts w:hint="eastAsia" w:ascii="Times New Roman" w:hAnsi="Times New Roman" w:cs="宋体"/>
          <w:bCs/>
          <w:kern w:val="0"/>
          <w:sz w:val="28"/>
          <w:szCs w:val="56"/>
        </w:rPr>
        <w:fldChar w:fldCharType="end"/>
      </w:r>
    </w:p>
    <w:p w14:paraId="059711FB">
      <w:pPr>
        <w:pStyle w:val="9"/>
        <w:tabs>
          <w:tab w:val="right" w:leader="dot" w:pos="9071"/>
        </w:tabs>
        <w:rPr>
          <w:sz w:val="28"/>
          <w:szCs w:val="36"/>
        </w:rPr>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_Toc5806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一</w:t>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整改措施</w:t>
      </w:r>
      <w:r>
        <w:rPr>
          <w:sz w:val="28"/>
          <w:szCs w:val="36"/>
        </w:rPr>
        <w:tab/>
      </w:r>
      <w:r>
        <w:rPr>
          <w:sz w:val="28"/>
          <w:szCs w:val="36"/>
        </w:rPr>
        <w:fldChar w:fldCharType="begin"/>
      </w:r>
      <w:r>
        <w:rPr>
          <w:sz w:val="28"/>
          <w:szCs w:val="36"/>
        </w:rPr>
        <w:instrText xml:space="preserve"> PAGEREF _Toc5806 \h </w:instrText>
      </w:r>
      <w:r>
        <w:rPr>
          <w:sz w:val="28"/>
          <w:szCs w:val="36"/>
        </w:rPr>
        <w:fldChar w:fldCharType="separate"/>
      </w:r>
      <w:r>
        <w:rPr>
          <w:sz w:val="28"/>
          <w:szCs w:val="36"/>
        </w:rPr>
        <w:t>- 12 -</w:t>
      </w:r>
      <w:r>
        <w:rPr>
          <w:sz w:val="28"/>
          <w:szCs w:val="36"/>
        </w:rPr>
        <w:fldChar w:fldCharType="end"/>
      </w:r>
      <w:r>
        <w:rPr>
          <w:rFonts w:hint="eastAsia" w:ascii="Times New Roman" w:hAnsi="Times New Roman" w:cs="宋体"/>
          <w:bCs/>
          <w:kern w:val="0"/>
          <w:sz w:val="28"/>
          <w:szCs w:val="56"/>
        </w:rPr>
        <w:fldChar w:fldCharType="end"/>
      </w:r>
    </w:p>
    <w:p w14:paraId="4A02C447">
      <w:pPr>
        <w:pStyle w:val="9"/>
        <w:tabs>
          <w:tab w:val="right" w:leader="dot" w:pos="9071"/>
        </w:tabs>
      </w:pPr>
      <w:r>
        <w:rPr>
          <w:rFonts w:hint="eastAsia" w:ascii="Times New Roman" w:hAnsi="Times New Roman" w:cs="宋体"/>
          <w:bCs/>
          <w:kern w:val="0"/>
          <w:sz w:val="28"/>
          <w:szCs w:val="56"/>
        </w:rPr>
        <w:fldChar w:fldCharType="begin"/>
      </w:r>
      <w:r>
        <w:rPr>
          <w:rFonts w:hint="eastAsia" w:ascii="Times New Roman" w:hAnsi="Times New Roman" w:cs="宋体"/>
          <w:bCs/>
          <w:kern w:val="0"/>
          <w:sz w:val="28"/>
          <w:szCs w:val="56"/>
        </w:rPr>
        <w:instrText xml:space="preserve"> HYPERLINK \l _Toc32244 </w:instrText>
      </w:r>
      <w:r>
        <w:rPr>
          <w:rFonts w:hint="eastAsia" w:ascii="Times New Roman" w:hAnsi="Times New Roman" w:cs="宋体"/>
          <w:bCs/>
          <w:kern w:val="0"/>
          <w:sz w:val="28"/>
          <w:szCs w:val="56"/>
        </w:rPr>
        <w:fldChar w:fldCharType="separate"/>
      </w:r>
      <w:r>
        <w:rPr>
          <w:rFonts w:hint="eastAsia" w:ascii="Times New Roman" w:hAnsi="Times New Roman" w:eastAsia="楷体" w:cs="楷体"/>
          <w:sz w:val="28"/>
          <w:szCs w:val="44"/>
          <w:highlight w:val="none"/>
          <w:shd w:val="clear" w:color="auto" w:fill="auto"/>
          <w:lang w:eastAsia="zh-CN"/>
        </w:rPr>
        <w:t>（</w:t>
      </w:r>
      <w:r>
        <w:rPr>
          <w:rFonts w:hint="eastAsia" w:ascii="Times New Roman" w:hAnsi="Times New Roman" w:eastAsia="楷体" w:cs="楷体"/>
          <w:sz w:val="28"/>
          <w:szCs w:val="44"/>
          <w:highlight w:val="none"/>
          <w:shd w:val="clear" w:color="auto" w:fill="auto"/>
          <w:lang w:val="en-US" w:eastAsia="zh-CN"/>
        </w:rPr>
        <w:t>二</w:t>
      </w:r>
      <w:r>
        <w:rPr>
          <w:rFonts w:hint="eastAsia" w:ascii="Times New Roman" w:hAnsi="Times New Roman" w:eastAsia="楷体" w:cs="楷体"/>
          <w:sz w:val="28"/>
          <w:szCs w:val="44"/>
          <w:highlight w:val="none"/>
          <w:shd w:val="clear" w:color="auto" w:fill="auto"/>
          <w:lang w:eastAsia="zh-CN"/>
        </w:rPr>
        <w:t>）结果运用</w:t>
      </w:r>
      <w:r>
        <w:rPr>
          <w:sz w:val="28"/>
          <w:szCs w:val="36"/>
        </w:rPr>
        <w:tab/>
      </w:r>
      <w:r>
        <w:rPr>
          <w:sz w:val="28"/>
          <w:szCs w:val="36"/>
        </w:rPr>
        <w:fldChar w:fldCharType="begin"/>
      </w:r>
      <w:r>
        <w:rPr>
          <w:sz w:val="28"/>
          <w:szCs w:val="36"/>
        </w:rPr>
        <w:instrText xml:space="preserve"> PAGEREF _Toc32244 \h </w:instrText>
      </w:r>
      <w:r>
        <w:rPr>
          <w:sz w:val="28"/>
          <w:szCs w:val="36"/>
        </w:rPr>
        <w:fldChar w:fldCharType="separate"/>
      </w:r>
      <w:r>
        <w:rPr>
          <w:sz w:val="28"/>
          <w:szCs w:val="36"/>
        </w:rPr>
        <w:t>- 12 -</w:t>
      </w:r>
      <w:r>
        <w:rPr>
          <w:sz w:val="28"/>
          <w:szCs w:val="36"/>
        </w:rPr>
        <w:fldChar w:fldCharType="end"/>
      </w:r>
      <w:r>
        <w:rPr>
          <w:rFonts w:hint="eastAsia" w:ascii="Times New Roman" w:hAnsi="Times New Roman" w:cs="宋体"/>
          <w:bCs/>
          <w:kern w:val="0"/>
          <w:sz w:val="28"/>
          <w:szCs w:val="56"/>
        </w:rPr>
        <w:fldChar w:fldCharType="end"/>
      </w:r>
    </w:p>
    <w:p w14:paraId="6E92E599">
      <w:pPr>
        <w:widowControl w:val="0"/>
        <w:wordWrap/>
        <w:adjustRightInd/>
        <w:snapToGrid w:val="0"/>
        <w:spacing w:line="560" w:lineRule="exact"/>
        <w:ind w:left="0" w:leftChars="0" w:right="0"/>
        <w:jc w:val="center"/>
        <w:textAlignment w:val="auto"/>
        <w:outlineLvl w:val="9"/>
        <w:rPr>
          <w:rFonts w:hint="eastAsia" w:ascii="Times New Roman" w:hAnsi="Times New Roman" w:cs="宋体"/>
          <w:b/>
          <w:bCs/>
          <w:kern w:val="0"/>
          <w:sz w:val="44"/>
          <w:szCs w:val="44"/>
        </w:rPr>
        <w:sectPr>
          <w:headerReference r:id="rId4" w:type="default"/>
          <w:footerReference r:id="rId5" w:type="default"/>
          <w:pgSz w:w="11906" w:h="16838"/>
          <w:pgMar w:top="2041" w:right="1304" w:bottom="1701" w:left="1531" w:header="851" w:footer="992" w:gutter="0"/>
          <w:pgNumType w:fmt="numberInDash" w:start="1"/>
          <w:cols w:space="720" w:num="1"/>
          <w:docGrid w:type="lines" w:linePitch="312" w:charSpace="0"/>
        </w:sectPr>
      </w:pPr>
      <w:r>
        <w:rPr>
          <w:rFonts w:hint="eastAsia" w:ascii="Times New Roman" w:hAnsi="Times New Roman" w:cs="宋体"/>
          <w:bCs/>
          <w:kern w:val="0"/>
          <w:szCs w:val="44"/>
        </w:rPr>
        <w:fldChar w:fldCharType="end"/>
      </w:r>
    </w:p>
    <w:p w14:paraId="132AA297">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Times New Roman" w:hAnsi="Times New Roman" w:cs="宋体"/>
          <w:b/>
          <w:bCs/>
          <w:kern w:val="0"/>
          <w:sz w:val="44"/>
          <w:szCs w:val="44"/>
          <w:highlight w:val="none"/>
          <w:shd w:val="clear" w:color="auto" w:fill="auto"/>
        </w:rPr>
      </w:pPr>
      <w:r>
        <w:rPr>
          <w:rFonts w:hint="eastAsia" w:ascii="Times New Roman" w:hAnsi="Times New Roman" w:cs="宋体"/>
          <w:b/>
          <w:bCs/>
          <w:kern w:val="0"/>
          <w:sz w:val="44"/>
          <w:szCs w:val="44"/>
          <w:highlight w:val="none"/>
          <w:shd w:val="clear" w:color="auto" w:fill="auto"/>
        </w:rPr>
        <w:t>中共石家庄市委老干部局</w:t>
      </w:r>
    </w:p>
    <w:p w14:paraId="451607ED">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Times New Roman" w:hAnsi="Times New Roman" w:cs="宋体"/>
          <w:b/>
          <w:bCs/>
          <w:sz w:val="44"/>
          <w:szCs w:val="44"/>
          <w:highlight w:val="none"/>
          <w:shd w:val="clear" w:color="auto" w:fill="auto"/>
        </w:rPr>
      </w:pPr>
      <w:r>
        <w:rPr>
          <w:rFonts w:hint="eastAsia" w:ascii="Times New Roman" w:hAnsi="Times New Roman" w:cs="宋体"/>
          <w:b/>
          <w:bCs/>
          <w:kern w:val="0"/>
          <w:sz w:val="44"/>
          <w:szCs w:val="44"/>
          <w:highlight w:val="none"/>
          <w:shd w:val="clear" w:color="auto" w:fill="auto"/>
          <w:lang w:val="en-US" w:eastAsia="zh-CN"/>
        </w:rPr>
        <w:t>202</w:t>
      </w:r>
      <w:r>
        <w:rPr>
          <w:rFonts w:hint="eastAsia" w:cs="宋体"/>
          <w:b/>
          <w:bCs/>
          <w:kern w:val="0"/>
          <w:sz w:val="44"/>
          <w:szCs w:val="44"/>
          <w:highlight w:val="none"/>
          <w:shd w:val="clear" w:color="auto" w:fill="auto"/>
          <w:lang w:val="en-US" w:eastAsia="zh-CN"/>
        </w:rPr>
        <w:t>4</w:t>
      </w:r>
      <w:r>
        <w:rPr>
          <w:rFonts w:hint="eastAsia" w:ascii="Times New Roman" w:hAnsi="Times New Roman" w:cs="宋体"/>
          <w:b/>
          <w:bCs/>
          <w:kern w:val="0"/>
          <w:sz w:val="44"/>
          <w:szCs w:val="44"/>
          <w:highlight w:val="none"/>
          <w:shd w:val="clear" w:color="auto" w:fill="auto"/>
        </w:rPr>
        <w:t>部门年度</w:t>
      </w:r>
      <w:r>
        <w:rPr>
          <w:rFonts w:hint="eastAsia" w:ascii="Times New Roman" w:hAnsi="Times New Roman" w:cs="宋体"/>
          <w:b/>
          <w:bCs/>
          <w:sz w:val="44"/>
          <w:szCs w:val="44"/>
          <w:highlight w:val="none"/>
          <w:shd w:val="clear" w:color="auto" w:fill="auto"/>
        </w:rPr>
        <w:t>绩效自评工作报告</w:t>
      </w:r>
    </w:p>
    <w:p w14:paraId="20726417">
      <w:pPr>
        <w:widowControl w:val="0"/>
        <w:shd w:val="clear"/>
        <w:wordWrap/>
        <w:adjustRightInd/>
        <w:snapToGrid w:val="0"/>
        <w:spacing w:line="560" w:lineRule="exact"/>
        <w:ind w:left="0" w:leftChars="0" w:right="0"/>
        <w:jc w:val="center"/>
        <w:textAlignment w:val="auto"/>
        <w:outlineLvl w:val="9"/>
        <w:rPr>
          <w:rFonts w:hint="eastAsia" w:ascii="Times New Roman" w:hAnsi="Times New Roman" w:cs="宋体"/>
          <w:b/>
          <w:bCs/>
          <w:sz w:val="44"/>
          <w:szCs w:val="44"/>
          <w:highlight w:val="none"/>
          <w:shd w:val="clear" w:color="auto" w:fill="auto"/>
        </w:rPr>
      </w:pPr>
    </w:p>
    <w:p w14:paraId="591DE457">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为切实做好202</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rPr>
        <w:t>年度部门绩效自评工作，提高财政资金的使用效益，根据《石家庄市市级部门预算项目绩效自评管理办法》、《石家庄市财政局关于开展202</w:t>
      </w:r>
      <w:r>
        <w:rPr>
          <w:rFonts w:hint="eastAsia" w:eastAsia="仿宋_GB2312" w:cs="仿宋_GB2312"/>
          <w:sz w:val="32"/>
          <w:szCs w:val="32"/>
          <w:highlight w:val="none"/>
          <w:shd w:val="clear" w:color="auto" w:fill="auto"/>
          <w:lang w:val="en-US" w:eastAsia="zh-CN"/>
        </w:rPr>
        <w:t>5</w:t>
      </w:r>
      <w:r>
        <w:rPr>
          <w:rFonts w:hint="eastAsia" w:ascii="Times New Roman" w:hAnsi="Times New Roman" w:eastAsia="仿宋_GB2312" w:cs="仿宋_GB2312"/>
          <w:sz w:val="32"/>
          <w:szCs w:val="32"/>
          <w:highlight w:val="none"/>
          <w:shd w:val="clear" w:color="auto" w:fill="auto"/>
        </w:rPr>
        <w:t>年绩效自评工作的通知》要求，结合实际情况，中共石家庄市委老干部局（以下简称“</w:t>
      </w:r>
      <w:r>
        <w:rPr>
          <w:rFonts w:hint="eastAsia" w:eastAsia="仿宋_GB2312" w:cs="仿宋_GB2312"/>
          <w:sz w:val="32"/>
          <w:szCs w:val="32"/>
          <w:highlight w:val="none"/>
          <w:shd w:val="clear" w:color="auto" w:fill="auto"/>
          <w:lang w:eastAsia="zh-CN"/>
        </w:rPr>
        <w:t>我部门</w:t>
      </w:r>
      <w:r>
        <w:rPr>
          <w:rFonts w:hint="eastAsia" w:ascii="Times New Roman" w:hAnsi="Times New Roman" w:eastAsia="仿宋_GB2312" w:cs="仿宋_GB2312"/>
          <w:sz w:val="32"/>
          <w:szCs w:val="32"/>
          <w:highlight w:val="none"/>
          <w:shd w:val="clear" w:color="auto" w:fill="auto"/>
        </w:rPr>
        <w:t>”）组织专门力量，于202</w:t>
      </w:r>
      <w:r>
        <w:rPr>
          <w:rFonts w:hint="eastAsia" w:eastAsia="仿宋_GB2312" w:cs="仿宋_GB2312"/>
          <w:sz w:val="32"/>
          <w:szCs w:val="32"/>
          <w:highlight w:val="none"/>
          <w:shd w:val="clear" w:color="auto" w:fill="auto"/>
          <w:lang w:val="en-US" w:eastAsia="zh-CN"/>
        </w:rPr>
        <w:t>5</w:t>
      </w:r>
      <w:r>
        <w:rPr>
          <w:rFonts w:hint="eastAsia" w:ascii="Times New Roman" w:hAnsi="Times New Roman" w:eastAsia="仿宋_GB2312" w:cs="仿宋_GB2312"/>
          <w:sz w:val="32"/>
          <w:szCs w:val="32"/>
          <w:highlight w:val="none"/>
          <w:shd w:val="clear" w:color="auto" w:fill="auto"/>
        </w:rPr>
        <w:t>年</w:t>
      </w:r>
      <w:r>
        <w:rPr>
          <w:rFonts w:hint="eastAsia" w:eastAsia="仿宋_GB2312" w:cs="仿宋_GB2312"/>
          <w:sz w:val="32"/>
          <w:szCs w:val="32"/>
          <w:highlight w:val="none"/>
          <w:shd w:val="clear" w:color="auto" w:fill="auto"/>
          <w:lang w:val="en-US" w:eastAsia="zh-CN"/>
        </w:rPr>
        <w:t>3</w:t>
      </w:r>
      <w:r>
        <w:rPr>
          <w:rFonts w:hint="eastAsia" w:ascii="Times New Roman" w:hAnsi="Times New Roman" w:eastAsia="仿宋_GB2312" w:cs="仿宋_GB2312"/>
          <w:sz w:val="32"/>
          <w:szCs w:val="32"/>
          <w:highlight w:val="none"/>
          <w:shd w:val="clear" w:color="auto" w:fill="auto"/>
        </w:rPr>
        <w:t>月</w:t>
      </w:r>
      <w:r>
        <w:rPr>
          <w:rFonts w:hint="eastAsia" w:ascii="Times New Roman" w:hAnsi="Times New Roman" w:eastAsia="仿宋_GB2312" w:cs="仿宋_GB2312"/>
          <w:sz w:val="32"/>
          <w:szCs w:val="32"/>
          <w:highlight w:val="none"/>
          <w:shd w:val="clear" w:color="auto" w:fill="auto"/>
          <w:lang w:val="en-US" w:eastAsia="zh-CN"/>
        </w:rPr>
        <w:t>1</w:t>
      </w:r>
      <w:r>
        <w:rPr>
          <w:rFonts w:hint="eastAsia" w:eastAsia="仿宋_GB2312" w:cs="仿宋_GB2312"/>
          <w:sz w:val="32"/>
          <w:szCs w:val="32"/>
          <w:highlight w:val="none"/>
          <w:shd w:val="clear" w:color="auto" w:fill="auto"/>
          <w:lang w:val="en-US" w:eastAsia="zh-CN"/>
        </w:rPr>
        <w:t>0</w:t>
      </w:r>
      <w:r>
        <w:rPr>
          <w:rFonts w:hint="eastAsia" w:ascii="Times New Roman" w:hAnsi="Times New Roman" w:eastAsia="仿宋_GB2312" w:cs="仿宋_GB2312"/>
          <w:sz w:val="32"/>
          <w:szCs w:val="32"/>
          <w:highlight w:val="none"/>
          <w:shd w:val="clear" w:color="auto" w:fill="auto"/>
        </w:rPr>
        <w:t>日至</w:t>
      </w:r>
      <w:r>
        <w:rPr>
          <w:rFonts w:hint="eastAsia" w:eastAsia="仿宋_GB2312" w:cs="仿宋_GB2312"/>
          <w:sz w:val="32"/>
          <w:szCs w:val="32"/>
          <w:highlight w:val="none"/>
          <w:shd w:val="clear" w:color="auto" w:fill="auto"/>
          <w:lang w:val="en-US" w:eastAsia="zh-CN"/>
        </w:rPr>
        <w:t>3</w:t>
      </w:r>
      <w:r>
        <w:rPr>
          <w:rFonts w:hint="eastAsia" w:ascii="Times New Roman" w:hAnsi="Times New Roman" w:eastAsia="仿宋_GB2312" w:cs="仿宋_GB2312"/>
          <w:sz w:val="32"/>
          <w:szCs w:val="32"/>
          <w:highlight w:val="none"/>
          <w:shd w:val="clear" w:color="auto" w:fill="auto"/>
        </w:rPr>
        <w:t>月</w:t>
      </w:r>
      <w:r>
        <w:rPr>
          <w:rFonts w:hint="eastAsia" w:eastAsia="仿宋_GB2312" w:cs="仿宋_GB2312"/>
          <w:sz w:val="32"/>
          <w:szCs w:val="32"/>
          <w:highlight w:val="none"/>
          <w:shd w:val="clear" w:color="auto" w:fill="auto"/>
          <w:lang w:val="en-US" w:eastAsia="zh-CN"/>
        </w:rPr>
        <w:t>25</w:t>
      </w:r>
      <w:r>
        <w:rPr>
          <w:rFonts w:hint="eastAsia" w:ascii="Times New Roman" w:hAnsi="Times New Roman" w:eastAsia="仿宋_GB2312" w:cs="仿宋_GB2312"/>
          <w:sz w:val="32"/>
          <w:szCs w:val="32"/>
          <w:highlight w:val="none"/>
          <w:shd w:val="clear" w:color="auto" w:fill="auto"/>
        </w:rPr>
        <w:t>日期间，对</w:t>
      </w:r>
      <w:r>
        <w:rPr>
          <w:rFonts w:hint="eastAsia" w:eastAsia="仿宋_GB2312" w:cs="仿宋_GB2312"/>
          <w:sz w:val="32"/>
          <w:szCs w:val="32"/>
          <w:highlight w:val="none"/>
          <w:shd w:val="clear" w:color="auto" w:fill="auto"/>
          <w:lang w:eastAsia="zh-CN"/>
        </w:rPr>
        <w:t>我部门</w:t>
      </w:r>
      <w:r>
        <w:rPr>
          <w:rFonts w:hint="eastAsia" w:ascii="Times New Roman" w:hAnsi="Times New Roman" w:eastAsia="仿宋_GB2312" w:cs="仿宋_GB2312"/>
          <w:sz w:val="32"/>
          <w:szCs w:val="32"/>
          <w:highlight w:val="none"/>
          <w:shd w:val="clear" w:color="auto" w:fill="auto"/>
        </w:rPr>
        <w:t>202</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rPr>
        <w:t>年度部门所有预算项目（包括局机关和下属单位项目）进行绩效自评。本次评价采用定性分析与定量分析相结合的方法，从预算管理、预算执行、专项资金使用及资金效益等方面进行了综合且客观的评价。现将绩效自评情况报告如下：</w:t>
      </w:r>
    </w:p>
    <w:p w14:paraId="46B83B94">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0"/>
        <w:rPr>
          <w:rFonts w:hint="eastAsia" w:ascii="Times New Roman" w:hAnsi="Times New Roman" w:eastAsia="楷体" w:cs="楷体"/>
          <w:sz w:val="32"/>
          <w:szCs w:val="32"/>
          <w:highlight w:val="none"/>
          <w:shd w:val="clear" w:color="auto" w:fill="auto"/>
          <w:lang w:eastAsia="zh-CN"/>
        </w:rPr>
      </w:pPr>
      <w:bookmarkStart w:id="1" w:name="_Toc4051"/>
      <w:r>
        <w:rPr>
          <w:rFonts w:hint="eastAsia" w:ascii="Times New Roman" w:hAnsi="Times New Roman" w:eastAsia="黑体" w:cs="黑体"/>
          <w:sz w:val="32"/>
          <w:szCs w:val="32"/>
          <w:highlight w:val="none"/>
          <w:shd w:val="clear" w:color="auto" w:fill="auto"/>
        </w:rPr>
        <w:t>一、绩效自评工作组织开展情况</w:t>
      </w:r>
      <w:bookmarkEnd w:id="1"/>
    </w:p>
    <w:p w14:paraId="776D08BD">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2" w:name="_Toc10339"/>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一</w:t>
      </w:r>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组织与实施情况</w:t>
      </w:r>
      <w:bookmarkEnd w:id="2"/>
    </w:p>
    <w:p w14:paraId="27EDB43F">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Times New Roman" w:hAnsi="Times New Roman" w:eastAsia="仿宋_GB2312" w:cs="仿宋_GB2312"/>
          <w:sz w:val="32"/>
          <w:szCs w:val="32"/>
          <w:highlight w:val="none"/>
          <w:shd w:val="clear" w:color="auto" w:fill="auto"/>
          <w:lang w:val="en-US" w:eastAsia="zh-CN"/>
        </w:rPr>
      </w:pPr>
      <w:r>
        <w:rPr>
          <w:rFonts w:hint="eastAsia" w:ascii="仿宋_GB2312" w:hAnsi="仿宋_GB2312" w:eastAsia="仿宋_GB2312" w:cs="仿宋_GB2312"/>
          <w:color w:val="auto"/>
          <w:kern w:val="0"/>
          <w:sz w:val="32"/>
          <w:szCs w:val="32"/>
          <w:highlight w:val="none"/>
          <w:shd w:val="clear" w:color="auto" w:fill="auto"/>
          <w:lang w:val="en-US" w:eastAsia="zh-CN"/>
        </w:rPr>
        <w:t>我部门高度重视此次年度预算绩效评价工作，成立了绩效评价工作组，由市委组织部副部长、市委老干部局局长张岩任绩效评价组组长，市委老干部局副局长张海双任绩效评价组副组长，</w:t>
      </w:r>
      <w:r>
        <w:rPr>
          <w:rFonts w:hint="eastAsia" w:ascii="仿宋_GB2312" w:hAnsi="仿宋_GB2312" w:eastAsia="仿宋_GB2312" w:cs="仿宋_GB2312"/>
          <w:sz w:val="32"/>
          <w:szCs w:val="32"/>
          <w:highlight w:val="none"/>
          <w:shd w:val="clear" w:color="auto" w:fill="auto"/>
        </w:rPr>
        <w:t>成员包括</w:t>
      </w:r>
      <w:r>
        <w:rPr>
          <w:rFonts w:hint="eastAsia" w:ascii="仿宋_GB2312" w:hAnsi="仿宋_GB2312" w:eastAsia="仿宋_GB2312" w:cs="仿宋_GB2312"/>
          <w:sz w:val="32"/>
          <w:szCs w:val="32"/>
          <w:highlight w:val="none"/>
          <w:shd w:val="clear" w:color="auto" w:fill="auto"/>
          <w:lang w:val="en-US" w:eastAsia="zh-CN"/>
        </w:rPr>
        <w:t>市老年大学专职副校长（市老年教育中心副主任）张纯；市委老干部局财务科科长郭松；市委老干部活动中心（市老干部文体活动中心）主任高东春；市委老干部休养所所长田家好</w:t>
      </w:r>
      <w:r>
        <w:rPr>
          <w:rFonts w:hint="eastAsia" w:ascii="Times New Roman" w:hAnsi="Times New Roman" w:eastAsia="仿宋_GB2312" w:cs="仿宋_GB2312"/>
          <w:sz w:val="32"/>
          <w:szCs w:val="32"/>
          <w:highlight w:val="none"/>
          <w:shd w:val="clear" w:color="auto" w:fill="auto"/>
          <w:lang w:val="en-US" w:eastAsia="zh-CN"/>
        </w:rPr>
        <w:t>（以下简称“评价组”）</w:t>
      </w:r>
      <w:r>
        <w:rPr>
          <w:rFonts w:hint="eastAsia" w:ascii="仿宋_GB2312" w:hAnsi="仿宋_GB2312" w:eastAsia="仿宋_GB2312" w:cs="仿宋_GB2312"/>
          <w:color w:val="auto"/>
          <w:kern w:val="0"/>
          <w:sz w:val="32"/>
          <w:szCs w:val="32"/>
          <w:highlight w:val="none"/>
          <w:shd w:val="clear" w:color="auto" w:fill="auto"/>
          <w:lang w:val="en-US" w:eastAsia="zh-CN"/>
        </w:rPr>
        <w:t>。积极推进自评工作开展</w:t>
      </w:r>
      <w:r>
        <w:rPr>
          <w:rFonts w:hint="eastAsia" w:ascii="Times New Roman" w:hAnsi="Times New Roman" w:eastAsia="仿宋_GB2312" w:cs="仿宋_GB2312"/>
          <w:sz w:val="32"/>
          <w:szCs w:val="32"/>
          <w:highlight w:val="none"/>
          <w:shd w:val="clear" w:color="auto" w:fill="auto"/>
          <w:lang w:val="en-US" w:eastAsia="zh-CN"/>
        </w:rPr>
        <w:t>。</w:t>
      </w:r>
    </w:p>
    <w:p w14:paraId="54E01C7D">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default"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val="en-US" w:eastAsia="zh-CN"/>
        </w:rPr>
        <w:t>评价组制定自评工作方案，明确评价内容、评价程序、参与人员及时间安排，收集相关账目及文件、档案资料。组织相关人员召开专题会议，传达自评工作要求及工作安排，最终形成自评表、重点项目绩效自评报告、部门年度绩效自评工作报告、部门年度整体支出绩效自评报告等。</w:t>
      </w:r>
    </w:p>
    <w:p w14:paraId="209B17BE">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3" w:name="_Toc16266"/>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二</w:t>
      </w:r>
      <w:r>
        <w:rPr>
          <w:rFonts w:hint="eastAsia" w:ascii="Times New Roman" w:hAnsi="Times New Roman" w:eastAsia="楷体" w:cs="楷体"/>
          <w:sz w:val="32"/>
          <w:szCs w:val="32"/>
          <w:highlight w:val="none"/>
          <w:shd w:val="clear" w:color="auto" w:fill="auto"/>
          <w:lang w:eastAsia="zh-CN"/>
        </w:rPr>
        <w:t>）预算安排及资金分配拨付</w:t>
      </w:r>
      <w:r>
        <w:rPr>
          <w:rFonts w:hint="eastAsia" w:ascii="Times New Roman" w:hAnsi="Times New Roman" w:eastAsia="楷体" w:cs="楷体"/>
          <w:sz w:val="32"/>
          <w:szCs w:val="32"/>
          <w:highlight w:val="none"/>
          <w:shd w:val="clear" w:color="auto" w:fill="auto"/>
          <w:lang w:val="en-US" w:eastAsia="zh-CN"/>
        </w:rPr>
        <w:t>情况</w:t>
      </w:r>
      <w:bookmarkEnd w:id="3"/>
    </w:p>
    <w:p w14:paraId="02C91C2A">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lang w:eastAsia="zh-CN"/>
        </w:rPr>
      </w:pPr>
      <w:r>
        <w:rPr>
          <w:rFonts w:hint="eastAsia" w:ascii="Times New Roman" w:hAnsi="Times New Roman" w:eastAsia="仿宋_GB2312" w:cs="仿宋_GB2312"/>
          <w:sz w:val="32"/>
          <w:szCs w:val="32"/>
          <w:highlight w:val="none"/>
          <w:shd w:val="clear" w:color="auto" w:fill="auto"/>
        </w:rPr>
        <w:t>20</w:t>
      </w:r>
      <w:r>
        <w:rPr>
          <w:rFonts w:hint="eastAsia" w:ascii="Times New Roman" w:hAnsi="Times New Roman" w:eastAsia="仿宋_GB2312" w:cs="仿宋_GB2312"/>
          <w:sz w:val="32"/>
          <w:szCs w:val="32"/>
          <w:highlight w:val="none"/>
          <w:shd w:val="clear" w:color="auto" w:fill="auto"/>
          <w:lang w:val="en-US" w:eastAsia="zh-CN"/>
        </w:rPr>
        <w:t>2</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lang w:val="en-US" w:eastAsia="zh-CN"/>
        </w:rPr>
        <w:t>年度</w:t>
      </w:r>
      <w:r>
        <w:rPr>
          <w:rFonts w:hint="eastAsia" w:ascii="Times New Roman" w:hAnsi="Times New Roman" w:eastAsia="仿宋_GB2312" w:cs="仿宋_GB2312"/>
          <w:sz w:val="32"/>
          <w:szCs w:val="32"/>
          <w:highlight w:val="none"/>
          <w:shd w:val="clear" w:color="auto" w:fill="auto"/>
        </w:rPr>
        <w:t>市财政局批复</w:t>
      </w:r>
      <w:r>
        <w:rPr>
          <w:rFonts w:hint="eastAsia" w:eastAsia="仿宋_GB2312" w:cs="仿宋_GB2312"/>
          <w:sz w:val="32"/>
          <w:szCs w:val="32"/>
          <w:highlight w:val="none"/>
          <w:shd w:val="clear" w:color="auto" w:fill="auto"/>
          <w:lang w:eastAsia="zh-CN"/>
        </w:rPr>
        <w:t>我部门</w:t>
      </w:r>
      <w:r>
        <w:rPr>
          <w:rFonts w:hint="eastAsia" w:ascii="Times New Roman" w:hAnsi="Times New Roman" w:eastAsia="仿宋_GB2312" w:cs="仿宋_GB2312"/>
          <w:sz w:val="32"/>
          <w:szCs w:val="32"/>
          <w:highlight w:val="none"/>
          <w:shd w:val="clear" w:color="auto" w:fill="auto"/>
          <w:lang w:val="en-US" w:eastAsia="zh-CN"/>
        </w:rPr>
        <w:t>机关及下属单位共计</w:t>
      </w:r>
      <w:r>
        <w:rPr>
          <w:rFonts w:hint="eastAsia" w:eastAsia="仿宋_GB2312" w:cs="仿宋_GB2312"/>
          <w:sz w:val="32"/>
          <w:szCs w:val="32"/>
          <w:highlight w:val="none"/>
          <w:shd w:val="clear" w:color="auto" w:fill="auto"/>
          <w:lang w:val="en-US" w:eastAsia="zh-CN"/>
        </w:rPr>
        <w:t>44</w:t>
      </w:r>
      <w:r>
        <w:rPr>
          <w:rFonts w:hint="eastAsia" w:ascii="Times New Roman" w:hAnsi="Times New Roman" w:eastAsia="仿宋_GB2312" w:cs="仿宋_GB2312"/>
          <w:sz w:val="32"/>
          <w:szCs w:val="32"/>
          <w:highlight w:val="none"/>
          <w:shd w:val="clear" w:color="auto" w:fill="auto"/>
        </w:rPr>
        <w:t>个项目</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rPr>
        <w:t>涉密项目</w:t>
      </w:r>
      <w:r>
        <w:rPr>
          <w:rFonts w:hint="eastAsia" w:ascii="Times New Roman" w:hAnsi="Times New Roman" w:eastAsia="仿宋_GB2312" w:cs="仿宋_GB2312"/>
          <w:sz w:val="32"/>
          <w:szCs w:val="32"/>
          <w:highlight w:val="none"/>
          <w:shd w:val="clear" w:color="auto" w:fill="auto"/>
          <w:lang w:val="en-US" w:eastAsia="zh-CN"/>
        </w:rPr>
        <w:t>0</w:t>
      </w:r>
      <w:r>
        <w:rPr>
          <w:rFonts w:hint="eastAsia" w:ascii="Times New Roman" w:hAnsi="Times New Roman" w:eastAsia="仿宋_GB2312" w:cs="仿宋_GB2312"/>
          <w:sz w:val="32"/>
          <w:szCs w:val="32"/>
          <w:highlight w:val="none"/>
          <w:shd w:val="clear" w:color="auto" w:fill="auto"/>
        </w:rPr>
        <w:t>个，</w:t>
      </w:r>
      <w:r>
        <w:rPr>
          <w:rFonts w:hint="eastAsia" w:ascii="Times New Roman" w:hAnsi="Times New Roman" w:eastAsia="仿宋_GB2312" w:cs="仿宋_GB2312"/>
          <w:sz w:val="32"/>
          <w:szCs w:val="32"/>
          <w:highlight w:val="none"/>
          <w:shd w:val="clear" w:color="auto" w:fill="auto"/>
          <w:lang w:val="en-US" w:eastAsia="zh-CN"/>
        </w:rPr>
        <w:t>财政未拨款项目0</w:t>
      </w:r>
      <w:r>
        <w:rPr>
          <w:rFonts w:hint="eastAsia" w:ascii="Times New Roman" w:hAnsi="Times New Roman" w:eastAsia="仿宋_GB2312" w:cs="仿宋_GB2312"/>
          <w:sz w:val="32"/>
          <w:szCs w:val="32"/>
          <w:highlight w:val="none"/>
          <w:shd w:val="clear" w:color="auto" w:fill="auto"/>
        </w:rPr>
        <w:t>个</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lang w:val="en-US" w:eastAsia="zh-CN"/>
        </w:rPr>
        <w:t>故</w:t>
      </w:r>
      <w:r>
        <w:rPr>
          <w:rFonts w:hint="eastAsia" w:ascii="Times New Roman" w:hAnsi="Times New Roman" w:eastAsia="仿宋_GB2312" w:cs="仿宋_GB2312"/>
          <w:sz w:val="32"/>
          <w:szCs w:val="32"/>
          <w:highlight w:val="none"/>
          <w:shd w:val="clear" w:color="auto" w:fill="auto"/>
        </w:rPr>
        <w:t>纳入本次自评价范围的</w:t>
      </w:r>
      <w:r>
        <w:rPr>
          <w:rFonts w:hint="eastAsia" w:ascii="Times New Roman" w:hAnsi="Times New Roman" w:eastAsia="仿宋_GB2312" w:cs="仿宋_GB2312"/>
          <w:sz w:val="32"/>
          <w:szCs w:val="32"/>
          <w:highlight w:val="none"/>
          <w:shd w:val="clear" w:color="auto" w:fill="auto"/>
          <w:lang w:val="en-US" w:eastAsia="zh-CN"/>
        </w:rPr>
        <w:t>为</w:t>
      </w:r>
      <w:r>
        <w:rPr>
          <w:rFonts w:hint="eastAsia" w:eastAsia="仿宋_GB2312" w:cs="仿宋_GB2312"/>
          <w:sz w:val="32"/>
          <w:szCs w:val="32"/>
          <w:highlight w:val="none"/>
          <w:shd w:val="clear" w:color="auto" w:fill="auto"/>
          <w:lang w:val="en-US" w:eastAsia="zh-CN"/>
        </w:rPr>
        <w:t>44</w:t>
      </w:r>
      <w:r>
        <w:rPr>
          <w:rFonts w:hint="eastAsia" w:ascii="Times New Roman" w:hAnsi="Times New Roman" w:eastAsia="仿宋_GB2312" w:cs="仿宋_GB2312"/>
          <w:sz w:val="32"/>
          <w:szCs w:val="32"/>
          <w:highlight w:val="none"/>
          <w:shd w:val="clear" w:color="auto" w:fill="auto"/>
        </w:rPr>
        <w:t>个项目</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lang w:val="en-US" w:eastAsia="zh-CN"/>
        </w:rPr>
        <w:t>其中局机关涉及项目1</w:t>
      </w:r>
      <w:r>
        <w:rPr>
          <w:rFonts w:hint="eastAsia" w:eastAsia="仿宋_GB2312" w:cs="仿宋_GB2312"/>
          <w:sz w:val="32"/>
          <w:szCs w:val="32"/>
          <w:highlight w:val="none"/>
          <w:shd w:val="clear" w:color="auto" w:fill="auto"/>
          <w:lang w:val="en-US" w:eastAsia="zh-CN"/>
        </w:rPr>
        <w:t>3</w:t>
      </w:r>
      <w:r>
        <w:rPr>
          <w:rFonts w:hint="eastAsia" w:ascii="Times New Roman" w:hAnsi="Times New Roman" w:eastAsia="仿宋_GB2312" w:cs="仿宋_GB2312"/>
          <w:sz w:val="32"/>
          <w:szCs w:val="32"/>
          <w:highlight w:val="none"/>
          <w:shd w:val="clear" w:color="auto" w:fill="auto"/>
          <w:lang w:val="en-US" w:eastAsia="zh-CN"/>
        </w:rPr>
        <w:t>个，下属单位涉及项目</w:t>
      </w:r>
      <w:r>
        <w:rPr>
          <w:rFonts w:hint="eastAsia" w:eastAsia="仿宋_GB2312" w:cs="仿宋_GB2312"/>
          <w:sz w:val="32"/>
          <w:szCs w:val="32"/>
          <w:highlight w:val="none"/>
          <w:shd w:val="clear" w:color="auto" w:fill="auto"/>
          <w:lang w:val="en-US" w:eastAsia="zh-CN"/>
        </w:rPr>
        <w:t>31</w:t>
      </w:r>
      <w:r>
        <w:rPr>
          <w:rFonts w:hint="eastAsia" w:ascii="Times New Roman" w:hAnsi="Times New Roman" w:eastAsia="仿宋_GB2312" w:cs="仿宋_GB2312"/>
          <w:sz w:val="32"/>
          <w:szCs w:val="32"/>
          <w:highlight w:val="none"/>
          <w:shd w:val="clear" w:color="auto" w:fill="auto"/>
          <w:lang w:val="en-US" w:eastAsia="zh-CN"/>
        </w:rPr>
        <w:t>个</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rPr>
        <w:t>涉及</w:t>
      </w:r>
      <w:r>
        <w:rPr>
          <w:rFonts w:hint="eastAsia" w:ascii="Times New Roman" w:hAnsi="Times New Roman" w:eastAsia="仿宋_GB2312" w:cs="仿宋_GB2312"/>
          <w:sz w:val="32"/>
          <w:szCs w:val="32"/>
          <w:highlight w:val="none"/>
          <w:shd w:val="clear" w:color="auto" w:fill="auto"/>
          <w:lang w:eastAsia="zh-CN"/>
        </w:rPr>
        <w:t>预算</w:t>
      </w:r>
      <w:r>
        <w:rPr>
          <w:rFonts w:hint="eastAsia" w:ascii="Times New Roman" w:hAnsi="Times New Roman" w:eastAsia="仿宋_GB2312" w:cs="仿宋_GB2312"/>
          <w:sz w:val="32"/>
          <w:szCs w:val="32"/>
          <w:highlight w:val="none"/>
          <w:shd w:val="clear" w:color="auto" w:fill="auto"/>
          <w:lang w:val="en-US" w:eastAsia="zh-CN"/>
        </w:rPr>
        <w:t>资金</w:t>
      </w:r>
      <w:r>
        <w:rPr>
          <w:rFonts w:hint="eastAsia" w:eastAsia="仿宋_GB2312" w:cs="仿宋_GB2312"/>
          <w:sz w:val="32"/>
          <w:szCs w:val="32"/>
          <w:highlight w:val="none"/>
          <w:shd w:val="clear" w:color="auto" w:fill="auto"/>
          <w:lang w:val="en-US" w:eastAsia="zh-CN"/>
        </w:rPr>
        <w:t>3849.68</w:t>
      </w:r>
      <w:r>
        <w:rPr>
          <w:rFonts w:hint="eastAsia" w:ascii="Times New Roman" w:hAnsi="Times New Roman" w:eastAsia="仿宋_GB2312" w:cs="仿宋_GB2312"/>
          <w:sz w:val="32"/>
          <w:szCs w:val="32"/>
          <w:highlight w:val="none"/>
          <w:shd w:val="clear" w:color="auto" w:fill="auto"/>
          <w:lang w:val="en-US" w:eastAsia="zh-CN"/>
        </w:rPr>
        <w:t>万元，资金到位数</w:t>
      </w:r>
      <w:r>
        <w:rPr>
          <w:rFonts w:hint="eastAsia" w:eastAsia="仿宋_GB2312" w:cs="仿宋_GB2312"/>
          <w:sz w:val="32"/>
          <w:szCs w:val="32"/>
          <w:highlight w:val="none"/>
          <w:shd w:val="clear" w:color="auto" w:fill="auto"/>
          <w:lang w:val="en-US" w:eastAsia="zh-CN"/>
        </w:rPr>
        <w:t>3849.68</w:t>
      </w:r>
      <w:r>
        <w:rPr>
          <w:rFonts w:hint="eastAsia" w:ascii="Times New Roman" w:hAnsi="Times New Roman" w:eastAsia="仿宋_GB2312" w:cs="仿宋_GB2312"/>
          <w:sz w:val="32"/>
          <w:szCs w:val="32"/>
          <w:highlight w:val="none"/>
          <w:shd w:val="clear" w:color="auto" w:fill="auto"/>
          <w:lang w:val="en-US" w:eastAsia="zh-CN"/>
        </w:rPr>
        <w:t>万元，资金执行数3801.3</w:t>
      </w:r>
      <w:r>
        <w:rPr>
          <w:rFonts w:hint="eastAsia" w:eastAsia="仿宋_GB2312" w:cs="仿宋_GB2312"/>
          <w:sz w:val="32"/>
          <w:szCs w:val="32"/>
          <w:highlight w:val="none"/>
          <w:shd w:val="clear" w:color="auto" w:fill="auto"/>
          <w:lang w:val="en-US" w:eastAsia="zh-CN"/>
        </w:rPr>
        <w:t>8</w:t>
      </w:r>
      <w:r>
        <w:rPr>
          <w:rFonts w:hint="eastAsia" w:ascii="Times New Roman" w:hAnsi="Times New Roman" w:eastAsia="仿宋_GB2312" w:cs="仿宋_GB2312"/>
          <w:sz w:val="32"/>
          <w:szCs w:val="32"/>
          <w:highlight w:val="none"/>
          <w:shd w:val="clear" w:color="auto" w:fill="auto"/>
          <w:lang w:val="en-US" w:eastAsia="zh-CN"/>
        </w:rPr>
        <w:t>万元，年末结余</w:t>
      </w:r>
      <w:r>
        <w:rPr>
          <w:rFonts w:hint="eastAsia" w:eastAsia="仿宋_GB2312" w:cs="仿宋_GB2312"/>
          <w:sz w:val="32"/>
          <w:szCs w:val="32"/>
          <w:highlight w:val="none"/>
          <w:shd w:val="clear" w:color="auto" w:fill="auto"/>
          <w:lang w:val="en-US" w:eastAsia="zh-CN"/>
        </w:rPr>
        <w:t>48.3</w:t>
      </w:r>
      <w:r>
        <w:rPr>
          <w:rFonts w:hint="eastAsia" w:ascii="Times New Roman" w:hAnsi="Times New Roman" w:eastAsia="仿宋_GB2312" w:cs="仿宋_GB2312"/>
          <w:sz w:val="32"/>
          <w:szCs w:val="32"/>
          <w:highlight w:val="none"/>
          <w:shd w:val="clear" w:color="auto" w:fill="auto"/>
          <w:lang w:val="en-US" w:eastAsia="zh-CN"/>
        </w:rPr>
        <w:t>万元，202</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lang w:val="en-US" w:eastAsia="zh-CN"/>
        </w:rPr>
        <w:t>年底交回财政。</w:t>
      </w:r>
    </w:p>
    <w:p w14:paraId="3AF7FD7D">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val="en-US" w:eastAsia="zh-CN"/>
        </w:rPr>
        <w:t>具体明细如下：</w:t>
      </w:r>
    </w:p>
    <w:tbl>
      <w:tblPr>
        <w:tblStyle w:val="12"/>
        <w:tblW w:w="48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50"/>
        <w:gridCol w:w="1083"/>
        <w:gridCol w:w="1433"/>
        <w:gridCol w:w="1462"/>
        <w:gridCol w:w="1356"/>
        <w:gridCol w:w="1414"/>
      </w:tblGrid>
      <w:tr w14:paraId="1FAA2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528749A6">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单位</w:t>
            </w:r>
          </w:p>
        </w:tc>
        <w:tc>
          <w:tcPr>
            <w:tcW w:w="595" w:type="pct"/>
            <w:vAlign w:val="center"/>
          </w:tcPr>
          <w:p w14:paraId="4792F881">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项目数</w:t>
            </w:r>
          </w:p>
        </w:tc>
        <w:tc>
          <w:tcPr>
            <w:tcW w:w="787" w:type="pct"/>
            <w:vAlign w:val="center"/>
          </w:tcPr>
          <w:p w14:paraId="58DEE0B8">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预算资金</w:t>
            </w:r>
          </w:p>
          <w:p w14:paraId="38DED9AB">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（万元）</w:t>
            </w:r>
          </w:p>
        </w:tc>
        <w:tc>
          <w:tcPr>
            <w:tcW w:w="803" w:type="pct"/>
            <w:vAlign w:val="center"/>
          </w:tcPr>
          <w:p w14:paraId="783770C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资金到位数</w:t>
            </w:r>
          </w:p>
          <w:p w14:paraId="3ED3CE7C">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（万元）</w:t>
            </w:r>
          </w:p>
        </w:tc>
        <w:tc>
          <w:tcPr>
            <w:tcW w:w="745" w:type="pct"/>
            <w:vAlign w:val="center"/>
          </w:tcPr>
          <w:p w14:paraId="1DBC47DC">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资金执行数（万元）</w:t>
            </w:r>
          </w:p>
        </w:tc>
        <w:tc>
          <w:tcPr>
            <w:tcW w:w="777" w:type="pct"/>
            <w:vAlign w:val="center"/>
          </w:tcPr>
          <w:p w14:paraId="03C4FBE4">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结余资金（万元）</w:t>
            </w:r>
          </w:p>
        </w:tc>
      </w:tr>
      <w:tr w14:paraId="50820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490EDF29">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局机关</w:t>
            </w:r>
          </w:p>
        </w:tc>
        <w:tc>
          <w:tcPr>
            <w:tcW w:w="595" w:type="pct"/>
            <w:vAlign w:val="center"/>
          </w:tcPr>
          <w:p w14:paraId="14FC8FAB">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13</w:t>
            </w:r>
          </w:p>
        </w:tc>
        <w:tc>
          <w:tcPr>
            <w:tcW w:w="787" w:type="pct"/>
            <w:vAlign w:val="center"/>
          </w:tcPr>
          <w:p w14:paraId="17FAE20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636.38</w:t>
            </w:r>
          </w:p>
        </w:tc>
        <w:tc>
          <w:tcPr>
            <w:tcW w:w="803" w:type="pct"/>
            <w:vAlign w:val="center"/>
          </w:tcPr>
          <w:p w14:paraId="3D0427F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636.38</w:t>
            </w:r>
          </w:p>
        </w:tc>
        <w:tc>
          <w:tcPr>
            <w:tcW w:w="745" w:type="pct"/>
            <w:vAlign w:val="center"/>
          </w:tcPr>
          <w:p w14:paraId="6948EBAD">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632.11</w:t>
            </w:r>
          </w:p>
        </w:tc>
        <w:tc>
          <w:tcPr>
            <w:tcW w:w="777" w:type="pct"/>
            <w:vAlign w:val="center"/>
          </w:tcPr>
          <w:p w14:paraId="1EC6BC25">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4.27</w:t>
            </w:r>
          </w:p>
        </w:tc>
      </w:tr>
      <w:tr w14:paraId="5E91A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77514DA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石家庄市老年大学</w:t>
            </w:r>
          </w:p>
        </w:tc>
        <w:tc>
          <w:tcPr>
            <w:tcW w:w="595" w:type="pct"/>
            <w:vAlign w:val="center"/>
          </w:tcPr>
          <w:p w14:paraId="312AD9D6">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14</w:t>
            </w:r>
          </w:p>
        </w:tc>
        <w:tc>
          <w:tcPr>
            <w:tcW w:w="787" w:type="pct"/>
            <w:vAlign w:val="center"/>
          </w:tcPr>
          <w:p w14:paraId="0B181E63">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2305.3</w:t>
            </w:r>
          </w:p>
        </w:tc>
        <w:tc>
          <w:tcPr>
            <w:tcW w:w="803" w:type="pct"/>
            <w:vAlign w:val="center"/>
          </w:tcPr>
          <w:p w14:paraId="009970D9">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2305.3</w:t>
            </w:r>
          </w:p>
        </w:tc>
        <w:tc>
          <w:tcPr>
            <w:tcW w:w="745" w:type="pct"/>
            <w:vAlign w:val="center"/>
          </w:tcPr>
          <w:p w14:paraId="6903F479">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2300.68</w:t>
            </w:r>
          </w:p>
        </w:tc>
        <w:tc>
          <w:tcPr>
            <w:tcW w:w="777" w:type="pct"/>
            <w:vAlign w:val="center"/>
          </w:tcPr>
          <w:p w14:paraId="1CDB8FAE">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4.62</w:t>
            </w:r>
          </w:p>
        </w:tc>
      </w:tr>
      <w:tr w14:paraId="0EA03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1291" w:type="pct"/>
            <w:vAlign w:val="center"/>
          </w:tcPr>
          <w:p w14:paraId="5620FD2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老干部活动中心</w:t>
            </w:r>
          </w:p>
        </w:tc>
        <w:tc>
          <w:tcPr>
            <w:tcW w:w="595" w:type="pct"/>
            <w:vAlign w:val="center"/>
          </w:tcPr>
          <w:p w14:paraId="5DD4DCA5">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10</w:t>
            </w:r>
          </w:p>
        </w:tc>
        <w:tc>
          <w:tcPr>
            <w:tcW w:w="787" w:type="pct"/>
            <w:vAlign w:val="center"/>
          </w:tcPr>
          <w:p w14:paraId="781DFE0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780.3</w:t>
            </w:r>
          </w:p>
        </w:tc>
        <w:tc>
          <w:tcPr>
            <w:tcW w:w="803" w:type="pct"/>
            <w:vAlign w:val="center"/>
          </w:tcPr>
          <w:p w14:paraId="4E2279AA">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780.3</w:t>
            </w:r>
          </w:p>
        </w:tc>
        <w:tc>
          <w:tcPr>
            <w:tcW w:w="745" w:type="pct"/>
            <w:vAlign w:val="center"/>
          </w:tcPr>
          <w:p w14:paraId="30EECAF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741.25</w:t>
            </w:r>
          </w:p>
        </w:tc>
        <w:tc>
          <w:tcPr>
            <w:tcW w:w="777" w:type="pct"/>
            <w:vAlign w:val="center"/>
          </w:tcPr>
          <w:p w14:paraId="0C54D528">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39.05</w:t>
            </w:r>
          </w:p>
        </w:tc>
      </w:tr>
      <w:tr w14:paraId="648B3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35E0C0BE">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老干部休养所</w:t>
            </w:r>
          </w:p>
        </w:tc>
        <w:tc>
          <w:tcPr>
            <w:tcW w:w="595" w:type="pct"/>
            <w:vAlign w:val="center"/>
          </w:tcPr>
          <w:p w14:paraId="5424C3A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7</w:t>
            </w:r>
          </w:p>
        </w:tc>
        <w:tc>
          <w:tcPr>
            <w:tcW w:w="787" w:type="pct"/>
            <w:vAlign w:val="center"/>
          </w:tcPr>
          <w:p w14:paraId="36773DA9">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127.7</w:t>
            </w:r>
          </w:p>
        </w:tc>
        <w:tc>
          <w:tcPr>
            <w:tcW w:w="803" w:type="pct"/>
            <w:vAlign w:val="center"/>
          </w:tcPr>
          <w:p w14:paraId="439FD927">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127.7</w:t>
            </w:r>
          </w:p>
        </w:tc>
        <w:tc>
          <w:tcPr>
            <w:tcW w:w="745" w:type="pct"/>
            <w:vAlign w:val="center"/>
          </w:tcPr>
          <w:p w14:paraId="2817BF6A">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127.34</w:t>
            </w:r>
          </w:p>
        </w:tc>
        <w:tc>
          <w:tcPr>
            <w:tcW w:w="777" w:type="pct"/>
            <w:vAlign w:val="center"/>
          </w:tcPr>
          <w:p w14:paraId="700C0BAD">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sz w:val="24"/>
                <w:szCs w:val="24"/>
                <w:highlight w:val="none"/>
                <w:shd w:val="clear" w:color="auto" w:fill="auto"/>
                <w:vertAlign w:val="baseline"/>
                <w:lang w:val="en-US" w:eastAsia="zh-CN"/>
              </w:rPr>
            </w:pPr>
            <w:r>
              <w:rPr>
                <w:rFonts w:hint="eastAsia" w:ascii="仿宋" w:hAnsi="仿宋" w:eastAsia="仿宋" w:cs="仿宋"/>
                <w:sz w:val="24"/>
                <w:szCs w:val="24"/>
                <w:highlight w:val="none"/>
                <w:shd w:val="clear" w:color="auto" w:fill="auto"/>
                <w:vertAlign w:val="baseline"/>
                <w:lang w:val="en-US" w:eastAsia="zh-CN"/>
              </w:rPr>
              <w:t>0.36</w:t>
            </w:r>
          </w:p>
        </w:tc>
      </w:tr>
      <w:tr w14:paraId="4BD95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91" w:type="pct"/>
            <w:vAlign w:val="center"/>
          </w:tcPr>
          <w:p w14:paraId="34D4E15D">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eastAsia="仿宋" w:cs="仿宋"/>
                <w:b/>
                <w:bCs/>
                <w:sz w:val="24"/>
                <w:szCs w:val="24"/>
                <w:highlight w:val="none"/>
                <w:shd w:val="clear" w:color="auto" w:fill="auto"/>
                <w:vertAlign w:val="baseline"/>
                <w:lang w:val="en-US" w:eastAsia="zh-CN"/>
              </w:rPr>
            </w:pPr>
            <w:r>
              <w:rPr>
                <w:rFonts w:hint="eastAsia" w:eastAsia="仿宋" w:cs="仿宋"/>
                <w:b/>
                <w:bCs/>
                <w:sz w:val="24"/>
                <w:szCs w:val="24"/>
                <w:highlight w:val="none"/>
                <w:shd w:val="clear" w:color="auto" w:fill="auto"/>
                <w:vertAlign w:val="baseline"/>
                <w:lang w:val="en-US" w:eastAsia="zh-CN"/>
              </w:rPr>
              <w:t>合计</w:t>
            </w:r>
          </w:p>
        </w:tc>
        <w:tc>
          <w:tcPr>
            <w:tcW w:w="595" w:type="pct"/>
            <w:vAlign w:val="center"/>
          </w:tcPr>
          <w:p w14:paraId="40A7CF6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44</w:t>
            </w:r>
          </w:p>
        </w:tc>
        <w:tc>
          <w:tcPr>
            <w:tcW w:w="787" w:type="pct"/>
            <w:vAlign w:val="center"/>
          </w:tcPr>
          <w:p w14:paraId="3B29F3E7">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3849.68</w:t>
            </w:r>
          </w:p>
        </w:tc>
        <w:tc>
          <w:tcPr>
            <w:tcW w:w="803" w:type="pct"/>
            <w:vAlign w:val="center"/>
          </w:tcPr>
          <w:p w14:paraId="4FE787DB">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3849.68</w:t>
            </w:r>
          </w:p>
        </w:tc>
        <w:tc>
          <w:tcPr>
            <w:tcW w:w="745" w:type="pct"/>
            <w:vAlign w:val="center"/>
          </w:tcPr>
          <w:p w14:paraId="53DF1CE0">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eastAsia"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3801.38</w:t>
            </w:r>
          </w:p>
        </w:tc>
        <w:tc>
          <w:tcPr>
            <w:tcW w:w="777" w:type="pct"/>
            <w:vAlign w:val="center"/>
          </w:tcPr>
          <w:p w14:paraId="0FE25ECF">
            <w:pPr>
              <w:keepNext w:val="0"/>
              <w:keepLines w:val="0"/>
              <w:pageBreakBefore w:val="0"/>
              <w:widowControl w:val="0"/>
              <w:shd w:val="clear"/>
              <w:kinsoku/>
              <w:wordWrap/>
              <w:overflowPunct/>
              <w:topLinePunct w:val="0"/>
              <w:autoSpaceDE/>
              <w:autoSpaceDN/>
              <w:bidi w:val="0"/>
              <w:adjustRightInd/>
              <w:snapToGrid w:val="0"/>
              <w:spacing w:line="560" w:lineRule="exact"/>
              <w:ind w:right="0"/>
              <w:jc w:val="center"/>
              <w:textAlignment w:val="auto"/>
              <w:outlineLvl w:val="9"/>
              <w:rPr>
                <w:rFonts w:hint="default" w:ascii="仿宋" w:hAnsi="仿宋" w:eastAsia="仿宋" w:cs="仿宋"/>
                <w:b/>
                <w:bCs/>
                <w:sz w:val="24"/>
                <w:szCs w:val="24"/>
                <w:highlight w:val="none"/>
                <w:shd w:val="clear" w:color="auto" w:fill="auto"/>
                <w:vertAlign w:val="baseline"/>
                <w:lang w:val="en-US" w:eastAsia="zh-CN"/>
              </w:rPr>
            </w:pPr>
            <w:r>
              <w:rPr>
                <w:rFonts w:hint="eastAsia" w:ascii="仿宋" w:hAnsi="仿宋" w:eastAsia="仿宋" w:cs="仿宋"/>
                <w:b/>
                <w:bCs/>
                <w:sz w:val="24"/>
                <w:szCs w:val="24"/>
                <w:highlight w:val="none"/>
                <w:shd w:val="clear" w:color="auto" w:fill="auto"/>
                <w:vertAlign w:val="baseline"/>
                <w:lang w:val="en-US" w:eastAsia="zh-CN"/>
              </w:rPr>
              <w:t>48.3</w:t>
            </w:r>
            <w:bookmarkStart w:id="21" w:name="_GoBack"/>
            <w:bookmarkEnd w:id="21"/>
          </w:p>
        </w:tc>
      </w:tr>
    </w:tbl>
    <w:p w14:paraId="7E0E505F">
      <w:pPr>
        <w:keepNext w:val="0"/>
        <w:keepLines w:val="0"/>
        <w:pageBreakBefore w:val="0"/>
        <w:widowControl w:val="0"/>
        <w:shd w:val="clear"/>
        <w:kinsoku/>
        <w:wordWrap/>
        <w:overflowPunct/>
        <w:topLinePunct w:val="0"/>
        <w:autoSpaceDE/>
        <w:autoSpaceDN/>
        <w:bidi w:val="0"/>
        <w:adjustRightInd/>
        <w:snapToGrid w:val="0"/>
        <w:spacing w:line="600" w:lineRule="exact"/>
        <w:textAlignment w:val="auto"/>
        <w:rPr>
          <w:rFonts w:hint="eastAsia" w:ascii="Times New Roman" w:hAnsi="Times New Roman" w:eastAsia="宋体" w:cs="宋体"/>
          <w:sz w:val="21"/>
          <w:szCs w:val="21"/>
          <w:highlight w:val="none"/>
          <w:shd w:val="clear" w:color="auto" w:fill="auto"/>
          <w:lang w:val="en-US" w:eastAsia="zh-CN"/>
        </w:rPr>
      </w:pPr>
      <w:r>
        <w:rPr>
          <w:rFonts w:hint="eastAsia" w:ascii="Times New Roman" w:hAnsi="Times New Roman" w:eastAsia="宋体" w:cs="宋体"/>
          <w:sz w:val="21"/>
          <w:szCs w:val="21"/>
          <w:highlight w:val="none"/>
          <w:shd w:val="clear" w:color="auto" w:fill="auto"/>
          <w:lang w:val="en-US" w:eastAsia="zh-CN"/>
        </w:rPr>
        <w:t>注：以上数据存在四舍五入。</w:t>
      </w:r>
    </w:p>
    <w:p w14:paraId="490103BC">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4" w:name="_Toc15552"/>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三</w:t>
      </w:r>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制度建设情况</w:t>
      </w:r>
      <w:bookmarkEnd w:id="4"/>
    </w:p>
    <w:p w14:paraId="0CAB0A2E">
      <w:pPr>
        <w:keepNext w:val="0"/>
        <w:keepLines w:val="0"/>
        <w:pageBreakBefore w:val="0"/>
        <w:widowControl w:val="0"/>
        <w:shd w:val="clear"/>
        <w:kinsoku/>
        <w:wordWrap/>
        <w:overflowPunct/>
        <w:topLinePunct w:val="0"/>
        <w:autoSpaceDE/>
        <w:autoSpaceDN/>
        <w:bidi w:val="0"/>
        <w:adjustRightInd/>
        <w:snapToGrid w:val="0"/>
        <w:spacing w:line="560" w:lineRule="exact"/>
        <w:ind w:left="0" w:firstLine="640" w:firstLineChars="200"/>
        <w:textAlignment w:val="auto"/>
        <w:rPr>
          <w:rFonts w:hint="eastAsia" w:ascii="Times New Roman" w:hAnsi="Times New Roman" w:eastAsia="仿宋_GB2312" w:cs="仿宋_GB2312"/>
          <w:sz w:val="32"/>
          <w:szCs w:val="32"/>
          <w:highlight w:val="none"/>
          <w:shd w:val="clear" w:color="auto" w:fill="auto"/>
        </w:rPr>
      </w:pPr>
      <w:r>
        <w:rPr>
          <w:rFonts w:hint="eastAsia" w:eastAsia="仿宋_GB2312" w:cs="仿宋_GB2312"/>
          <w:sz w:val="32"/>
          <w:szCs w:val="32"/>
          <w:highlight w:val="none"/>
          <w:shd w:val="clear" w:color="auto" w:fill="auto"/>
          <w:lang w:eastAsia="zh-CN"/>
        </w:rPr>
        <w:t>我部门</w:t>
      </w:r>
      <w:r>
        <w:rPr>
          <w:rFonts w:hint="eastAsia" w:ascii="Times New Roman" w:hAnsi="Times New Roman" w:eastAsia="仿宋_GB2312" w:cs="仿宋_GB2312"/>
          <w:sz w:val="32"/>
          <w:szCs w:val="32"/>
          <w:highlight w:val="none"/>
          <w:shd w:val="clear" w:color="auto" w:fill="auto"/>
        </w:rPr>
        <w:t>依照《中华人民共和国预算法》、《中华人民共和国会计法》</w:t>
      </w:r>
      <w:r>
        <w:rPr>
          <w:rFonts w:hint="eastAsia" w:ascii="Times New Roman" w:hAnsi="Times New Roman" w:eastAsia="仿宋_GB2312" w:cs="仿宋_GB2312"/>
          <w:sz w:val="32"/>
          <w:szCs w:val="32"/>
          <w:highlight w:val="none"/>
          <w:shd w:val="clear" w:color="auto" w:fill="auto"/>
          <w:lang w:eastAsia="zh-CN"/>
        </w:rPr>
        <w:t>、</w:t>
      </w:r>
      <w:r>
        <w:rPr>
          <w:rFonts w:hint="eastAsia" w:ascii="Times New Roman" w:hAnsi="Times New Roman" w:eastAsia="仿宋_GB2312" w:cs="仿宋_GB2312"/>
          <w:sz w:val="32"/>
          <w:szCs w:val="32"/>
          <w:highlight w:val="none"/>
          <w:shd w:val="clear" w:color="auto" w:fill="auto"/>
        </w:rPr>
        <w:t>《</w:t>
      </w:r>
      <w:r>
        <w:rPr>
          <w:rFonts w:hint="eastAsia" w:ascii="Times New Roman" w:hAnsi="Times New Roman" w:eastAsia="仿宋_GB2312" w:cs="仿宋_GB2312"/>
          <w:sz w:val="32"/>
          <w:szCs w:val="32"/>
          <w:highlight w:val="none"/>
          <w:shd w:val="clear" w:color="auto" w:fill="auto"/>
          <w:lang w:eastAsia="zh-CN"/>
        </w:rPr>
        <w:t>政府会计准则—基本准则</w:t>
      </w:r>
      <w:r>
        <w:rPr>
          <w:rFonts w:hint="eastAsia" w:ascii="Times New Roman" w:hAnsi="Times New Roman" w:eastAsia="仿宋_GB2312" w:cs="仿宋_GB2312"/>
          <w:sz w:val="32"/>
          <w:szCs w:val="32"/>
          <w:highlight w:val="none"/>
          <w:shd w:val="clear" w:color="auto" w:fill="auto"/>
        </w:rPr>
        <w:t>》等法律法规</w:t>
      </w:r>
      <w:r>
        <w:rPr>
          <w:rFonts w:hint="eastAsia" w:ascii="Times New Roman" w:hAnsi="Times New Roman" w:eastAsia="仿宋_GB2312" w:cs="仿宋_GB2312"/>
          <w:sz w:val="32"/>
          <w:szCs w:val="32"/>
          <w:highlight w:val="none"/>
          <w:shd w:val="clear" w:color="auto" w:fill="auto"/>
          <w:lang w:eastAsia="zh-CN"/>
        </w:rPr>
        <w:t>、规章制度</w:t>
      </w:r>
      <w:r>
        <w:rPr>
          <w:rFonts w:hint="eastAsia" w:ascii="Times New Roman" w:hAnsi="Times New Roman" w:eastAsia="仿宋_GB2312" w:cs="仿宋_GB2312"/>
          <w:sz w:val="32"/>
          <w:szCs w:val="32"/>
          <w:highlight w:val="none"/>
          <w:shd w:val="clear" w:color="auto" w:fill="auto"/>
        </w:rPr>
        <w:t>及</w:t>
      </w:r>
      <w:r>
        <w:rPr>
          <w:rFonts w:hint="eastAsia" w:ascii="Times New Roman" w:hAnsi="Times New Roman" w:eastAsia="仿宋_GB2312" w:cs="仿宋_GB2312"/>
          <w:sz w:val="32"/>
          <w:szCs w:val="32"/>
          <w:highlight w:val="none"/>
          <w:shd w:val="clear" w:color="auto" w:fill="auto"/>
          <w:lang w:val="en-US" w:eastAsia="zh-CN"/>
        </w:rPr>
        <w:t>局属单位的财务管理制度等</w:t>
      </w:r>
      <w:r>
        <w:rPr>
          <w:rFonts w:hint="eastAsia" w:ascii="Times New Roman" w:hAnsi="Times New Roman" w:eastAsia="仿宋_GB2312" w:cs="仿宋_GB2312"/>
          <w:sz w:val="32"/>
          <w:szCs w:val="32"/>
          <w:highlight w:val="none"/>
          <w:shd w:val="clear" w:color="auto" w:fill="auto"/>
        </w:rPr>
        <w:t>，加强</w:t>
      </w:r>
      <w:r>
        <w:rPr>
          <w:rFonts w:hint="eastAsia" w:ascii="Times New Roman" w:hAnsi="Times New Roman" w:eastAsia="仿宋_GB2312" w:cs="仿宋_GB2312"/>
          <w:sz w:val="32"/>
          <w:szCs w:val="32"/>
          <w:highlight w:val="none"/>
          <w:shd w:val="clear" w:color="auto" w:fill="auto"/>
          <w:lang w:val="en-US" w:eastAsia="zh-CN"/>
        </w:rPr>
        <w:t>了</w:t>
      </w:r>
      <w:r>
        <w:rPr>
          <w:rFonts w:hint="eastAsia" w:ascii="Times New Roman" w:hAnsi="Times New Roman" w:eastAsia="仿宋_GB2312" w:cs="仿宋_GB2312"/>
          <w:sz w:val="32"/>
          <w:szCs w:val="32"/>
          <w:highlight w:val="none"/>
          <w:shd w:val="clear" w:color="auto" w:fill="auto"/>
        </w:rPr>
        <w:t>资金支付审批管理，明确</w:t>
      </w:r>
      <w:r>
        <w:rPr>
          <w:rFonts w:hint="eastAsia" w:ascii="Times New Roman" w:hAnsi="Times New Roman" w:eastAsia="仿宋_GB2312" w:cs="仿宋_GB2312"/>
          <w:sz w:val="32"/>
          <w:szCs w:val="32"/>
          <w:highlight w:val="none"/>
          <w:shd w:val="clear" w:color="auto" w:fill="auto"/>
          <w:lang w:val="en-US" w:eastAsia="zh-CN"/>
        </w:rPr>
        <w:t>了</w:t>
      </w:r>
      <w:r>
        <w:rPr>
          <w:rFonts w:hint="eastAsia" w:ascii="Times New Roman" w:hAnsi="Times New Roman" w:eastAsia="仿宋_GB2312" w:cs="仿宋_GB2312"/>
          <w:sz w:val="32"/>
          <w:szCs w:val="32"/>
          <w:highlight w:val="none"/>
          <w:shd w:val="clear" w:color="auto" w:fill="auto"/>
        </w:rPr>
        <w:t>项目资金管理的原则，加强</w:t>
      </w:r>
      <w:r>
        <w:rPr>
          <w:rFonts w:hint="eastAsia" w:ascii="Times New Roman" w:hAnsi="Times New Roman" w:eastAsia="仿宋_GB2312" w:cs="仿宋_GB2312"/>
          <w:sz w:val="32"/>
          <w:szCs w:val="32"/>
          <w:highlight w:val="none"/>
          <w:shd w:val="clear" w:color="auto" w:fill="auto"/>
          <w:lang w:val="en-US" w:eastAsia="zh-CN"/>
        </w:rPr>
        <w:t>了</w:t>
      </w:r>
      <w:r>
        <w:rPr>
          <w:rFonts w:hint="eastAsia" w:ascii="Times New Roman" w:hAnsi="Times New Roman" w:eastAsia="仿宋_GB2312" w:cs="仿宋_GB2312"/>
          <w:sz w:val="32"/>
          <w:szCs w:val="32"/>
          <w:highlight w:val="none"/>
          <w:shd w:val="clear" w:color="auto" w:fill="auto"/>
        </w:rPr>
        <w:t>资金使用管理，定期监督检查资金使用合规性、支出进度，确保账面数字真实，资金使用规范化。</w:t>
      </w:r>
    </w:p>
    <w:p w14:paraId="72AB0E84">
      <w:pPr>
        <w:keepNext w:val="0"/>
        <w:keepLines w:val="0"/>
        <w:pageBreakBefore w:val="0"/>
        <w:widowControl w:val="0"/>
        <w:shd w:val="clear"/>
        <w:kinsoku/>
        <w:wordWrap/>
        <w:overflowPunct/>
        <w:topLinePunct w:val="0"/>
        <w:autoSpaceDE/>
        <w:autoSpaceDN/>
        <w:bidi w:val="0"/>
        <w:adjustRightInd/>
        <w:snapToGrid w:val="0"/>
        <w:spacing w:line="560" w:lineRule="exact"/>
        <w:ind w:left="0" w:firstLine="640" w:firstLineChars="200"/>
        <w:textAlignment w:val="auto"/>
        <w:rPr>
          <w:rFonts w:hint="eastAsia" w:ascii="Times New Roman" w:hAnsi="Times New Roman" w:eastAsia="仿宋_GB2312" w:cs="仿宋_GB2312"/>
          <w:highlight w:val="none"/>
          <w:shd w:val="clear" w:color="auto" w:fill="auto"/>
          <w:lang w:eastAsia="zh-CN"/>
        </w:rPr>
      </w:pPr>
      <w:r>
        <w:rPr>
          <w:rFonts w:hint="eastAsia" w:eastAsia="仿宋_GB2312" w:cs="仿宋_GB2312"/>
          <w:sz w:val="32"/>
          <w:szCs w:val="32"/>
          <w:highlight w:val="none"/>
          <w:shd w:val="clear" w:color="auto" w:fill="auto"/>
          <w:lang w:val="en-US" w:eastAsia="zh-CN"/>
        </w:rPr>
        <w:t>我部门</w:t>
      </w:r>
      <w:r>
        <w:rPr>
          <w:rFonts w:hint="eastAsia" w:ascii="Times New Roman" w:hAnsi="Times New Roman" w:eastAsia="仿宋_GB2312" w:cs="仿宋_GB2312"/>
          <w:sz w:val="32"/>
          <w:szCs w:val="32"/>
          <w:highlight w:val="none"/>
          <w:shd w:val="clear" w:color="auto" w:fill="auto"/>
          <w:lang w:val="en-US" w:eastAsia="zh-CN"/>
        </w:rPr>
        <w:t>秉承</w:t>
      </w:r>
      <w:r>
        <w:rPr>
          <w:rFonts w:hint="eastAsia" w:ascii="Times New Roman" w:hAnsi="Times New Roman" w:eastAsia="仿宋_GB2312" w:cs="仿宋_GB2312"/>
          <w:color w:val="000000"/>
          <w:sz w:val="32"/>
          <w:szCs w:val="32"/>
          <w:highlight w:val="none"/>
          <w:shd w:val="clear" w:color="auto" w:fill="auto"/>
        </w:rPr>
        <w:t>制度管人管事管钱</w:t>
      </w:r>
      <w:r>
        <w:rPr>
          <w:rFonts w:hint="eastAsia" w:ascii="Times New Roman" w:hAnsi="Times New Roman" w:eastAsia="仿宋_GB2312" w:cs="仿宋_GB2312"/>
          <w:color w:val="000000"/>
          <w:sz w:val="32"/>
          <w:szCs w:val="32"/>
          <w:highlight w:val="none"/>
          <w:shd w:val="clear" w:color="auto" w:fill="auto"/>
          <w:lang w:val="en-US" w:eastAsia="zh-CN"/>
        </w:rPr>
        <w:t>原则</w:t>
      </w:r>
      <w:r>
        <w:rPr>
          <w:rFonts w:hint="eastAsia" w:ascii="Times New Roman" w:hAnsi="Times New Roman" w:eastAsia="仿宋_GB2312" w:cs="仿宋_GB2312"/>
          <w:color w:val="000000"/>
          <w:sz w:val="32"/>
          <w:szCs w:val="32"/>
          <w:highlight w:val="none"/>
          <w:shd w:val="clear" w:color="auto" w:fill="auto"/>
        </w:rPr>
        <w:t>，</w:t>
      </w:r>
      <w:r>
        <w:rPr>
          <w:rFonts w:hint="eastAsia" w:ascii="Times New Roman" w:hAnsi="Times New Roman" w:eastAsia="仿宋_GB2312" w:cs="仿宋_GB2312"/>
          <w:color w:val="000000"/>
          <w:sz w:val="32"/>
          <w:szCs w:val="32"/>
          <w:highlight w:val="none"/>
          <w:shd w:val="clear" w:color="auto" w:fill="auto"/>
          <w:lang w:val="en-US" w:eastAsia="zh-CN"/>
        </w:rPr>
        <w:t>先后</w:t>
      </w:r>
      <w:r>
        <w:rPr>
          <w:rFonts w:hint="eastAsia" w:ascii="Times New Roman" w:hAnsi="Times New Roman" w:eastAsia="仿宋_GB2312" w:cs="仿宋_GB2312"/>
          <w:color w:val="000000"/>
          <w:sz w:val="32"/>
          <w:szCs w:val="32"/>
          <w:highlight w:val="none"/>
          <w:shd w:val="clear" w:color="auto" w:fill="auto"/>
        </w:rPr>
        <w:t>出台</w:t>
      </w:r>
      <w:r>
        <w:rPr>
          <w:rFonts w:hint="eastAsia" w:ascii="Times New Roman" w:hAnsi="Times New Roman" w:eastAsia="仿宋_GB2312" w:cs="仿宋_GB2312"/>
          <w:color w:val="000000"/>
          <w:sz w:val="32"/>
          <w:szCs w:val="32"/>
          <w:highlight w:val="none"/>
          <w:shd w:val="clear" w:color="auto" w:fill="auto"/>
          <w:lang w:val="en-US" w:eastAsia="zh-CN"/>
        </w:rPr>
        <w:t>了</w:t>
      </w:r>
      <w:r>
        <w:rPr>
          <w:rFonts w:hint="eastAsia" w:ascii="Times New Roman" w:hAnsi="Times New Roman" w:eastAsia="仿宋_GB2312" w:cs="仿宋_GB2312"/>
          <w:color w:val="auto"/>
          <w:sz w:val="32"/>
          <w:szCs w:val="32"/>
          <w:highlight w:val="none"/>
          <w:shd w:val="clear" w:color="auto" w:fill="auto"/>
        </w:rPr>
        <w:t>《内部审计工作制度》</w:t>
      </w:r>
      <w:r>
        <w:rPr>
          <w:rFonts w:hint="eastAsia" w:ascii="Times New Roman" w:hAnsi="Times New Roman" w:eastAsia="仿宋_GB2312" w:cs="仿宋_GB2312"/>
          <w:color w:val="auto"/>
          <w:sz w:val="32"/>
          <w:szCs w:val="32"/>
          <w:highlight w:val="none"/>
          <w:shd w:val="clear" w:color="auto" w:fill="auto"/>
          <w:lang w:eastAsia="zh-CN"/>
        </w:rPr>
        <w:t>、《市委老干部局工会财务制度》、</w:t>
      </w:r>
      <w:r>
        <w:rPr>
          <w:rFonts w:hint="eastAsia" w:ascii="Times New Roman" w:hAnsi="Times New Roman" w:eastAsia="仿宋_GB2312" w:cs="仿宋_GB2312"/>
          <w:color w:val="auto"/>
          <w:sz w:val="32"/>
          <w:szCs w:val="32"/>
          <w:highlight w:val="none"/>
          <w:shd w:val="clear" w:color="auto" w:fill="auto"/>
        </w:rPr>
        <w:t>《</w:t>
      </w:r>
      <w:r>
        <w:rPr>
          <w:rFonts w:hint="eastAsia" w:ascii="Times New Roman" w:hAnsi="Times New Roman" w:eastAsia="仿宋_GB2312" w:cs="仿宋_GB2312"/>
          <w:color w:val="auto"/>
          <w:sz w:val="32"/>
          <w:szCs w:val="32"/>
          <w:highlight w:val="none"/>
          <w:shd w:val="clear" w:color="auto" w:fill="auto"/>
          <w:lang w:eastAsia="zh-CN"/>
        </w:rPr>
        <w:t>值班工作制度</w:t>
      </w:r>
      <w:r>
        <w:rPr>
          <w:rFonts w:hint="eastAsia" w:ascii="Times New Roman" w:hAnsi="Times New Roman" w:eastAsia="仿宋_GB2312" w:cs="仿宋_GB2312"/>
          <w:color w:val="auto"/>
          <w:sz w:val="32"/>
          <w:szCs w:val="32"/>
          <w:highlight w:val="none"/>
          <w:shd w:val="clear" w:color="auto" w:fill="auto"/>
        </w:rPr>
        <w:t>》</w:t>
      </w:r>
      <w:r>
        <w:rPr>
          <w:rFonts w:hint="eastAsia" w:ascii="Times New Roman" w:hAnsi="Times New Roman" w:eastAsia="仿宋_GB2312" w:cs="仿宋_GB2312"/>
          <w:color w:val="000000"/>
          <w:sz w:val="32"/>
          <w:szCs w:val="32"/>
          <w:highlight w:val="none"/>
          <w:shd w:val="clear" w:color="auto" w:fill="auto"/>
        </w:rPr>
        <w:t>等制度规定，</w:t>
      </w:r>
      <w:r>
        <w:rPr>
          <w:rFonts w:hint="eastAsia" w:ascii="Times New Roman" w:hAnsi="Times New Roman" w:eastAsia="仿宋_GB2312" w:cs="仿宋_GB2312"/>
          <w:color w:val="000000"/>
          <w:sz w:val="32"/>
          <w:szCs w:val="32"/>
          <w:highlight w:val="none"/>
          <w:shd w:val="clear" w:color="auto" w:fill="auto"/>
          <w:lang w:val="en-US" w:eastAsia="zh-CN"/>
        </w:rPr>
        <w:t>促进了</w:t>
      </w:r>
      <w:r>
        <w:rPr>
          <w:rFonts w:hint="eastAsia" w:ascii="Times New Roman" w:hAnsi="Times New Roman" w:eastAsia="仿宋_GB2312" w:cs="仿宋_GB2312"/>
          <w:color w:val="000000"/>
          <w:sz w:val="32"/>
          <w:szCs w:val="32"/>
          <w:highlight w:val="none"/>
          <w:shd w:val="clear" w:color="auto" w:fill="auto"/>
        </w:rPr>
        <w:t>老干部工作规范化水平进一步提升</w:t>
      </w:r>
      <w:r>
        <w:rPr>
          <w:rFonts w:hint="eastAsia" w:ascii="Times New Roman" w:hAnsi="Times New Roman" w:eastAsia="仿宋_GB2312" w:cs="仿宋_GB2312"/>
          <w:color w:val="000000"/>
          <w:sz w:val="32"/>
          <w:szCs w:val="32"/>
          <w:highlight w:val="none"/>
          <w:shd w:val="clear" w:color="auto" w:fill="auto"/>
          <w:lang w:eastAsia="zh-CN"/>
        </w:rPr>
        <w:t>。</w:t>
      </w:r>
    </w:p>
    <w:p w14:paraId="418262C5">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0"/>
        <w:rPr>
          <w:rFonts w:hint="eastAsia" w:ascii="Times New Roman" w:hAnsi="Times New Roman" w:eastAsia="黑体" w:cs="黑体"/>
          <w:sz w:val="32"/>
          <w:szCs w:val="32"/>
          <w:highlight w:val="none"/>
          <w:shd w:val="clear" w:color="auto" w:fill="auto"/>
        </w:rPr>
      </w:pPr>
      <w:bookmarkStart w:id="5" w:name="_Toc3474"/>
      <w:r>
        <w:rPr>
          <w:rFonts w:hint="eastAsia" w:ascii="Times New Roman" w:hAnsi="Times New Roman" w:eastAsia="黑体" w:cs="黑体"/>
          <w:sz w:val="32"/>
          <w:szCs w:val="32"/>
          <w:highlight w:val="none"/>
          <w:shd w:val="clear" w:color="auto" w:fill="auto"/>
        </w:rPr>
        <w:t>二、绩效目标实现情况</w:t>
      </w:r>
      <w:bookmarkEnd w:id="5"/>
    </w:p>
    <w:p w14:paraId="3E1CD493">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eastAsia="zh-CN"/>
        </w:rPr>
      </w:pPr>
      <w:bookmarkStart w:id="6" w:name="_Toc20591"/>
      <w:bookmarkStart w:id="7" w:name="_Toc5428"/>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一</w:t>
      </w:r>
      <w:r>
        <w:rPr>
          <w:rFonts w:hint="eastAsia" w:ascii="Times New Roman" w:hAnsi="Times New Roman" w:eastAsia="楷体" w:cs="楷体"/>
          <w:sz w:val="32"/>
          <w:szCs w:val="32"/>
          <w:highlight w:val="none"/>
          <w:shd w:val="clear" w:color="auto" w:fill="auto"/>
          <w:lang w:eastAsia="zh-CN"/>
        </w:rPr>
        <w:t>）部门总体工作开展情况</w:t>
      </w:r>
      <w:bookmarkEnd w:id="6"/>
      <w:bookmarkEnd w:id="7"/>
    </w:p>
    <w:p w14:paraId="26A3612F">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default" w:ascii="Times New Roman" w:hAnsi="Times New Roman" w:eastAsia="仿宋_GB2312" w:cs="Times New Roman"/>
          <w:b w:val="0"/>
          <w:bCs w:val="0"/>
          <w:color w:val="auto"/>
          <w:sz w:val="32"/>
          <w:szCs w:val="32"/>
          <w:lang w:val="en-US" w:eastAsia="zh-CN"/>
        </w:rPr>
      </w:pPr>
      <w:bookmarkStart w:id="8" w:name="_Toc8251"/>
      <w:r>
        <w:rPr>
          <w:rFonts w:hint="eastAsia" w:ascii="黑体" w:hAnsi="黑体" w:eastAsia="黑体" w:cs="黑体"/>
          <w:color w:val="auto"/>
          <w:sz w:val="32"/>
          <w:szCs w:val="32"/>
          <w:lang w:val="en-US" w:eastAsia="zh-CN"/>
        </w:rPr>
        <w:t>1.</w:t>
      </w:r>
      <w:r>
        <w:rPr>
          <w:rFonts w:hint="eastAsia" w:ascii="Times New Roman" w:hAnsi="Times New Roman" w:eastAsia="楷体_GB2312" w:cs="Times New Roman"/>
          <w:b/>
          <w:bCs/>
          <w:color w:val="auto"/>
          <w:sz w:val="32"/>
          <w:szCs w:val="32"/>
          <w:lang w:eastAsia="zh-CN"/>
        </w:rPr>
        <w:t>强化政治引领</w:t>
      </w:r>
      <w:r>
        <w:rPr>
          <w:rFonts w:hint="default" w:ascii="Times New Roman" w:hAnsi="Times New Roman" w:eastAsia="楷体_GB2312" w:cs="Times New Roman"/>
          <w:b/>
          <w:bCs/>
          <w:color w:val="auto"/>
          <w:sz w:val="32"/>
          <w:szCs w:val="32"/>
          <w:lang w:eastAsia="zh-CN"/>
        </w:rPr>
        <w:t>，离退休干部党建工作取得新进展</w:t>
      </w:r>
      <w:r>
        <w:rPr>
          <w:rFonts w:hint="eastAsia" w:ascii="Times New Roman" w:hAnsi="Times New Roman" w:eastAsia="楷体_GB2312" w:cs="Times New Roman"/>
          <w:b/>
          <w:bCs/>
          <w:color w:val="auto"/>
          <w:sz w:val="32"/>
          <w:szCs w:val="32"/>
          <w:lang w:eastAsia="zh-CN"/>
        </w:rPr>
        <w:t>。</w:t>
      </w:r>
      <w:r>
        <w:rPr>
          <w:rFonts w:hint="default" w:ascii="Times New Roman" w:hAnsi="Times New Roman" w:eastAsia="仿宋_GB2312" w:cs="Times New Roman"/>
          <w:b/>
          <w:bCs/>
          <w:color w:val="auto"/>
          <w:sz w:val="32"/>
          <w:szCs w:val="32"/>
          <w:lang w:eastAsia="zh-CN"/>
        </w:rPr>
        <w:t>一是</w:t>
      </w:r>
      <w:r>
        <w:rPr>
          <w:rFonts w:hint="default" w:ascii="Times New Roman" w:hAnsi="Times New Roman" w:eastAsia="仿宋_GB2312" w:cs="Times New Roman"/>
          <w:b/>
          <w:bCs/>
          <w:color w:val="auto"/>
          <w:sz w:val="32"/>
          <w:szCs w:val="32"/>
          <w:lang w:val="en-US" w:eastAsia="zh-CN"/>
        </w:rPr>
        <w:t>扎实开展党纪学习教育</w:t>
      </w:r>
      <w:r>
        <w:rPr>
          <w:rFonts w:hint="eastAsia" w:ascii="Times New Roman" w:hAnsi="Times New Roman" w:eastAsia="仿宋_GB2312" w:cs="Times New Roman"/>
          <w:b/>
          <w:bCs/>
          <w:color w:val="auto"/>
          <w:sz w:val="32"/>
          <w:szCs w:val="32"/>
          <w:lang w:val="en-US" w:eastAsia="zh-CN"/>
        </w:rPr>
        <w:t>。</w:t>
      </w:r>
      <w:r>
        <w:rPr>
          <w:rFonts w:hint="default" w:ascii="Times New Roman" w:hAnsi="Times New Roman" w:eastAsia="仿宋_GB2312" w:cs="Times New Roman"/>
          <w:b w:val="0"/>
          <w:bCs/>
          <w:color w:val="auto"/>
          <w:sz w:val="32"/>
          <w:szCs w:val="32"/>
          <w:lang w:eastAsia="zh-CN"/>
        </w:rPr>
        <w:t>印发《关于组织离退休干部开展党纪学习教育的通知》，</w:t>
      </w:r>
      <w:r>
        <w:rPr>
          <w:rFonts w:hint="eastAsia" w:ascii="仿宋_GB2312" w:hAnsi="仿宋_GB2312" w:eastAsia="仿宋_GB2312" w:cs="仿宋_GB2312"/>
          <w:b w:val="0"/>
          <w:bCs w:val="0"/>
          <w:color w:val="000000"/>
          <w:kern w:val="2"/>
          <w:sz w:val="32"/>
          <w:szCs w:val="32"/>
          <w:lang w:val="en-US" w:eastAsia="zh-CN" w:bidi="ar-SA"/>
        </w:rPr>
        <w:t>通过个人自学与集中学习、组织学习文件与开展警示教育相结合，</w:t>
      </w:r>
      <w:r>
        <w:rPr>
          <w:rFonts w:hint="eastAsia" w:ascii="Times New Roman" w:hAnsi="Times New Roman" w:eastAsia="仿宋_GB2312" w:cs="Times New Roman"/>
          <w:b w:val="0"/>
          <w:bCs/>
          <w:color w:val="auto"/>
          <w:sz w:val="32"/>
          <w:szCs w:val="32"/>
          <w:lang w:eastAsia="zh-CN"/>
        </w:rPr>
        <w:t>督导</w:t>
      </w:r>
      <w:r>
        <w:rPr>
          <w:rFonts w:hint="default" w:ascii="Times New Roman" w:hAnsi="Times New Roman" w:eastAsia="仿宋_GB2312" w:cs="Times New Roman"/>
          <w:b w:val="0"/>
          <w:bCs/>
          <w:color w:val="auto"/>
          <w:sz w:val="32"/>
          <w:szCs w:val="32"/>
          <w:lang w:eastAsia="zh-CN"/>
        </w:rPr>
        <w:t>各地各单位引导离退休干部参加党纪学习教育，推动《条例》入脑入心</w:t>
      </w:r>
      <w:r>
        <w:rPr>
          <w:rFonts w:hint="eastAsia" w:ascii="Times New Roman" w:hAnsi="Times New Roman" w:eastAsia="仿宋_GB2312" w:cs="Times New Roman"/>
          <w:b w:val="0"/>
          <w:bCs/>
          <w:color w:val="auto"/>
          <w:sz w:val="32"/>
          <w:szCs w:val="32"/>
          <w:lang w:eastAsia="zh-CN"/>
        </w:rPr>
        <w:t>。全市离退休干部党支部共举办座谈交流807场、主题党日853场、党课教育1017场。</w:t>
      </w:r>
      <w:r>
        <w:rPr>
          <w:rFonts w:hint="default" w:ascii="Times New Roman" w:hAnsi="Times New Roman" w:eastAsia="仿宋_GB2312" w:cs="Times New Roman"/>
          <w:b/>
          <w:bCs/>
          <w:color w:val="auto"/>
          <w:sz w:val="32"/>
          <w:szCs w:val="32"/>
          <w:lang w:eastAsia="zh-CN"/>
        </w:rPr>
        <w:t>二是</w:t>
      </w:r>
      <w:r>
        <w:rPr>
          <w:rFonts w:hint="default" w:ascii="Times New Roman" w:hAnsi="Times New Roman" w:eastAsia="仿宋_GB2312" w:cs="Times New Roman"/>
          <w:b/>
          <w:bCs/>
          <w:color w:val="auto"/>
          <w:sz w:val="32"/>
          <w:szCs w:val="32"/>
          <w:lang w:val="en-US" w:eastAsia="zh-CN"/>
        </w:rPr>
        <w:t>强化组织建设。</w:t>
      </w:r>
      <w:r>
        <w:rPr>
          <w:rFonts w:hint="eastAsia" w:ascii="Times New Roman" w:hAnsi="Times New Roman" w:eastAsia="仿宋_GB2312" w:cs="Times New Roman"/>
          <w:b w:val="0"/>
          <w:bCs w:val="0"/>
          <w:color w:val="auto"/>
          <w:sz w:val="32"/>
          <w:szCs w:val="32"/>
          <w:lang w:val="en-US" w:eastAsia="zh-CN"/>
        </w:rPr>
        <w:t>深化</w:t>
      </w:r>
      <w:r>
        <w:rPr>
          <w:rFonts w:hint="default" w:ascii="Times New Roman" w:hAnsi="Times New Roman" w:eastAsia="仿宋_GB2312" w:cs="Times New Roman"/>
          <w:b w:val="0"/>
          <w:bCs w:val="0"/>
          <w:color w:val="auto"/>
          <w:sz w:val="32"/>
          <w:szCs w:val="32"/>
          <w:lang w:val="en-US" w:eastAsia="zh-CN"/>
        </w:rPr>
        <w:t>“示范党支部”创建</w:t>
      </w:r>
      <w:r>
        <w:rPr>
          <w:rFonts w:hint="eastAsia" w:ascii="Times New Roman" w:hAnsi="Times New Roman" w:eastAsia="仿宋_GB2312" w:cs="Times New Roman"/>
          <w:b w:val="0"/>
          <w:bCs w:val="0"/>
          <w:color w:val="auto"/>
          <w:sz w:val="32"/>
          <w:szCs w:val="32"/>
          <w:lang w:val="en-US" w:eastAsia="zh-CN"/>
        </w:rPr>
        <w:t>活动</w:t>
      </w:r>
      <w:r>
        <w:rPr>
          <w:rFonts w:hint="default" w:ascii="Times New Roman" w:hAnsi="Times New Roman" w:eastAsia="仿宋_GB2312" w:cs="Times New Roman"/>
          <w:b w:val="0"/>
          <w:bCs w:val="0"/>
          <w:color w:val="auto"/>
          <w:sz w:val="32"/>
          <w:szCs w:val="32"/>
          <w:lang w:val="en-US" w:eastAsia="zh-CN"/>
        </w:rPr>
        <w:t>，</w:t>
      </w:r>
      <w:r>
        <w:rPr>
          <w:rFonts w:hint="eastAsia" w:ascii="Times New Roman" w:hAnsi="Times New Roman" w:eastAsia="仿宋_GB2312" w:cs="Times New Roman"/>
          <w:b w:val="0"/>
          <w:bCs w:val="0"/>
          <w:color w:val="auto"/>
          <w:sz w:val="32"/>
          <w:szCs w:val="32"/>
          <w:lang w:val="en-US" w:eastAsia="zh-CN"/>
        </w:rPr>
        <w:t>推荐</w:t>
      </w:r>
      <w:r>
        <w:rPr>
          <w:rFonts w:hint="default" w:ascii="Times New Roman" w:hAnsi="Times New Roman" w:eastAsia="仿宋_GB2312" w:cs="Times New Roman"/>
          <w:b w:val="0"/>
          <w:bCs w:val="0"/>
          <w:color w:val="auto"/>
          <w:kern w:val="2"/>
          <w:sz w:val="32"/>
          <w:szCs w:val="32"/>
          <w:lang w:val="en-US" w:eastAsia="zh-CN" w:bidi="ar-SA"/>
        </w:rPr>
        <w:t>15个支部</w:t>
      </w:r>
      <w:r>
        <w:rPr>
          <w:rFonts w:hint="eastAsia" w:ascii="Times New Roman" w:hAnsi="Times New Roman" w:eastAsia="仿宋_GB2312" w:cs="Times New Roman"/>
          <w:b w:val="0"/>
          <w:bCs w:val="0"/>
          <w:color w:val="auto"/>
          <w:kern w:val="2"/>
          <w:sz w:val="32"/>
          <w:szCs w:val="32"/>
          <w:lang w:val="en-US" w:eastAsia="zh-CN" w:bidi="ar-SA"/>
        </w:rPr>
        <w:t>获评</w:t>
      </w:r>
      <w:r>
        <w:rPr>
          <w:rFonts w:hint="default" w:ascii="Times New Roman" w:hAnsi="Times New Roman" w:eastAsia="仿宋_GB2312" w:cs="Times New Roman"/>
          <w:b w:val="0"/>
          <w:bCs w:val="0"/>
          <w:color w:val="auto"/>
          <w:kern w:val="2"/>
          <w:sz w:val="32"/>
          <w:szCs w:val="32"/>
          <w:lang w:val="en-US" w:eastAsia="zh-CN" w:bidi="ar-SA"/>
        </w:rPr>
        <w:t>省级“示范党支部”，</w:t>
      </w:r>
      <w:r>
        <w:rPr>
          <w:rFonts w:hint="eastAsia" w:ascii="Times New Roman" w:hAnsi="Times New Roman" w:eastAsia="仿宋_GB2312" w:cs="Times New Roman"/>
          <w:b w:val="0"/>
          <w:bCs w:val="0"/>
          <w:color w:val="auto"/>
          <w:kern w:val="2"/>
          <w:sz w:val="32"/>
          <w:szCs w:val="32"/>
          <w:lang w:val="en-US" w:eastAsia="zh-CN" w:bidi="ar-SA"/>
        </w:rPr>
        <w:t>创建</w:t>
      </w:r>
      <w:r>
        <w:rPr>
          <w:rFonts w:hint="default" w:ascii="Times New Roman" w:hAnsi="Times New Roman" w:eastAsia="仿宋_GB2312" w:cs="Times New Roman"/>
          <w:b w:val="0"/>
          <w:bCs w:val="0"/>
          <w:color w:val="auto"/>
          <w:kern w:val="2"/>
          <w:sz w:val="32"/>
          <w:szCs w:val="32"/>
          <w:lang w:val="en-US" w:eastAsia="zh-CN" w:bidi="ar-SA"/>
        </w:rPr>
        <w:t>15个市级“示范党支部”</w:t>
      </w:r>
      <w:r>
        <w:rPr>
          <w:rFonts w:hint="eastAsia" w:ascii="Times New Roman" w:hAnsi="Times New Roman" w:eastAsia="仿宋_GB2312" w:cs="Times New Roman"/>
          <w:b w:val="0"/>
          <w:bCs w:val="0"/>
          <w:color w:val="auto"/>
          <w:kern w:val="2"/>
          <w:sz w:val="32"/>
          <w:szCs w:val="32"/>
          <w:lang w:val="en-US" w:eastAsia="zh-CN" w:bidi="ar-SA"/>
        </w:rPr>
        <w:t>，举办全市离退休干部“示范党支部”创建总结会暨集中授牌仪式，</w:t>
      </w:r>
      <w:r>
        <w:rPr>
          <w:rFonts w:hint="default" w:ascii="Times New Roman" w:hAnsi="Times New Roman" w:eastAsia="仿宋_GB2312" w:cs="Times New Roman"/>
          <w:b w:val="0"/>
          <w:bCs w:val="0"/>
          <w:color w:val="auto"/>
          <w:kern w:val="2"/>
          <w:sz w:val="32"/>
          <w:szCs w:val="32"/>
          <w:lang w:val="en-US" w:eastAsia="zh-CN" w:bidi="ar-SA"/>
        </w:rPr>
        <w:t>通过示范带动、组织推动，</w:t>
      </w:r>
      <w:r>
        <w:rPr>
          <w:rFonts w:hint="default" w:ascii="Times New Roman" w:hAnsi="Times New Roman" w:eastAsia="仿宋_GB2312" w:cs="Times New Roman"/>
          <w:b w:val="0"/>
          <w:color w:val="auto"/>
          <w:kern w:val="2"/>
          <w:sz w:val="32"/>
          <w:szCs w:val="32"/>
          <w:lang w:val="en-US" w:eastAsia="zh-CN" w:bidi="ar-SA"/>
        </w:rPr>
        <w:t>全市单建或联建离退休干部党支部629个，较去年增加32个</w:t>
      </w:r>
      <w:r>
        <w:rPr>
          <w:rFonts w:hint="eastAsia" w:ascii="Times New Roman" w:hAnsi="Times New Roman" w:eastAsia="仿宋_GB2312" w:cs="Times New Roman"/>
          <w:b w:val="0"/>
          <w:color w:val="auto"/>
          <w:kern w:val="2"/>
          <w:sz w:val="32"/>
          <w:szCs w:val="32"/>
          <w:lang w:val="en-US" w:eastAsia="zh-CN" w:bidi="ar-SA"/>
        </w:rPr>
        <w:t>。</w:t>
      </w:r>
      <w:r>
        <w:rPr>
          <w:rFonts w:hint="eastAsia" w:ascii="Times New Roman" w:hAnsi="Times New Roman" w:eastAsia="仿宋_GB2312" w:cs="Times New Roman"/>
          <w:b w:val="0"/>
          <w:bCs w:val="0"/>
          <w:color w:val="auto"/>
          <w:kern w:val="2"/>
          <w:sz w:val="32"/>
          <w:szCs w:val="32"/>
          <w:lang w:val="en-US" w:eastAsia="zh-CN" w:bidi="ar-SA"/>
        </w:rPr>
        <w:t>在</w:t>
      </w:r>
      <w:r>
        <w:rPr>
          <w:rFonts w:hint="default" w:ascii="Times New Roman" w:hAnsi="Times New Roman" w:eastAsia="仿宋_GB2312" w:cs="Times New Roman"/>
          <w:color w:val="auto"/>
          <w:sz w:val="32"/>
          <w:szCs w:val="32"/>
          <w:u w:val="none"/>
          <w:lang w:val="en-US" w:eastAsia="zh-CN"/>
        </w:rPr>
        <w:t>老年大学教学班、老干部活动中心社团</w:t>
      </w:r>
      <w:r>
        <w:rPr>
          <w:rFonts w:hint="eastAsia" w:ascii="Times New Roman" w:hAnsi="Times New Roman" w:eastAsia="仿宋_GB2312" w:cs="Times New Roman"/>
          <w:color w:val="auto"/>
          <w:sz w:val="32"/>
          <w:szCs w:val="32"/>
          <w:u w:val="none"/>
          <w:lang w:val="en-US" w:eastAsia="zh-CN"/>
        </w:rPr>
        <w:t>建立</w:t>
      </w:r>
      <w:r>
        <w:rPr>
          <w:rFonts w:hint="default" w:ascii="Times New Roman" w:hAnsi="Times New Roman" w:eastAsia="仿宋_GB2312" w:cs="Times New Roman"/>
          <w:color w:val="auto"/>
          <w:sz w:val="32"/>
          <w:szCs w:val="32"/>
          <w:u w:val="none"/>
          <w:lang w:val="en-US" w:eastAsia="zh-CN"/>
        </w:rPr>
        <w:t>临时党支部459个，较去年增加54个</w:t>
      </w:r>
      <w:r>
        <w:rPr>
          <w:rFonts w:hint="eastAsia" w:ascii="Times New Roman" w:hAnsi="Times New Roman" w:eastAsia="仿宋_GB2312" w:cs="Times New Roman"/>
          <w:color w:val="auto"/>
          <w:sz w:val="32"/>
          <w:szCs w:val="32"/>
          <w:u w:val="none"/>
          <w:lang w:val="en-US" w:eastAsia="zh-CN"/>
        </w:rPr>
        <w:t>，党组织覆盖面进一步扩大</w:t>
      </w:r>
      <w:r>
        <w:rPr>
          <w:rFonts w:hint="default" w:ascii="Times New Roman" w:hAnsi="Times New Roman" w:eastAsia="仿宋_GB2312" w:cs="Times New Roman"/>
          <w:color w:val="auto"/>
          <w:sz w:val="32"/>
          <w:szCs w:val="32"/>
          <w:u w:val="none"/>
          <w:lang w:val="en-US" w:eastAsia="zh-CN"/>
        </w:rPr>
        <w:t>。</w:t>
      </w:r>
      <w:r>
        <w:rPr>
          <w:rFonts w:hint="default" w:ascii="Times New Roman" w:hAnsi="Times New Roman" w:eastAsia="仿宋_GB2312" w:cs="Times New Roman"/>
          <w:b/>
          <w:bCs/>
          <w:color w:val="auto"/>
          <w:sz w:val="32"/>
          <w:szCs w:val="32"/>
          <w:lang w:eastAsia="zh-CN"/>
        </w:rPr>
        <w:t>三是</w:t>
      </w:r>
      <w:r>
        <w:rPr>
          <w:rFonts w:hint="eastAsia" w:ascii="Times New Roman" w:hAnsi="Times New Roman" w:eastAsia="仿宋_GB2312" w:cs="Times New Roman"/>
          <w:b/>
          <w:bCs/>
          <w:color w:val="auto"/>
          <w:sz w:val="32"/>
          <w:szCs w:val="32"/>
          <w:lang w:eastAsia="zh-CN"/>
        </w:rPr>
        <w:t>严格组织生活。</w:t>
      </w:r>
      <w:r>
        <w:rPr>
          <w:rFonts w:hint="eastAsia" w:ascii="仿宋_GB2312" w:hAnsi="仿宋_GB2312" w:eastAsia="仿宋_GB2312" w:cs="仿宋_GB2312"/>
          <w:b w:val="0"/>
          <w:bCs w:val="0"/>
          <w:color w:val="auto"/>
          <w:kern w:val="2"/>
          <w:sz w:val="32"/>
          <w:szCs w:val="32"/>
          <w:lang w:val="en-US" w:eastAsia="zh-CN" w:bidi="ar-SA"/>
        </w:rPr>
        <w:t>组织</w:t>
      </w:r>
      <w:r>
        <w:rPr>
          <w:rFonts w:hint="eastAsia" w:ascii="Times New Roman" w:hAnsi="Times New Roman" w:eastAsia="仿宋_GB2312" w:cs="Times New Roman"/>
          <w:b w:val="0"/>
          <w:bCs w:val="0"/>
          <w:color w:val="auto"/>
          <w:sz w:val="32"/>
          <w:szCs w:val="32"/>
          <w:lang w:val="en-US" w:eastAsia="zh-CN"/>
        </w:rPr>
        <w:t>160余人举办全市离退休干部党支部书记示范培训班，引导老同志深入学习领会党的二十届三中全会精神。</w:t>
      </w:r>
      <w:r>
        <w:rPr>
          <w:rFonts w:hint="eastAsia" w:ascii="Calibri" w:hAnsi="Calibri" w:eastAsia="仿宋_GB2312" w:cs="Times New Roman"/>
          <w:b w:val="0"/>
          <w:bCs w:val="0"/>
          <w:color w:val="auto"/>
          <w:sz w:val="32"/>
          <w:szCs w:val="32"/>
          <w:lang w:val="en-US" w:eastAsia="zh-CN"/>
        </w:rPr>
        <w:t>开展“迎七一·促落实·展成效”主题月活动，</w:t>
      </w:r>
      <w:r>
        <w:rPr>
          <w:rFonts w:hint="default" w:ascii="Times New Roman" w:hAnsi="Times New Roman" w:eastAsia="仿宋_GB2312" w:cs="Times New Roman"/>
          <w:b w:val="0"/>
          <w:bCs w:val="0"/>
          <w:color w:val="auto"/>
          <w:sz w:val="32"/>
          <w:szCs w:val="32"/>
          <w:lang w:val="en-US" w:eastAsia="zh-CN"/>
        </w:rPr>
        <w:t>涵盖党纪学习交流、主题党日、党课教育、“光荣在党50年”纪念章颁发仪式、走访慰问老党员、为民服务实践“七个一”活动，</w:t>
      </w:r>
      <w:r>
        <w:rPr>
          <w:rFonts w:hint="eastAsia" w:ascii="仿宋_GB2312" w:hAnsi="仿宋_GB2312" w:eastAsia="仿宋_GB2312" w:cs="仿宋_GB2312"/>
          <w:b w:val="0"/>
          <w:color w:val="auto"/>
          <w:kern w:val="2"/>
          <w:sz w:val="32"/>
          <w:szCs w:val="32"/>
          <w:lang w:val="en-US" w:eastAsia="zh-CN" w:bidi="ar-SA"/>
        </w:rPr>
        <w:t>全市</w:t>
      </w:r>
      <w:r>
        <w:rPr>
          <w:rFonts w:hint="eastAsia" w:ascii="Times New Roman" w:hAnsi="Times New Roman" w:eastAsia="仿宋_GB2312" w:cs="Times New Roman"/>
          <w:b w:val="0"/>
          <w:bCs w:val="0"/>
          <w:color w:val="auto"/>
          <w:sz w:val="32"/>
          <w:szCs w:val="32"/>
          <w:lang w:val="en-US" w:eastAsia="zh-CN"/>
        </w:rPr>
        <w:t>8万余名老同志踊跃参加，开展</w:t>
      </w:r>
      <w:r>
        <w:rPr>
          <w:rFonts w:hint="eastAsia" w:ascii="仿宋_GB2312" w:hAnsi="仿宋_GB2312" w:eastAsia="仿宋_GB2312" w:cs="仿宋_GB2312"/>
          <w:b w:val="0"/>
          <w:bCs w:val="0"/>
          <w:color w:val="auto"/>
          <w:sz w:val="32"/>
          <w:szCs w:val="32"/>
          <w:lang w:val="en-US" w:eastAsia="zh-CN"/>
        </w:rPr>
        <w:t>活动</w:t>
      </w:r>
      <w:r>
        <w:rPr>
          <w:rFonts w:hint="eastAsia" w:ascii="仿宋_GB2312" w:hAnsi="仿宋_GB2312" w:eastAsia="仿宋_GB2312" w:cs="仿宋_GB2312"/>
          <w:b w:val="0"/>
          <w:color w:val="auto"/>
          <w:kern w:val="2"/>
          <w:sz w:val="32"/>
          <w:szCs w:val="32"/>
          <w:lang w:val="en-US" w:eastAsia="zh-CN" w:bidi="ar-SA"/>
        </w:rPr>
        <w:t>800余场。</w:t>
      </w:r>
    </w:p>
    <w:p w14:paraId="7FC75FEF">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600" w:lineRule="exact"/>
        <w:ind w:firstLine="643" w:firstLineChars="200"/>
        <w:textAlignment w:val="auto"/>
        <w:rPr>
          <w:rFonts w:hint="default" w:ascii="Calibri" w:hAnsi="Calibri" w:eastAsia="宋体" w:cs="Times New Roman"/>
          <w:lang w:eastAsia="zh-CN"/>
        </w:rPr>
      </w:pPr>
      <w:r>
        <w:rPr>
          <w:rFonts w:hint="eastAsia" w:ascii="Times New Roman" w:hAnsi="Times New Roman" w:eastAsia="楷体_GB2312" w:cs="Times New Roman"/>
          <w:b/>
          <w:bCs/>
          <w:color w:val="auto"/>
          <w:sz w:val="32"/>
          <w:szCs w:val="32"/>
          <w:lang w:val="en-US" w:eastAsia="zh-CN"/>
        </w:rPr>
        <w:t>2.</w:t>
      </w:r>
      <w:r>
        <w:rPr>
          <w:rFonts w:hint="eastAsia" w:ascii="Times New Roman" w:hAnsi="Times New Roman" w:eastAsia="楷体_GB2312" w:cs="Times New Roman"/>
          <w:b/>
          <w:bCs/>
          <w:color w:val="auto"/>
          <w:sz w:val="32"/>
          <w:szCs w:val="32"/>
          <w:lang w:eastAsia="zh-CN"/>
        </w:rPr>
        <w:t>聚焦中心大局</w:t>
      </w:r>
      <w:r>
        <w:rPr>
          <w:rFonts w:hint="default" w:ascii="Times New Roman" w:hAnsi="Times New Roman" w:eastAsia="楷体_GB2312" w:cs="Times New Roman"/>
          <w:b/>
          <w:bCs/>
          <w:color w:val="auto"/>
          <w:sz w:val="32"/>
          <w:szCs w:val="32"/>
          <w:lang w:eastAsia="zh-CN"/>
        </w:rPr>
        <w:t>，离退休干部作用发挥焕发新活力</w:t>
      </w:r>
      <w:r>
        <w:rPr>
          <w:rFonts w:hint="eastAsia" w:ascii="Times New Roman" w:hAnsi="Times New Roman" w:eastAsia="楷体_GB2312" w:cs="Times New Roman"/>
          <w:b/>
          <w:bCs/>
          <w:color w:val="auto"/>
          <w:sz w:val="32"/>
          <w:szCs w:val="32"/>
          <w:lang w:eastAsia="zh-CN"/>
        </w:rPr>
        <w:t>。</w:t>
      </w:r>
      <w:r>
        <w:rPr>
          <w:rFonts w:hint="default" w:ascii="Times New Roman" w:hAnsi="Times New Roman" w:eastAsia="仿宋_GB2312" w:cs="Times New Roman"/>
          <w:b/>
          <w:bCs/>
          <w:color w:val="auto"/>
          <w:sz w:val="32"/>
          <w:szCs w:val="32"/>
          <w:lang w:eastAsia="zh-CN"/>
        </w:rPr>
        <w:t>一是</w:t>
      </w:r>
      <w:r>
        <w:rPr>
          <w:rFonts w:hint="eastAsia" w:ascii="Times New Roman" w:hAnsi="Times New Roman" w:eastAsia="仿宋_GB2312" w:cs="Times New Roman"/>
          <w:b/>
          <w:bCs/>
          <w:color w:val="auto"/>
          <w:sz w:val="32"/>
          <w:szCs w:val="32"/>
          <w:lang w:eastAsia="zh-CN"/>
        </w:rPr>
        <w:t>搭建丰富平台载体</w:t>
      </w:r>
      <w:r>
        <w:rPr>
          <w:rFonts w:hint="default" w:ascii="Times New Roman" w:hAnsi="Times New Roman" w:eastAsia="仿宋_GB2312" w:cs="Times New Roman"/>
          <w:b/>
          <w:bCs/>
          <w:color w:val="auto"/>
          <w:sz w:val="32"/>
          <w:szCs w:val="32"/>
          <w:lang w:eastAsia="zh-CN"/>
        </w:rPr>
        <w:t>。</w:t>
      </w:r>
      <w:r>
        <w:rPr>
          <w:rFonts w:hint="eastAsia" w:ascii="Times New Roman" w:hAnsi="Times New Roman" w:eastAsia="仿宋_GB2312" w:cs="Times New Roman"/>
          <w:color w:val="auto"/>
          <w:sz w:val="32"/>
          <w:szCs w:val="32"/>
          <w:lang w:eastAsia="zh-CN"/>
        </w:rPr>
        <w:t>围绕新中国成立</w:t>
      </w:r>
      <w:r>
        <w:rPr>
          <w:rFonts w:hint="eastAsia" w:ascii="Times New Roman" w:hAnsi="Times New Roman" w:eastAsia="仿宋_GB2312" w:cs="Times New Roman"/>
          <w:color w:val="auto"/>
          <w:sz w:val="32"/>
          <w:szCs w:val="32"/>
          <w:lang w:val="en-US" w:eastAsia="zh-CN"/>
        </w:rPr>
        <w:t>75周年，</w:t>
      </w:r>
      <w:r>
        <w:rPr>
          <w:rFonts w:hint="eastAsia" w:ascii="仿宋_GB2312" w:hAnsi="仿宋_GB2312" w:eastAsia="仿宋_GB2312" w:cs="仿宋_GB2312"/>
          <w:b w:val="0"/>
          <w:color w:val="auto"/>
          <w:kern w:val="2"/>
          <w:sz w:val="32"/>
          <w:szCs w:val="32"/>
          <w:lang w:val="en-US" w:eastAsia="zh-CN" w:bidi="ar-SA"/>
        </w:rPr>
        <w:t>深入开展</w:t>
      </w:r>
      <w:r>
        <w:rPr>
          <w:rFonts w:hint="default" w:ascii="仿宋_GB2312" w:hAnsi="仿宋_GB2312" w:eastAsia="仿宋_GB2312" w:cs="仿宋_GB2312"/>
          <w:b w:val="0"/>
          <w:color w:val="auto"/>
          <w:kern w:val="2"/>
          <w:sz w:val="32"/>
          <w:szCs w:val="32"/>
          <w:lang w:val="en-US" w:eastAsia="zh-CN" w:bidi="ar-SA"/>
        </w:rPr>
        <w:t>“赞辉煌成就·聚银发力量”专题调研，</w:t>
      </w:r>
      <w:r>
        <w:rPr>
          <w:rFonts w:hint="eastAsia" w:ascii="Times New Roman" w:hAnsi="Times New Roman" w:eastAsia="仿宋_GB2312" w:cs="Times New Roman"/>
          <w:b w:val="0"/>
          <w:bCs w:val="0"/>
          <w:color w:val="auto"/>
          <w:sz w:val="32"/>
          <w:szCs w:val="32"/>
          <w:lang w:val="en-US" w:eastAsia="zh-CN"/>
        </w:rPr>
        <w:t>全市共走访老同志3553人，组织8284名老同志座谈418场次，收集心声感言2307条。</w:t>
      </w:r>
      <w:r>
        <w:rPr>
          <w:rFonts w:hint="eastAsia" w:ascii="Times New Roman" w:hAnsi="Times New Roman" w:eastAsia="仿宋_GB2312" w:cs="Times New Roman"/>
          <w:color w:val="auto"/>
          <w:sz w:val="32"/>
          <w:szCs w:val="32"/>
          <w:lang w:val="en-US" w:eastAsia="zh-CN"/>
        </w:rPr>
        <w:t>开展“我为美丽省会赋能助力”系列活动，共拍摄播出《冀忆·永恒》离退休干部口述历史纪录片10集，择优向省局报送7集。开展“</w:t>
      </w:r>
      <w:r>
        <w:rPr>
          <w:rFonts w:hint="default" w:ascii="Times New Roman" w:hAnsi="Times New Roman" w:eastAsia="仿宋_GB2312" w:cs="Times New Roman"/>
          <w:color w:val="auto"/>
          <w:sz w:val="32"/>
          <w:szCs w:val="32"/>
          <w:lang w:eastAsia="zh-CN"/>
        </w:rPr>
        <w:t>话传统 聚力量 促发展</w:t>
      </w:r>
      <w:r>
        <w:rPr>
          <w:rFonts w:hint="eastAsia" w:ascii="Times New Roman" w:hAnsi="Times New Roman" w:eastAsia="仿宋_GB2312" w:cs="Times New Roman"/>
          <w:color w:val="auto"/>
          <w:sz w:val="32"/>
          <w:szCs w:val="32"/>
          <w:lang w:val="en-US" w:eastAsia="zh-CN"/>
        </w:rPr>
        <w:t>”离休干部访谈21期，举办第二届</w:t>
      </w:r>
      <w:r>
        <w:rPr>
          <w:rFonts w:hint="default" w:ascii="Times New Roman" w:hAnsi="Times New Roman" w:eastAsia="仿宋_GB2312" w:cs="Times New Roman"/>
          <w:color w:val="auto"/>
          <w:sz w:val="32"/>
          <w:szCs w:val="32"/>
          <w:lang w:eastAsia="zh-CN"/>
        </w:rPr>
        <w:t>“城市是我家·我要爱我家”离退休干部摄影展</w:t>
      </w:r>
      <w:r>
        <w:rPr>
          <w:rFonts w:hint="eastAsia" w:ascii="Times New Roman" w:hAnsi="Times New Roman" w:eastAsia="仿宋_GB2312" w:cs="Times New Roman"/>
          <w:color w:val="auto"/>
          <w:sz w:val="32"/>
          <w:szCs w:val="32"/>
          <w:lang w:eastAsia="zh-CN"/>
        </w:rPr>
        <w:t>，并辑印摄影册《向新而行》。</w:t>
      </w:r>
      <w:r>
        <w:rPr>
          <w:rFonts w:hint="eastAsia" w:ascii="Times New Roman" w:hAnsi="Times New Roman" w:eastAsia="仿宋_GB2312" w:cs="Times New Roman"/>
          <w:b/>
          <w:bCs/>
          <w:color w:val="auto"/>
          <w:sz w:val="32"/>
          <w:szCs w:val="32"/>
          <w:lang w:eastAsia="zh-CN"/>
        </w:rPr>
        <w:t>二是选树宣传典型成效显著。</w:t>
      </w:r>
      <w:r>
        <w:rPr>
          <w:rFonts w:hint="eastAsia" w:ascii="Times New Roman" w:hAnsi="Times New Roman" w:eastAsia="仿宋_GB2312" w:cs="Times New Roman"/>
          <w:b w:val="0"/>
          <w:bCs w:val="0"/>
          <w:color w:val="auto"/>
          <w:sz w:val="32"/>
          <w:szCs w:val="32"/>
          <w:lang w:val="en-US" w:eastAsia="zh-CN"/>
        </w:rPr>
        <w:t>坚持建优用好银发人才库，遴选银发人才1515人，其中，省级18人、市级132人。实施银发人才“献智、连心桥、返乡助农、文化传承、关爱青少年、赋能、助力添彩”七项行动，引导银发人才为推动经济社会发展献智出力。印发《党建引领 银耀省城》，大力宣传离退休干部示范党支部经验做法和银发风采典型事迹。打造“3+1+N”全媒体矩阵，依托“石家庄老干部”“石家庄市老年大学”公众号、“燕赵红枫”系统、“石家庄市老年大学”抖音号3个线上平台，《燕赵老年报》1个线下平台，多媒体多形式宣传我市老干部工作和先进离退休干部典型，激励更多离退休干部发挥正能量。</w:t>
      </w:r>
      <w:r>
        <w:rPr>
          <w:rFonts w:hint="eastAsia" w:ascii="Times New Roman" w:hAnsi="Times New Roman" w:eastAsia="仿宋_GB2312" w:cs="Times New Roman"/>
          <w:b/>
          <w:bCs/>
          <w:color w:val="auto"/>
          <w:sz w:val="32"/>
          <w:szCs w:val="32"/>
          <w:lang w:val="en-US" w:eastAsia="zh-CN"/>
        </w:rPr>
        <w:t>三是关心下一代工作亮点突出。</w:t>
      </w:r>
      <w:r>
        <w:rPr>
          <w:rFonts w:hint="default" w:ascii="Times New Roman" w:hAnsi="Times New Roman" w:eastAsia="仿宋_GB2312" w:cs="Times New Roman"/>
          <w:b w:val="0"/>
          <w:bCs w:val="0"/>
          <w:color w:val="auto"/>
          <w:sz w:val="32"/>
          <w:szCs w:val="32"/>
          <w:lang w:val="en-US" w:eastAsia="zh-CN"/>
        </w:rPr>
        <w:t>联合市委组织部在全省率先出台《关于进一步加强新时代关工委组织建设的意见》，</w:t>
      </w:r>
      <w:r>
        <w:rPr>
          <w:rFonts w:hint="eastAsia" w:ascii="仿宋_GB2312" w:hAnsi="仿宋_GB2312" w:eastAsia="仿宋_GB2312" w:cs="仿宋_GB2312"/>
          <w:b w:val="0"/>
          <w:bCs w:val="0"/>
          <w:color w:val="auto"/>
          <w:sz w:val="32"/>
          <w:szCs w:val="32"/>
          <w:highlight w:val="none"/>
          <w:lang w:val="en-US" w:eastAsia="zh-CN"/>
        </w:rPr>
        <w:t>在离退休干部党组织、企业新建关工委组织</w:t>
      </w:r>
      <w:r>
        <w:rPr>
          <w:rFonts w:hint="eastAsia" w:ascii="Times New Roman" w:hAnsi="Times New Roman" w:eastAsia="仿宋_GB2312" w:cs="Times New Roman"/>
          <w:b w:val="0"/>
          <w:bCs w:val="0"/>
          <w:color w:val="auto"/>
          <w:kern w:val="2"/>
          <w:sz w:val="32"/>
          <w:szCs w:val="32"/>
          <w:highlight w:val="none"/>
          <w:lang w:val="en-US" w:eastAsia="zh-CN" w:bidi="ar-SA"/>
        </w:rPr>
        <w:t>239</w:t>
      </w:r>
      <w:r>
        <w:rPr>
          <w:rFonts w:hint="eastAsia" w:ascii="仿宋_GB2312" w:hAnsi="仿宋_GB2312" w:eastAsia="仿宋_GB2312" w:cs="仿宋_GB2312"/>
          <w:b w:val="0"/>
          <w:bCs w:val="0"/>
          <w:color w:val="auto"/>
          <w:sz w:val="32"/>
          <w:szCs w:val="32"/>
          <w:highlight w:val="none"/>
          <w:lang w:val="en-US" w:eastAsia="zh-CN"/>
        </w:rPr>
        <w:t>个，有力拓展了关工委组织覆盖面。</w:t>
      </w:r>
      <w:r>
        <w:rPr>
          <w:rFonts w:hint="eastAsia" w:ascii="仿宋_GB2312" w:hAnsi="仿宋_GB2312" w:eastAsia="仿宋_GB2312" w:cs="仿宋_GB2312"/>
          <w:b w:val="0"/>
          <w:bCs w:val="0"/>
          <w:sz w:val="32"/>
          <w:szCs w:val="32"/>
          <w:highlight w:val="none"/>
          <w:lang w:val="en-US" w:eastAsia="zh-CN"/>
        </w:rPr>
        <w:t>正定县</w:t>
      </w:r>
      <w:r>
        <w:rPr>
          <w:rFonts w:hint="eastAsia" w:ascii="Times New Roman" w:hAnsi="Times New Roman" w:eastAsia="仿宋_GB2312" w:cs="Times New Roman"/>
          <w:b w:val="0"/>
          <w:bCs w:val="0"/>
          <w:kern w:val="2"/>
          <w:sz w:val="32"/>
          <w:szCs w:val="32"/>
          <w:highlight w:val="none"/>
          <w:lang w:val="en-US" w:eastAsia="zh-CN" w:bidi="ar-SA"/>
        </w:rPr>
        <w:t>19</w:t>
      </w:r>
      <w:r>
        <w:rPr>
          <w:rFonts w:hint="eastAsia" w:ascii="仿宋_GB2312" w:hAnsi="仿宋_GB2312" w:eastAsia="仿宋_GB2312" w:cs="仿宋_GB2312"/>
          <w:b w:val="0"/>
          <w:bCs w:val="0"/>
          <w:sz w:val="32"/>
          <w:szCs w:val="32"/>
          <w:highlight w:val="none"/>
          <w:lang w:val="en-US" w:eastAsia="zh-CN"/>
        </w:rPr>
        <w:t>个联席会议成员单位、</w:t>
      </w:r>
      <w:r>
        <w:rPr>
          <w:rFonts w:hint="eastAsia" w:ascii="Times New Roman" w:hAnsi="Times New Roman" w:eastAsia="仿宋_GB2312" w:cs="Times New Roman"/>
          <w:b w:val="0"/>
          <w:bCs w:val="0"/>
          <w:kern w:val="2"/>
          <w:sz w:val="32"/>
          <w:szCs w:val="32"/>
          <w:highlight w:val="none"/>
          <w:lang w:val="en-US" w:eastAsia="zh-CN" w:bidi="ar-SA"/>
        </w:rPr>
        <w:t>10个</w:t>
      </w:r>
      <w:r>
        <w:rPr>
          <w:rFonts w:hint="eastAsia" w:ascii="仿宋_GB2312" w:hAnsi="仿宋_GB2312" w:eastAsia="仿宋_GB2312" w:cs="仿宋_GB2312"/>
          <w:b w:val="0"/>
          <w:bCs w:val="0"/>
          <w:sz w:val="32"/>
          <w:szCs w:val="32"/>
          <w:highlight w:val="none"/>
          <w:lang w:val="en-US" w:eastAsia="zh-CN"/>
        </w:rPr>
        <w:t>乡镇（街道）、</w:t>
      </w:r>
      <w:r>
        <w:rPr>
          <w:rFonts w:hint="eastAsia" w:ascii="Times New Roman" w:hAnsi="Times New Roman" w:eastAsia="仿宋_GB2312" w:cs="Times New Roman"/>
          <w:b w:val="0"/>
          <w:bCs w:val="0"/>
          <w:kern w:val="2"/>
          <w:sz w:val="32"/>
          <w:szCs w:val="32"/>
          <w:highlight w:val="none"/>
          <w:lang w:val="en-US" w:eastAsia="zh-CN" w:bidi="ar-SA"/>
        </w:rPr>
        <w:t>198个</w:t>
      </w:r>
      <w:r>
        <w:rPr>
          <w:rFonts w:hint="eastAsia" w:ascii="仿宋_GB2312" w:hAnsi="仿宋_GB2312" w:eastAsia="仿宋_GB2312" w:cs="仿宋_GB2312"/>
          <w:b w:val="0"/>
          <w:bCs w:val="0"/>
          <w:sz w:val="32"/>
          <w:szCs w:val="32"/>
          <w:highlight w:val="none"/>
          <w:lang w:val="en-US" w:eastAsia="zh-CN"/>
        </w:rPr>
        <w:t>农村（社区）均建立关工委组织，构建了县乡村三级组织网络</w:t>
      </w:r>
      <w:r>
        <w:rPr>
          <w:rFonts w:hint="default" w:ascii="Times New Roman" w:hAnsi="Times New Roman" w:eastAsia="仿宋_GB2312" w:cs="Times New Roman"/>
          <w:b w:val="0"/>
          <w:bCs w:val="0"/>
          <w:color w:val="auto"/>
          <w:sz w:val="32"/>
          <w:szCs w:val="32"/>
          <w:lang w:val="en-US" w:eastAsia="zh-CN"/>
        </w:rPr>
        <w:t>。</w:t>
      </w:r>
      <w:r>
        <w:rPr>
          <w:rFonts w:hint="eastAsia" w:ascii="仿宋_GB2312" w:hAnsi="Times New Roman" w:eastAsia="仿宋_GB2312" w:cs="仿宋_GB2312"/>
          <w:color w:val="auto"/>
          <w:sz w:val="32"/>
          <w:szCs w:val="32"/>
          <w:lang w:eastAsia="zh-CN"/>
        </w:rPr>
        <w:t>举办全市关工委学习贯彻党的二十届三中全会精神培训班，</w:t>
      </w:r>
      <w:r>
        <w:rPr>
          <w:rFonts w:hint="eastAsia" w:ascii="仿宋_GB2312" w:hAnsi="仿宋_GB2312" w:eastAsia="仿宋_GB2312" w:cs="仿宋_GB2312"/>
          <w:b w:val="0"/>
          <w:bCs w:val="0"/>
          <w:sz w:val="32"/>
          <w:szCs w:val="32"/>
          <w:highlight w:val="none"/>
          <w:lang w:val="en-US" w:eastAsia="zh-CN"/>
        </w:rPr>
        <w:t>持续深化“村史志+关心下一代”品牌</w:t>
      </w:r>
      <w:r>
        <w:rPr>
          <w:rFonts w:hint="eastAsia" w:ascii="仿宋_GB2312" w:hAnsi="仿宋_GB2312" w:eastAsia="仿宋_GB2312" w:cs="仿宋_GB2312"/>
          <w:b w:val="0"/>
          <w:bCs w:val="0"/>
          <w:color w:val="auto"/>
          <w:sz w:val="32"/>
          <w:szCs w:val="32"/>
          <w:highlight w:val="none"/>
          <w:lang w:val="en-US" w:eastAsia="zh-CN"/>
        </w:rPr>
        <w:t>建设，召开省、市关工委编纂村史志工作现场观摩座谈会。</w:t>
      </w:r>
      <w:r>
        <w:rPr>
          <w:rFonts w:hint="eastAsia" w:ascii="仿宋_GB2312" w:hAnsi="仿宋_GB2312" w:eastAsia="仿宋_GB2312" w:cs="仿宋_GB2312"/>
          <w:b w:val="0"/>
          <w:bCs w:val="0"/>
          <w:sz w:val="32"/>
          <w:szCs w:val="32"/>
          <w:highlight w:val="none"/>
          <w:lang w:val="en-US" w:eastAsia="zh-CN"/>
        </w:rPr>
        <w:t>打造“学校家庭+关心下一代”工作品牌，新乐市、高邑县获批全国首批“家庭教育指导服务实践区”</w:t>
      </w:r>
      <w:r>
        <w:rPr>
          <w:rFonts w:hint="eastAsia" w:ascii="仿宋_GB2312" w:hAnsi="仿宋_GB2312" w:eastAsia="仿宋_GB2312" w:cs="仿宋_GB2312"/>
          <w:b w:val="0"/>
          <w:bCs w:val="0"/>
          <w:color w:val="auto"/>
          <w:sz w:val="32"/>
          <w:szCs w:val="32"/>
          <w:highlight w:val="none"/>
          <w:lang w:val="en-US" w:eastAsia="zh-CN"/>
        </w:rPr>
        <w:t>。开展“青少年党史学习月”活动</w:t>
      </w:r>
      <w:r>
        <w:rPr>
          <w:rFonts w:hint="eastAsia" w:ascii="Times New Roman" w:hAnsi="Times New Roman" w:eastAsia="仿宋_GB2312" w:cs="Times New Roman"/>
          <w:b w:val="0"/>
          <w:bCs w:val="0"/>
          <w:color w:val="auto"/>
          <w:kern w:val="2"/>
          <w:sz w:val="32"/>
          <w:szCs w:val="32"/>
          <w:highlight w:val="none"/>
          <w:lang w:val="en-US" w:eastAsia="zh-CN" w:bidi="ar-SA"/>
        </w:rPr>
        <w:t>1000</w:t>
      </w:r>
      <w:r>
        <w:rPr>
          <w:rFonts w:hint="eastAsia" w:ascii="仿宋_GB2312" w:hAnsi="仿宋_GB2312" w:eastAsia="仿宋_GB2312" w:cs="仿宋_GB2312"/>
          <w:b w:val="0"/>
          <w:bCs w:val="0"/>
          <w:color w:val="auto"/>
          <w:sz w:val="32"/>
          <w:szCs w:val="32"/>
          <w:highlight w:val="none"/>
          <w:lang w:val="en-US" w:eastAsia="zh-CN"/>
        </w:rPr>
        <w:t>余场次，</w:t>
      </w:r>
      <w:r>
        <w:rPr>
          <w:rFonts w:hint="eastAsia" w:ascii="仿宋_GB2312" w:hAnsi="仿宋_GB2312" w:eastAsia="仿宋_GB2312" w:cs="仿宋_GB2312"/>
          <w:b w:val="0"/>
          <w:bCs w:val="0"/>
          <w:sz w:val="32"/>
          <w:szCs w:val="32"/>
          <w:highlight w:val="none"/>
          <w:lang w:val="en-US" w:eastAsia="zh-CN"/>
        </w:rPr>
        <w:t>创办“省会关心下一代大讲堂”，发动“五老”宣讲</w:t>
      </w:r>
      <w:r>
        <w:rPr>
          <w:rFonts w:hint="eastAsia" w:ascii="Times New Roman" w:hAnsi="Times New Roman" w:eastAsia="仿宋_GB2312" w:cs="Times New Roman"/>
          <w:b w:val="0"/>
          <w:bCs w:val="0"/>
          <w:kern w:val="2"/>
          <w:sz w:val="32"/>
          <w:szCs w:val="32"/>
          <w:highlight w:val="none"/>
          <w:lang w:val="en-US" w:eastAsia="zh-CN" w:bidi="ar-SA"/>
        </w:rPr>
        <w:t>150</w:t>
      </w:r>
      <w:r>
        <w:rPr>
          <w:rFonts w:hint="eastAsia" w:ascii="仿宋_GB2312" w:hAnsi="仿宋_GB2312" w:eastAsia="仿宋_GB2312" w:cs="仿宋_GB2312"/>
          <w:b w:val="0"/>
          <w:bCs w:val="0"/>
          <w:sz w:val="32"/>
          <w:szCs w:val="32"/>
          <w:highlight w:val="none"/>
          <w:lang w:val="en-US" w:eastAsia="zh-CN"/>
        </w:rPr>
        <w:t>余场，</w:t>
      </w:r>
      <w:r>
        <w:rPr>
          <w:rFonts w:hint="eastAsia" w:ascii="仿宋_GB2312" w:hAnsi="仿宋_GB2312" w:eastAsia="仿宋_GB2312" w:cs="仿宋_GB2312"/>
          <w:b w:val="0"/>
          <w:bCs w:val="0"/>
          <w:color w:val="auto"/>
          <w:sz w:val="32"/>
          <w:szCs w:val="32"/>
          <w:highlight w:val="none"/>
          <w:lang w:val="en-US" w:eastAsia="zh-CN"/>
        </w:rPr>
        <w:t>受教育青少年达</w:t>
      </w:r>
      <w:r>
        <w:rPr>
          <w:rFonts w:hint="eastAsia" w:ascii="Times New Roman" w:hAnsi="Times New Roman" w:eastAsia="仿宋_GB2312" w:cs="Times New Roman"/>
          <w:b w:val="0"/>
          <w:bCs w:val="0"/>
          <w:color w:val="auto"/>
          <w:kern w:val="2"/>
          <w:sz w:val="32"/>
          <w:szCs w:val="32"/>
          <w:highlight w:val="none"/>
          <w:lang w:val="en-US" w:eastAsia="zh-CN" w:bidi="ar-SA"/>
        </w:rPr>
        <w:t>33.5</w:t>
      </w:r>
      <w:r>
        <w:rPr>
          <w:rFonts w:hint="eastAsia" w:ascii="仿宋_GB2312" w:hAnsi="仿宋_GB2312" w:eastAsia="仿宋_GB2312" w:cs="仿宋_GB2312"/>
          <w:b w:val="0"/>
          <w:bCs w:val="0"/>
          <w:color w:val="auto"/>
          <w:sz w:val="32"/>
          <w:szCs w:val="32"/>
          <w:highlight w:val="none"/>
          <w:lang w:val="en-US" w:eastAsia="zh-CN"/>
        </w:rPr>
        <w:t>万人次。</w:t>
      </w:r>
    </w:p>
    <w:p w14:paraId="16F76F7E">
      <w:pPr>
        <w:pStyle w:val="1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3" w:firstLineChars="200"/>
        <w:jc w:val="both"/>
        <w:textAlignment w:val="auto"/>
        <w:rPr>
          <w:rFonts w:hint="default" w:ascii="Times New Roman" w:hAnsi="Times New Roman" w:eastAsia="仿宋_GB2312" w:cs="Times New Roman"/>
          <w:color w:val="auto"/>
          <w:sz w:val="32"/>
          <w:szCs w:val="32"/>
          <w:lang w:eastAsia="zh-CN"/>
        </w:rPr>
      </w:pPr>
      <w:r>
        <w:rPr>
          <w:rFonts w:hint="eastAsia" w:ascii="Times New Roman" w:hAnsi="Times New Roman" w:eastAsia="楷体_GB2312" w:cs="Times New Roman"/>
          <w:b/>
          <w:bCs/>
          <w:color w:val="auto"/>
          <w:sz w:val="32"/>
          <w:szCs w:val="32"/>
          <w:lang w:val="en-US" w:eastAsia="zh-CN"/>
        </w:rPr>
        <w:t>3.</w:t>
      </w:r>
      <w:r>
        <w:rPr>
          <w:rFonts w:hint="eastAsia" w:ascii="Times New Roman" w:hAnsi="Times New Roman" w:eastAsia="楷体_GB2312" w:cs="Times New Roman"/>
          <w:b/>
          <w:bCs/>
          <w:color w:val="auto"/>
          <w:sz w:val="32"/>
          <w:szCs w:val="32"/>
          <w:lang w:eastAsia="zh-CN"/>
        </w:rPr>
        <w:t>坚持用心用情</w:t>
      </w:r>
      <w:r>
        <w:rPr>
          <w:rFonts w:hint="default" w:ascii="Times New Roman" w:hAnsi="Times New Roman" w:eastAsia="楷体_GB2312" w:cs="Times New Roman"/>
          <w:b/>
          <w:bCs/>
          <w:color w:val="auto"/>
          <w:sz w:val="32"/>
          <w:szCs w:val="32"/>
          <w:lang w:eastAsia="zh-CN"/>
        </w:rPr>
        <w:t>，离退休干部服务水平实现新提升</w:t>
      </w:r>
      <w:r>
        <w:rPr>
          <w:rFonts w:hint="eastAsia" w:ascii="Times New Roman" w:hAnsi="Times New Roman" w:eastAsia="楷体_GB2312" w:cs="Times New Roman"/>
          <w:b/>
          <w:bCs/>
          <w:color w:val="auto"/>
          <w:sz w:val="32"/>
          <w:szCs w:val="32"/>
          <w:lang w:eastAsia="zh-CN"/>
        </w:rPr>
        <w:t>。</w:t>
      </w:r>
      <w:r>
        <w:rPr>
          <w:rFonts w:hint="default" w:ascii="Times New Roman" w:hAnsi="Times New Roman" w:eastAsia="仿宋_GB2312" w:cs="Times New Roman"/>
          <w:b/>
          <w:bCs/>
          <w:color w:val="auto"/>
          <w:sz w:val="32"/>
          <w:szCs w:val="32"/>
          <w:lang w:eastAsia="zh-CN"/>
        </w:rPr>
        <w:t>一是抓好“四项制度”落实。</w:t>
      </w:r>
      <w:r>
        <w:rPr>
          <w:rFonts w:hint="default" w:ascii="Times New Roman" w:hAnsi="Times New Roman" w:eastAsia="仿宋_GB2312" w:cs="Times New Roman"/>
          <w:b w:val="0"/>
          <w:bCs w:val="0"/>
          <w:color w:val="auto"/>
          <w:sz w:val="32"/>
          <w:szCs w:val="32"/>
          <w:lang w:val="en-US" w:eastAsia="zh-CN"/>
        </w:rPr>
        <w:t>组织23个县（市、区）和5个市直单位召开4场</w:t>
      </w:r>
      <w:r>
        <w:rPr>
          <w:rFonts w:hint="eastAsia" w:ascii="Times New Roman" w:hAnsi="Times New Roman" w:eastAsia="仿宋_GB2312" w:cs="Times New Roman"/>
          <w:b w:val="0"/>
          <w:bCs w:val="0"/>
          <w:color w:val="auto"/>
          <w:sz w:val="32"/>
          <w:szCs w:val="32"/>
          <w:lang w:val="en-US" w:eastAsia="zh-CN"/>
        </w:rPr>
        <w:t>片区工作推进会，</w:t>
      </w:r>
      <w:r>
        <w:rPr>
          <w:rFonts w:hint="default" w:ascii="Times New Roman" w:hAnsi="Times New Roman" w:eastAsia="仿宋_GB2312" w:cs="Times New Roman"/>
          <w:color w:val="auto"/>
          <w:sz w:val="32"/>
          <w:szCs w:val="32"/>
          <w:lang w:eastAsia="zh-CN"/>
        </w:rPr>
        <w:t>开展“四项制度”落实自查</w:t>
      </w:r>
      <w:r>
        <w:rPr>
          <w:rFonts w:hint="eastAsia" w:ascii="Times New Roman" w:hAnsi="Times New Roman" w:eastAsia="仿宋_GB2312" w:cs="Times New Roman"/>
          <w:color w:val="auto"/>
          <w:sz w:val="32"/>
          <w:szCs w:val="32"/>
          <w:lang w:eastAsia="zh-CN"/>
        </w:rPr>
        <w:t>自纠、政策解读等。</w:t>
      </w:r>
      <w:r>
        <w:rPr>
          <w:rFonts w:hint="eastAsia" w:ascii="仿宋_GB2312" w:hAnsi="仿宋_GB2312" w:eastAsia="仿宋_GB2312" w:cs="仿宋_GB2312"/>
          <w:sz w:val="32"/>
          <w:szCs w:val="32"/>
          <w:lang w:val="en-US" w:eastAsia="zh-CN"/>
        </w:rPr>
        <w:t>坚持会议通报和书面通报相结合，组织市级老干部参加</w:t>
      </w:r>
      <w:r>
        <w:rPr>
          <w:rFonts w:hint="eastAsia" w:ascii="仿宋_GB2312" w:hAnsi="仿宋_GB2312" w:eastAsia="仿宋_GB2312" w:cs="仿宋_GB2312"/>
          <w:color w:val="auto"/>
          <w:sz w:val="32"/>
          <w:szCs w:val="32"/>
          <w:lang w:val="en-US" w:eastAsia="zh-CN"/>
        </w:rPr>
        <w:t>全市各界人士经济社会发展情况通报会</w:t>
      </w:r>
      <w:r>
        <w:rPr>
          <w:rFonts w:hint="eastAsia" w:ascii="仿宋_GB2312" w:hAnsi="仿宋_GB2312" w:eastAsia="仿宋_GB2312" w:cs="仿宋_GB2312"/>
          <w:sz w:val="32"/>
          <w:szCs w:val="32"/>
          <w:lang w:val="en-US" w:eastAsia="zh-CN"/>
        </w:rPr>
        <w:t>，每季度向</w:t>
      </w:r>
      <w:r>
        <w:rPr>
          <w:rFonts w:hint="default" w:ascii="仿宋_GB2312" w:hAnsi="仿宋_GB2312" w:eastAsia="仿宋_GB2312" w:cs="仿宋_GB2312"/>
          <w:sz w:val="32"/>
          <w:szCs w:val="32"/>
          <w:lang w:val="en-US" w:eastAsia="zh-CN"/>
        </w:rPr>
        <w:t>市级老</w:t>
      </w:r>
      <w:r>
        <w:rPr>
          <w:rFonts w:hint="eastAsia" w:ascii="仿宋_GB2312" w:hAnsi="仿宋_GB2312" w:eastAsia="仿宋_GB2312" w:cs="仿宋_GB2312"/>
          <w:sz w:val="32"/>
          <w:szCs w:val="32"/>
          <w:lang w:val="en-US" w:eastAsia="zh-CN"/>
        </w:rPr>
        <w:t>干部印发书面通报，并延伸至</w:t>
      </w:r>
      <w:r>
        <w:rPr>
          <w:rFonts w:hint="default" w:ascii="仿宋_GB2312" w:hAnsi="仿宋_GB2312" w:eastAsia="仿宋_GB2312" w:cs="仿宋_GB2312"/>
          <w:sz w:val="32"/>
          <w:szCs w:val="32"/>
          <w:lang w:val="en-US" w:eastAsia="zh-CN"/>
        </w:rPr>
        <w:t>各县处级</w:t>
      </w:r>
      <w:r>
        <w:rPr>
          <w:rFonts w:hint="eastAsia" w:ascii="仿宋_GB2312" w:hAnsi="仿宋_GB2312" w:eastAsia="仿宋_GB2312" w:cs="仿宋_GB2312"/>
          <w:sz w:val="32"/>
          <w:szCs w:val="32"/>
          <w:lang w:val="en-US" w:eastAsia="zh-CN"/>
        </w:rPr>
        <w:t>老同志。井陉矿区</w:t>
      </w:r>
      <w:r>
        <w:rPr>
          <w:rFonts w:hint="eastAsia" w:ascii="仿宋_GB2312" w:hAnsi="仿宋_GB2312" w:eastAsia="仿宋_GB2312" w:cs="仿宋_GB2312"/>
          <w:color w:val="000000"/>
          <w:sz w:val="32"/>
          <w:szCs w:val="32"/>
        </w:rPr>
        <w:t>召</w:t>
      </w:r>
      <w:r>
        <w:rPr>
          <w:rFonts w:hint="eastAsia" w:ascii="仿宋_GB2312" w:hAnsi="仿宋_GB2312" w:eastAsia="仿宋_GB2312" w:cs="仿宋_GB2312"/>
          <w:color w:val="000000"/>
          <w:sz w:val="32"/>
          <w:szCs w:val="32"/>
          <w:lang w:eastAsia="zh-CN"/>
        </w:rPr>
        <w:t>开</w:t>
      </w:r>
      <w:r>
        <w:rPr>
          <w:rFonts w:hint="eastAsia" w:ascii="仿宋_GB2312" w:hAnsi="仿宋_GB2312" w:eastAsia="仿宋_GB2312" w:cs="仿宋_GB2312"/>
          <w:color w:val="000000"/>
          <w:sz w:val="32"/>
          <w:szCs w:val="32"/>
        </w:rPr>
        <w:t>区情通报会2次，经济、民生、交通</w:t>
      </w:r>
      <w:r>
        <w:rPr>
          <w:rFonts w:hint="eastAsia" w:ascii="仿宋_GB2312" w:hAnsi="仿宋_GB2312" w:eastAsia="仿宋_GB2312" w:cs="仿宋_GB2312"/>
          <w:color w:val="000000"/>
          <w:sz w:val="32"/>
          <w:szCs w:val="32"/>
          <w:lang w:val="en-US" w:eastAsia="zh-CN"/>
        </w:rPr>
        <w:t>及</w:t>
      </w:r>
      <w:r>
        <w:rPr>
          <w:rFonts w:hint="eastAsia" w:ascii="仿宋_GB2312" w:hAnsi="仿宋_GB2312" w:eastAsia="仿宋_GB2312" w:cs="仿宋_GB2312"/>
          <w:color w:val="000000"/>
          <w:sz w:val="32"/>
          <w:szCs w:val="32"/>
        </w:rPr>
        <w:t>重点项目</w:t>
      </w:r>
      <w:r>
        <w:rPr>
          <w:rFonts w:hint="eastAsia" w:ascii="仿宋_GB2312" w:hAnsi="仿宋_GB2312" w:eastAsia="仿宋_GB2312" w:cs="仿宋_GB2312"/>
          <w:color w:val="000000"/>
          <w:sz w:val="32"/>
          <w:szCs w:val="32"/>
          <w:lang w:val="en-US" w:eastAsia="zh-CN"/>
        </w:rPr>
        <w:t>进展</w:t>
      </w:r>
      <w:r>
        <w:rPr>
          <w:rFonts w:hint="eastAsia" w:ascii="仿宋_GB2312" w:hAnsi="仿宋_GB2312" w:eastAsia="仿宋_GB2312" w:cs="仿宋_GB2312"/>
          <w:color w:val="000000"/>
          <w:sz w:val="32"/>
          <w:szCs w:val="32"/>
        </w:rPr>
        <w:t>等情况通报</w:t>
      </w:r>
      <w:r>
        <w:rPr>
          <w:rFonts w:hint="eastAsia" w:ascii="仿宋_GB2312" w:hAnsi="仿宋_GB2312" w:eastAsia="仿宋_GB2312" w:cs="仿宋_GB2312"/>
          <w:color w:val="000000"/>
          <w:sz w:val="32"/>
          <w:szCs w:val="32"/>
          <w:lang w:val="en-US" w:eastAsia="zh-CN"/>
        </w:rPr>
        <w:t>20余</w:t>
      </w:r>
      <w:r>
        <w:rPr>
          <w:rFonts w:hint="eastAsia" w:ascii="仿宋_GB2312" w:hAnsi="仿宋_GB2312" w:eastAsia="仿宋_GB2312" w:cs="仿宋_GB2312"/>
          <w:color w:val="000000"/>
          <w:sz w:val="32"/>
          <w:szCs w:val="32"/>
        </w:rPr>
        <w:t>次</w:t>
      </w:r>
      <w:r>
        <w:rPr>
          <w:rFonts w:hint="eastAsia" w:ascii="仿宋_GB2312" w:hAnsi="仿宋_GB2312" w:eastAsia="仿宋_GB2312" w:cs="仿宋_GB2312"/>
          <w:color w:val="000000"/>
          <w:sz w:val="32"/>
          <w:szCs w:val="32"/>
          <w:lang w:eastAsia="zh-CN"/>
        </w:rPr>
        <w:t>。</w:t>
      </w:r>
      <w:r>
        <w:rPr>
          <w:rFonts w:hint="eastAsia" w:ascii="Times New Roman" w:hAnsi="Times New Roman" w:eastAsia="仿宋_GB2312" w:cs="Times New Roman"/>
          <w:color w:val="auto"/>
          <w:sz w:val="32"/>
          <w:szCs w:val="32"/>
          <w:lang w:eastAsia="zh-CN"/>
        </w:rPr>
        <w:t>督促各地各单位</w:t>
      </w:r>
      <w:r>
        <w:rPr>
          <w:rFonts w:hint="eastAsia" w:ascii="仿宋_GB2312" w:hAnsi="仿宋_GB2312" w:eastAsia="仿宋_GB2312" w:cs="仿宋_GB2312"/>
          <w:color w:val="auto"/>
          <w:sz w:val="32"/>
          <w:szCs w:val="32"/>
          <w:lang w:val="en-US" w:eastAsia="zh-CN"/>
        </w:rPr>
        <w:t>建立关心关爱离退休干部联络员制度，</w:t>
      </w:r>
      <w:r>
        <w:rPr>
          <w:rFonts w:hint="eastAsia" w:ascii="仿宋_GB2312" w:hAnsi="仿宋_GB2312" w:eastAsia="仿宋_GB2312" w:cs="仿宋_GB2312"/>
          <w:sz w:val="32"/>
          <w:szCs w:val="32"/>
          <w:lang w:val="en-US" w:eastAsia="zh-CN"/>
        </w:rPr>
        <w:t>全市</w:t>
      </w:r>
      <w:r>
        <w:rPr>
          <w:rFonts w:hint="eastAsia" w:ascii="Times New Roman" w:hAnsi="Times New Roman" w:eastAsia="仿宋_GB2312" w:cs="Times New Roman"/>
          <w:color w:val="auto"/>
          <w:sz w:val="32"/>
          <w:szCs w:val="32"/>
          <w:lang w:val="en-US" w:eastAsia="zh-CN"/>
        </w:rPr>
        <w:t>4413名在职干部</w:t>
      </w:r>
      <w:r>
        <w:rPr>
          <w:rFonts w:hint="default" w:ascii="Times New Roman" w:hAnsi="Times New Roman" w:eastAsia="仿宋_GB2312" w:cs="Times New Roman"/>
          <w:color w:val="auto"/>
          <w:sz w:val="32"/>
          <w:szCs w:val="32"/>
          <w:u w:val="none"/>
        </w:rPr>
        <w:t>联系离退休干部</w:t>
      </w:r>
      <w:r>
        <w:rPr>
          <w:rFonts w:hint="eastAsia" w:ascii="Times New Roman" w:hAnsi="Times New Roman" w:eastAsia="仿宋_GB2312" w:cs="Times New Roman"/>
          <w:color w:val="auto"/>
          <w:sz w:val="32"/>
          <w:szCs w:val="32"/>
          <w:u w:val="none"/>
          <w:lang w:val="en-US" w:eastAsia="zh-CN"/>
        </w:rPr>
        <w:t>62935</w:t>
      </w:r>
      <w:r>
        <w:rPr>
          <w:rFonts w:hint="default" w:ascii="Times New Roman" w:hAnsi="Times New Roman" w:eastAsia="仿宋_GB2312" w:cs="Times New Roman"/>
          <w:color w:val="auto"/>
          <w:sz w:val="32"/>
          <w:szCs w:val="32"/>
          <w:u w:val="none"/>
        </w:rPr>
        <w:t>人</w:t>
      </w:r>
      <w:r>
        <w:rPr>
          <w:rFonts w:hint="eastAsia" w:ascii="Times New Roman" w:hAnsi="Times New Roman" w:eastAsia="仿宋_GB2312" w:cs="Times New Roman"/>
          <w:color w:val="auto"/>
          <w:sz w:val="32"/>
          <w:szCs w:val="32"/>
          <w:u w:val="none"/>
          <w:lang w:eastAsia="zh-CN"/>
        </w:rPr>
        <w:t>。扎实落实干部荣誉退休制度，确保七个规定动作落实到位。</w:t>
      </w:r>
      <w:r>
        <w:rPr>
          <w:rFonts w:hint="eastAsia" w:ascii="Times New Roman" w:hAnsi="Times New Roman" w:eastAsia="仿宋_GB2312" w:cs="Times New Roman"/>
          <w:b w:val="0"/>
          <w:bCs w:val="0"/>
          <w:color w:val="auto"/>
          <w:sz w:val="32"/>
          <w:szCs w:val="32"/>
          <w:highlight w:val="none"/>
          <w:lang w:val="en-US" w:eastAsia="zh-CN"/>
        </w:rPr>
        <w:t>认真落实市委常委会有关要求</w:t>
      </w:r>
      <w:r>
        <w:rPr>
          <w:rFonts w:hint="eastAsia" w:ascii="仿宋_GB2312" w:hAnsi="仿宋_GB2312" w:eastAsia="仿宋_GB2312" w:cs="仿宋_GB2312"/>
          <w:color w:val="auto"/>
          <w:sz w:val="32"/>
          <w:szCs w:val="32"/>
          <w:highlight w:val="none"/>
          <w:lang w:val="en-US" w:eastAsia="zh-CN"/>
        </w:rPr>
        <w:t>，向市委报送《关于加强离退休干部教育管理监督工作的情况报告》，获肯定性批示。</w:t>
      </w:r>
      <w:r>
        <w:rPr>
          <w:rFonts w:hint="default" w:ascii="Times New Roman" w:hAnsi="Times New Roman" w:eastAsia="仿宋_GB2312" w:cs="Times New Roman"/>
          <w:b/>
          <w:bCs/>
          <w:color w:val="auto"/>
          <w:sz w:val="32"/>
          <w:szCs w:val="32"/>
          <w:lang w:eastAsia="zh-CN"/>
        </w:rPr>
        <w:t>二是</w:t>
      </w:r>
      <w:r>
        <w:rPr>
          <w:rFonts w:hint="eastAsia" w:ascii="Times New Roman" w:hAnsi="Times New Roman" w:eastAsia="仿宋_GB2312" w:cs="Times New Roman"/>
          <w:b/>
          <w:bCs/>
          <w:color w:val="auto"/>
          <w:sz w:val="32"/>
          <w:szCs w:val="32"/>
          <w:lang w:eastAsia="zh-CN"/>
        </w:rPr>
        <w:t>持续提升服务质效</w:t>
      </w:r>
      <w:r>
        <w:rPr>
          <w:rFonts w:hint="default" w:ascii="Times New Roman" w:hAnsi="Times New Roman" w:eastAsia="仿宋_GB2312" w:cs="Times New Roman"/>
          <w:b/>
          <w:bCs/>
          <w:color w:val="auto"/>
          <w:sz w:val="32"/>
          <w:szCs w:val="32"/>
          <w:lang w:eastAsia="zh-CN"/>
        </w:rPr>
        <w:t>。</w:t>
      </w:r>
      <w:r>
        <w:rPr>
          <w:rFonts w:hint="eastAsia" w:ascii="Times New Roman" w:hAnsi="Times New Roman" w:eastAsia="仿宋_GB2312" w:cs="Times New Roman"/>
          <w:color w:val="auto"/>
          <w:sz w:val="32"/>
          <w:szCs w:val="32"/>
          <w:lang w:val="en-US" w:eastAsia="zh-CN"/>
        </w:rPr>
        <w:t>做实离休干部保障，打造“心映红霞</w:t>
      </w:r>
      <w:r>
        <w:rPr>
          <w:rFonts w:hint="eastAsia" w:ascii="仿宋_GB2312" w:hAnsi="仿宋_GB2312" w:eastAsia="仿宋_GB2312" w:cs="仿宋_GB2312"/>
          <w:color w:val="auto"/>
          <w:sz w:val="32"/>
          <w:szCs w:val="32"/>
          <w:lang w:val="en-US" w:eastAsia="zh-CN"/>
        </w:rPr>
        <w:t>·</w:t>
      </w:r>
      <w:r>
        <w:rPr>
          <w:rFonts w:hint="eastAsia" w:ascii="Times New Roman" w:hAnsi="Times New Roman" w:eastAsia="仿宋_GB2312" w:cs="Times New Roman"/>
          <w:color w:val="auto"/>
          <w:sz w:val="32"/>
          <w:szCs w:val="32"/>
          <w:lang w:val="en-US" w:eastAsia="zh-CN"/>
        </w:rPr>
        <w:t>情暖桑榆”服务品牌，深化“一人一策”，为850</w:t>
      </w:r>
      <w:r>
        <w:rPr>
          <w:rFonts w:hint="default" w:ascii="Times New Roman" w:hAnsi="Times New Roman" w:eastAsia="仿宋_GB2312" w:cs="Times New Roman"/>
          <w:color w:val="auto"/>
          <w:sz w:val="32"/>
          <w:szCs w:val="32"/>
          <w:lang w:val="en-US" w:eastAsia="zh-CN"/>
        </w:rPr>
        <w:t>名离休干部建立动态台账</w:t>
      </w:r>
      <w:r>
        <w:rPr>
          <w:rFonts w:hint="eastAsia" w:ascii="Times New Roman" w:hAnsi="Times New Roman" w:eastAsia="仿宋_GB2312" w:cs="Times New Roman"/>
          <w:color w:val="auto"/>
          <w:sz w:val="32"/>
          <w:szCs w:val="32"/>
          <w:lang w:val="en-US" w:eastAsia="zh-CN"/>
        </w:rPr>
        <w:t>，为8个市直部门上收改制破产企业离休干部及服务人员拨付经费52.52万元，为5个困难事业单位</w:t>
      </w:r>
      <w:r>
        <w:rPr>
          <w:rFonts w:hint="default" w:ascii="Times New Roman" w:hAnsi="Times New Roman" w:eastAsia="仿宋_GB2312" w:cs="Times New Roman"/>
          <w:color w:val="auto"/>
          <w:sz w:val="32"/>
          <w:szCs w:val="32"/>
          <w:lang w:val="en-US" w:eastAsia="zh-CN"/>
        </w:rPr>
        <w:t>拨付一次性抚恤金等统筹外</w:t>
      </w:r>
      <w:r>
        <w:rPr>
          <w:rFonts w:hint="eastAsia" w:ascii="Times New Roman" w:hAnsi="Times New Roman" w:eastAsia="仿宋_GB2312" w:cs="Times New Roman"/>
          <w:color w:val="auto"/>
          <w:sz w:val="32"/>
          <w:szCs w:val="32"/>
          <w:lang w:val="en-US" w:eastAsia="zh-CN"/>
        </w:rPr>
        <w:t>待遇经费47.87万元，走访慰问</w:t>
      </w:r>
      <w:r>
        <w:rPr>
          <w:rFonts w:hint="eastAsia" w:ascii="仿宋_GB2312" w:hAnsi="仿宋" w:eastAsia="仿宋_GB2312"/>
          <w:color w:val="auto"/>
          <w:sz w:val="32"/>
          <w:szCs w:val="32"/>
        </w:rPr>
        <w:t>易地安置（居住）离休干部22人</w:t>
      </w:r>
      <w:r>
        <w:rPr>
          <w:rFonts w:hint="eastAsia" w:ascii="Times New Roman" w:hAnsi="Times New Roman" w:eastAsia="仿宋_GB2312" w:cs="Times New Roman"/>
          <w:color w:val="auto"/>
          <w:sz w:val="32"/>
          <w:szCs w:val="32"/>
          <w:lang w:val="en-US" w:eastAsia="zh-CN"/>
        </w:rPr>
        <w:t>；做优市级老干部服务，组织部分市级老干部参观我市重点产业发展和城市更新项目，</w:t>
      </w:r>
      <w:r>
        <w:rPr>
          <w:rFonts w:hint="eastAsia" w:ascii="Times New Roman" w:hAnsi="Times New Roman" w:eastAsia="仿宋_GB2312" w:cs="Times New Roman"/>
          <w:color w:val="auto"/>
          <w:sz w:val="32"/>
          <w:szCs w:val="32"/>
          <w:lang w:eastAsia="zh-CN"/>
        </w:rPr>
        <w:t>与市交管局等部门建立协调机制，为</w:t>
      </w:r>
      <w:r>
        <w:rPr>
          <w:rFonts w:hint="eastAsia" w:ascii="Times New Roman" w:hAnsi="Times New Roman" w:eastAsia="仿宋_GB2312" w:cs="Times New Roman"/>
          <w:color w:val="auto"/>
          <w:sz w:val="32"/>
          <w:szCs w:val="32"/>
          <w:lang w:val="en-US" w:eastAsia="zh-CN"/>
        </w:rPr>
        <w:t>31名70岁以上</w:t>
      </w:r>
      <w:r>
        <w:rPr>
          <w:rFonts w:hint="eastAsia" w:ascii="Times New Roman" w:hAnsi="Times New Roman" w:eastAsia="仿宋_GB2312" w:cs="Times New Roman"/>
          <w:color w:val="auto"/>
          <w:sz w:val="32"/>
          <w:szCs w:val="32"/>
          <w:lang w:eastAsia="zh-CN"/>
        </w:rPr>
        <w:t>市级老干部办理驾驶证换证等业务开通绿色通道。</w:t>
      </w:r>
      <w:r>
        <w:rPr>
          <w:rFonts w:hint="eastAsia" w:ascii="Times New Roman" w:hAnsi="Times New Roman" w:eastAsia="仿宋_GB2312" w:cs="Times New Roman"/>
          <w:color w:val="auto"/>
          <w:sz w:val="32"/>
          <w:szCs w:val="32"/>
          <w:lang w:val="en-US" w:eastAsia="zh-CN"/>
        </w:rPr>
        <w:t>开展“庆祝百岁寿辰，共享健康人生”活动，</w:t>
      </w:r>
      <w:r>
        <w:rPr>
          <w:rFonts w:hint="eastAsia" w:ascii="仿宋_GB2312" w:eastAsia="仿宋_GB2312"/>
          <w:color w:val="auto"/>
          <w:sz w:val="32"/>
          <w:szCs w:val="32"/>
        </w:rPr>
        <w:t>慰问过生日市级老</w:t>
      </w:r>
      <w:r>
        <w:rPr>
          <w:rFonts w:hint="eastAsia" w:ascii="仿宋_GB2312" w:eastAsia="仿宋_GB2312"/>
          <w:color w:val="auto"/>
          <w:sz w:val="32"/>
          <w:szCs w:val="32"/>
          <w:lang w:eastAsia="zh-CN"/>
        </w:rPr>
        <w:t>干部</w:t>
      </w:r>
      <w:r>
        <w:rPr>
          <w:rFonts w:hint="eastAsia" w:ascii="仿宋_GB2312" w:eastAsia="仿宋_GB2312"/>
          <w:color w:val="auto"/>
          <w:sz w:val="32"/>
          <w:szCs w:val="32"/>
        </w:rPr>
        <w:t>96人</w:t>
      </w:r>
      <w:r>
        <w:rPr>
          <w:rFonts w:hint="eastAsia" w:ascii="仿宋_GB2312" w:eastAsia="仿宋_GB2312"/>
          <w:color w:val="auto"/>
          <w:sz w:val="32"/>
          <w:szCs w:val="32"/>
          <w:lang w:eastAsia="zh-CN"/>
        </w:rPr>
        <w:t>、</w:t>
      </w:r>
      <w:r>
        <w:rPr>
          <w:rFonts w:hint="eastAsia" w:ascii="仿宋_GB2312" w:eastAsia="仿宋_GB2312"/>
          <w:color w:val="auto"/>
          <w:sz w:val="32"/>
          <w:szCs w:val="32"/>
        </w:rPr>
        <w:t>百岁离休干部18人</w:t>
      </w:r>
      <w:r>
        <w:rPr>
          <w:rFonts w:hint="eastAsia" w:ascii="仿宋_GB2312" w:eastAsia="仿宋_GB2312"/>
          <w:color w:val="auto"/>
          <w:sz w:val="32"/>
          <w:szCs w:val="32"/>
          <w:lang w:eastAsia="zh-CN"/>
        </w:rPr>
        <w:t>；做好退休干部引导，</w:t>
      </w:r>
      <w:r>
        <w:rPr>
          <w:rFonts w:hint="eastAsia" w:ascii="Times New Roman" w:hAnsi="Times New Roman" w:eastAsia="仿宋_GB2312" w:cs="Times New Roman"/>
          <w:color w:val="auto"/>
          <w:sz w:val="32"/>
          <w:szCs w:val="32"/>
          <w:lang w:eastAsia="zh-CN"/>
        </w:rPr>
        <w:t>制</w:t>
      </w:r>
      <w:r>
        <w:rPr>
          <w:rFonts w:hint="default" w:ascii="Times New Roman" w:hAnsi="Times New Roman" w:eastAsia="仿宋_GB2312" w:cs="Times New Roman"/>
          <w:color w:val="auto"/>
          <w:sz w:val="32"/>
          <w:szCs w:val="32"/>
          <w:lang w:eastAsia="zh-CN"/>
        </w:rPr>
        <w:t>发《关于做好组织开展离退休干部参观学习我市城市更新项目活动的通知》，</w:t>
      </w:r>
      <w:r>
        <w:rPr>
          <w:rFonts w:hint="eastAsia" w:ascii="Times New Roman" w:hAnsi="Times New Roman" w:eastAsia="仿宋_GB2312" w:cs="Times New Roman"/>
          <w:color w:val="auto"/>
          <w:sz w:val="32"/>
          <w:szCs w:val="32"/>
          <w:lang w:eastAsia="zh-CN"/>
        </w:rPr>
        <w:t>指导各地</w:t>
      </w:r>
      <w:r>
        <w:rPr>
          <w:rFonts w:hint="default" w:ascii="Times New Roman" w:hAnsi="Times New Roman" w:eastAsia="仿宋_GB2312" w:cs="Times New Roman"/>
          <w:color w:val="auto"/>
          <w:sz w:val="32"/>
          <w:szCs w:val="32"/>
          <w:lang w:eastAsia="zh-CN"/>
        </w:rPr>
        <w:t>各单位</w:t>
      </w:r>
      <w:r>
        <w:rPr>
          <w:rFonts w:hint="eastAsia" w:ascii="Times New Roman" w:hAnsi="Times New Roman" w:eastAsia="仿宋_GB2312" w:cs="Times New Roman"/>
          <w:color w:val="auto"/>
          <w:sz w:val="32"/>
          <w:szCs w:val="32"/>
          <w:lang w:val="en-US" w:eastAsia="zh-CN"/>
        </w:rPr>
        <w:t>组织5197名老同志参观考察270次。</w:t>
      </w:r>
      <w:r>
        <w:rPr>
          <w:rFonts w:hint="default" w:ascii="Times New Roman" w:hAnsi="Times New Roman" w:eastAsia="仿宋_GB2312" w:cs="Times New Roman"/>
          <w:color w:val="auto"/>
          <w:sz w:val="32"/>
          <w:szCs w:val="32"/>
          <w:lang w:eastAsia="zh-CN"/>
        </w:rPr>
        <w:t>举办第</w:t>
      </w:r>
      <w:r>
        <w:rPr>
          <w:rFonts w:hint="default" w:ascii="Times New Roman" w:hAnsi="Times New Roman" w:eastAsia="仿宋_GB2312" w:cs="Times New Roman"/>
          <w:color w:val="auto"/>
          <w:sz w:val="32"/>
          <w:szCs w:val="32"/>
          <w:lang w:val="en-US" w:eastAsia="zh-CN"/>
        </w:rPr>
        <w:t>27</w:t>
      </w:r>
      <w:r>
        <w:rPr>
          <w:rFonts w:hint="default" w:ascii="Times New Roman" w:hAnsi="Times New Roman" w:eastAsia="仿宋_GB2312" w:cs="Times New Roman"/>
          <w:color w:val="auto"/>
          <w:sz w:val="32"/>
          <w:szCs w:val="32"/>
          <w:lang w:eastAsia="zh-CN"/>
        </w:rPr>
        <w:t>届市直机关离退休干部运动会，</w:t>
      </w:r>
      <w:r>
        <w:rPr>
          <w:rFonts w:hint="eastAsia" w:ascii="Times New Roman" w:hAnsi="Times New Roman" w:eastAsia="仿宋_GB2312" w:cs="Times New Roman"/>
          <w:color w:val="auto"/>
          <w:sz w:val="32"/>
          <w:szCs w:val="32"/>
          <w:lang w:eastAsia="zh-CN"/>
        </w:rPr>
        <w:t>共</w:t>
      </w:r>
      <w:r>
        <w:rPr>
          <w:rFonts w:hint="default" w:ascii="Times New Roman" w:hAnsi="Times New Roman" w:eastAsia="仿宋_GB2312" w:cs="Times New Roman"/>
          <w:color w:val="auto"/>
          <w:sz w:val="32"/>
          <w:szCs w:val="32"/>
          <w:lang w:eastAsia="zh-CN"/>
        </w:rPr>
        <w:t>55支</w:t>
      </w:r>
      <w:r>
        <w:rPr>
          <w:rFonts w:hint="eastAsia" w:ascii="Times New Roman" w:hAnsi="Times New Roman" w:eastAsia="仿宋_GB2312" w:cs="Times New Roman"/>
          <w:color w:val="auto"/>
          <w:sz w:val="32"/>
          <w:szCs w:val="32"/>
          <w:lang w:eastAsia="zh-CN"/>
        </w:rPr>
        <w:t>队伍</w:t>
      </w:r>
      <w:r>
        <w:rPr>
          <w:rFonts w:hint="default" w:ascii="Times New Roman" w:hAnsi="Times New Roman" w:eastAsia="仿宋_GB2312" w:cs="Times New Roman"/>
          <w:color w:val="auto"/>
          <w:sz w:val="32"/>
          <w:szCs w:val="32"/>
          <w:lang w:eastAsia="zh-CN"/>
        </w:rPr>
        <w:t>3000余名</w:t>
      </w:r>
      <w:r>
        <w:rPr>
          <w:rFonts w:hint="eastAsia" w:ascii="Times New Roman" w:hAnsi="Times New Roman" w:eastAsia="仿宋_GB2312" w:cs="Times New Roman"/>
          <w:color w:val="auto"/>
          <w:sz w:val="32"/>
          <w:szCs w:val="32"/>
          <w:lang w:eastAsia="zh-CN"/>
        </w:rPr>
        <w:t>老同志</w:t>
      </w:r>
      <w:r>
        <w:rPr>
          <w:rFonts w:hint="default" w:ascii="Times New Roman" w:hAnsi="Times New Roman" w:eastAsia="仿宋_GB2312" w:cs="Times New Roman"/>
          <w:color w:val="auto"/>
          <w:sz w:val="32"/>
          <w:szCs w:val="32"/>
          <w:lang w:eastAsia="zh-CN"/>
        </w:rPr>
        <w:t>参加</w:t>
      </w:r>
      <w:r>
        <w:rPr>
          <w:rFonts w:hint="eastAsia" w:ascii="Times New Roman" w:hAnsi="Times New Roman" w:eastAsia="仿宋_GB2312" w:cs="Times New Roman"/>
          <w:color w:val="auto"/>
          <w:sz w:val="32"/>
          <w:szCs w:val="32"/>
          <w:lang w:eastAsia="zh-CN"/>
        </w:rPr>
        <w:t>。开展特困帮扶，</w:t>
      </w:r>
      <w:r>
        <w:rPr>
          <w:rFonts w:hint="eastAsia" w:ascii="Times New Roman" w:hAnsi="Times New Roman" w:eastAsia="仿宋_GB2312" w:cs="Times New Roman"/>
          <w:color w:val="auto"/>
          <w:sz w:val="32"/>
          <w:szCs w:val="32"/>
          <w:lang w:val="en-US" w:eastAsia="zh-CN"/>
        </w:rPr>
        <w:t>为28个单位137名老同志拨付帮扶资金50万元。</w:t>
      </w:r>
      <w:r>
        <w:rPr>
          <w:rFonts w:hint="default" w:ascii="Times New Roman" w:hAnsi="Times New Roman" w:eastAsia="仿宋_GB2312" w:cs="Times New Roman"/>
          <w:b/>
          <w:bCs/>
          <w:color w:val="auto"/>
          <w:sz w:val="32"/>
          <w:szCs w:val="32"/>
          <w:lang w:eastAsia="zh-CN"/>
        </w:rPr>
        <w:t>三是</w:t>
      </w:r>
      <w:r>
        <w:rPr>
          <w:rFonts w:hint="eastAsia" w:ascii="Times New Roman" w:hAnsi="Times New Roman" w:eastAsia="仿宋_GB2312" w:cs="Times New Roman"/>
          <w:b/>
          <w:bCs/>
          <w:color w:val="auto"/>
          <w:sz w:val="32"/>
          <w:szCs w:val="32"/>
          <w:lang w:eastAsia="zh-CN"/>
        </w:rPr>
        <w:t>建强学习活动阵地</w:t>
      </w:r>
      <w:r>
        <w:rPr>
          <w:rFonts w:hint="default" w:ascii="Times New Roman" w:hAnsi="Times New Roman" w:eastAsia="仿宋_GB2312" w:cs="Times New Roman"/>
          <w:b/>
          <w:bCs/>
          <w:color w:val="auto"/>
          <w:sz w:val="32"/>
          <w:szCs w:val="32"/>
          <w:lang w:eastAsia="zh-CN"/>
        </w:rPr>
        <w:t>。</w:t>
      </w:r>
      <w:r>
        <w:rPr>
          <w:rFonts w:hint="default" w:ascii="Times New Roman" w:hAnsi="Times New Roman" w:eastAsia="仿宋_GB2312" w:cs="Times New Roman"/>
          <w:color w:val="auto"/>
          <w:sz w:val="32"/>
          <w:szCs w:val="32"/>
          <w:lang w:eastAsia="zh-CN"/>
        </w:rPr>
        <w:t>市老年大学</w:t>
      </w:r>
      <w:r>
        <w:rPr>
          <w:rFonts w:hint="eastAsia" w:ascii="Times New Roman" w:hAnsi="Times New Roman" w:eastAsia="仿宋_GB2312" w:cs="Times New Roman"/>
          <w:color w:val="auto"/>
          <w:sz w:val="32"/>
          <w:szCs w:val="32"/>
          <w:lang w:eastAsia="zh-CN"/>
        </w:rPr>
        <w:t>不断优化教学资源，开设</w:t>
      </w:r>
      <w:r>
        <w:rPr>
          <w:rFonts w:hint="default" w:ascii="Times New Roman" w:hAnsi="Times New Roman" w:eastAsia="仿宋_GB2312" w:cs="Times New Roman"/>
          <w:color w:val="auto"/>
          <w:sz w:val="32"/>
          <w:szCs w:val="32"/>
          <w:lang w:eastAsia="zh-CN"/>
        </w:rPr>
        <w:t>教学班371个，学员9000余人</w:t>
      </w:r>
      <w:r>
        <w:rPr>
          <w:rFonts w:hint="eastAsia" w:ascii="Times New Roman" w:hAnsi="Times New Roman" w:eastAsia="仿宋_GB2312" w:cs="Times New Roman"/>
          <w:color w:val="auto"/>
          <w:sz w:val="32"/>
          <w:szCs w:val="32"/>
          <w:lang w:eastAsia="zh-CN"/>
        </w:rPr>
        <w:t>，获评</w:t>
      </w:r>
      <w:r>
        <w:rPr>
          <w:rFonts w:hint="default" w:ascii="Times New Roman" w:hAnsi="Times New Roman" w:eastAsia="仿宋_GB2312" w:cs="Times New Roman"/>
          <w:color w:val="auto"/>
          <w:sz w:val="32"/>
          <w:szCs w:val="32"/>
        </w:rPr>
        <w:t>中国老年大学标准示范校</w:t>
      </w:r>
      <w:r>
        <w:rPr>
          <w:rFonts w:hint="default"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eastAsia="zh-CN"/>
        </w:rPr>
        <w:t>持续加强</w:t>
      </w:r>
      <w:r>
        <w:rPr>
          <w:rFonts w:hint="default" w:ascii="Times New Roman" w:hAnsi="Times New Roman" w:eastAsia="仿宋_GB2312" w:cs="Times New Roman"/>
          <w:color w:val="auto"/>
          <w:sz w:val="32"/>
          <w:szCs w:val="32"/>
          <w:lang w:eastAsia="zh-CN"/>
        </w:rPr>
        <w:t>教材规范化</w:t>
      </w:r>
      <w:r>
        <w:rPr>
          <w:rFonts w:hint="eastAsia" w:ascii="Times New Roman" w:hAnsi="Times New Roman" w:eastAsia="仿宋_GB2312" w:cs="Times New Roman"/>
          <w:color w:val="auto"/>
          <w:sz w:val="32"/>
          <w:szCs w:val="32"/>
          <w:lang w:eastAsia="zh-CN"/>
        </w:rPr>
        <w:t>建设</w:t>
      </w:r>
      <w:r>
        <w:rPr>
          <w:rFonts w:hint="default" w:ascii="Times New Roman" w:hAnsi="Times New Roman" w:eastAsia="仿宋_GB2312" w:cs="Times New Roman"/>
          <w:color w:val="auto"/>
          <w:sz w:val="32"/>
          <w:szCs w:val="32"/>
          <w:lang w:eastAsia="zh-CN"/>
        </w:rPr>
        <w:t>，通过系、科、校三级审定，制定8个系509本参考教材，结集完成教研成果集</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eastAsia="zh-CN"/>
        </w:rPr>
        <w:t>本</w:t>
      </w:r>
      <w:r>
        <w:rPr>
          <w:rFonts w:hint="eastAsia" w:ascii="Times New Roman" w:hAnsi="Times New Roman" w:eastAsia="仿宋_GB2312" w:cs="Times New Roman"/>
          <w:color w:val="auto"/>
          <w:sz w:val="32"/>
          <w:szCs w:val="32"/>
          <w:lang w:eastAsia="zh-CN"/>
        </w:rPr>
        <w:t>。深化重阳讲坛品牌，邀请专家学者、艺术名家开展公益讲座</w:t>
      </w:r>
      <w:r>
        <w:rPr>
          <w:rFonts w:hint="eastAsia" w:ascii="仿宋_GB2312" w:hAnsi="仿宋_GB2312" w:eastAsia="仿宋_GB2312" w:cs="仿宋_GB2312"/>
          <w:color w:val="auto"/>
          <w:sz w:val="32"/>
          <w:szCs w:val="32"/>
        </w:rPr>
        <w:t>26</w:t>
      </w:r>
      <w:r>
        <w:rPr>
          <w:rFonts w:hint="eastAsia" w:ascii="仿宋_GB2312" w:hAnsi="仿宋_GB2312" w:eastAsia="仿宋_GB2312" w:cs="仿宋_GB2312"/>
          <w:color w:val="auto"/>
          <w:sz w:val="32"/>
          <w:szCs w:val="32"/>
          <w:lang w:eastAsia="zh-CN"/>
        </w:rPr>
        <w:t>场。</w:t>
      </w:r>
      <w:r>
        <w:rPr>
          <w:rFonts w:hint="eastAsia" w:ascii="Times New Roman" w:hAnsi="Times New Roman" w:eastAsia="仿宋_GB2312" w:cs="Times New Roman"/>
          <w:color w:val="auto"/>
          <w:sz w:val="32"/>
          <w:szCs w:val="32"/>
          <w:lang w:eastAsia="zh-CN"/>
        </w:rPr>
        <w:t>市老干部活动中心</w:t>
      </w:r>
      <w:r>
        <w:rPr>
          <w:rFonts w:hint="eastAsia" w:ascii="Times New Roman" w:hAnsi="Times New Roman" w:eastAsia="仿宋_GB2312" w:cs="Times New Roman"/>
          <w:color w:val="auto"/>
          <w:sz w:val="32"/>
          <w:szCs w:val="32"/>
          <w:lang w:val="en-US" w:eastAsia="zh-CN"/>
        </w:rPr>
        <w:t>新建陆地冰壶球室和综合体验室2个场馆，坚持“每月有活动，每季有比赛”，</w:t>
      </w:r>
      <w:r>
        <w:rPr>
          <w:rFonts w:hint="eastAsia" w:ascii="仿宋_GB2312" w:hAnsi="仿宋_GB2312" w:eastAsia="仿宋_GB2312" w:cs="仿宋_GB2312"/>
          <w:color w:val="auto"/>
          <w:sz w:val="32"/>
          <w:szCs w:val="32"/>
        </w:rPr>
        <w:t>以“常规赛+趣味赛”形式组织单项比赛近30场</w:t>
      </w:r>
      <w:r>
        <w:rPr>
          <w:rFonts w:hint="eastAsia" w:ascii="仿宋_GB2312" w:hAnsi="仿宋_GB2312" w:eastAsia="仿宋_GB2312" w:cs="仿宋_GB2312"/>
          <w:color w:val="auto"/>
          <w:sz w:val="32"/>
          <w:szCs w:val="32"/>
          <w:lang w:eastAsia="zh-CN"/>
        </w:rPr>
        <w:t>，</w:t>
      </w:r>
      <w:r>
        <w:rPr>
          <w:rFonts w:hint="eastAsia" w:ascii="Times New Roman" w:hAnsi="Times New Roman" w:eastAsia="仿宋_GB2312" w:cs="Times New Roman"/>
          <w:color w:val="auto"/>
          <w:sz w:val="32"/>
          <w:szCs w:val="32"/>
          <w:lang w:val="en-US" w:eastAsia="zh-CN"/>
        </w:rPr>
        <w:t>全年接待老干部活动超10万人次。</w:t>
      </w:r>
    </w:p>
    <w:p w14:paraId="32FD1528">
      <w:pPr>
        <w:keepNext w:val="0"/>
        <w:keepLines w:val="0"/>
        <w:pageBreakBefore w:val="0"/>
        <w:kinsoku/>
        <w:wordWrap/>
        <w:overflowPunct/>
        <w:topLinePunct w:val="0"/>
        <w:autoSpaceDE/>
        <w:autoSpaceDN/>
        <w:bidi w:val="0"/>
        <w:adjustRightInd/>
        <w:snapToGrid/>
        <w:spacing w:beforeAutospacing="0" w:afterAutospacing="0" w:line="600" w:lineRule="exact"/>
        <w:ind w:firstLine="643"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楷体_GB2312" w:cs="Times New Roman"/>
          <w:b/>
          <w:bCs/>
          <w:color w:val="auto"/>
          <w:sz w:val="32"/>
          <w:szCs w:val="32"/>
          <w:lang w:val="en-US" w:eastAsia="zh-CN"/>
        </w:rPr>
        <w:t>4.</w:t>
      </w:r>
      <w:r>
        <w:rPr>
          <w:rFonts w:hint="eastAsia" w:ascii="Times New Roman" w:hAnsi="Times New Roman" w:eastAsia="楷体_GB2312" w:cs="Times New Roman"/>
          <w:b/>
          <w:bCs/>
          <w:color w:val="auto"/>
          <w:sz w:val="32"/>
          <w:szCs w:val="32"/>
          <w:lang w:eastAsia="zh-CN"/>
        </w:rPr>
        <w:t>打造模范部门，离退休干部工作队伍展现新面貌。</w:t>
      </w:r>
      <w:r>
        <w:rPr>
          <w:rFonts w:hint="eastAsia" w:ascii="仿宋_GB2312" w:hAnsi="仿宋_GB2312" w:eastAsia="仿宋_GB2312" w:cs="仿宋_GB2312"/>
          <w:b/>
          <w:bCs/>
          <w:color w:val="auto"/>
          <w:sz w:val="32"/>
          <w:szCs w:val="32"/>
          <w:lang w:eastAsia="zh-CN"/>
        </w:rPr>
        <w:t>一是创建政治过硬机关。</w:t>
      </w:r>
      <w:r>
        <w:rPr>
          <w:rFonts w:hint="eastAsia" w:ascii="仿宋_GB2312" w:hAnsi="仿宋_GB2312" w:eastAsia="仿宋_GB2312" w:cs="仿宋_GB2312"/>
          <w:color w:val="auto"/>
          <w:sz w:val="32"/>
          <w:szCs w:val="32"/>
          <w:lang w:eastAsia="zh-CN"/>
        </w:rPr>
        <w:t>深入</w:t>
      </w:r>
      <w:r>
        <w:rPr>
          <w:rFonts w:hint="eastAsia" w:ascii="仿宋_GB2312" w:hAnsi="仿宋_GB2312" w:eastAsia="仿宋_GB2312" w:cs="仿宋_GB2312"/>
          <w:color w:val="auto"/>
          <w:sz w:val="32"/>
          <w:szCs w:val="32"/>
          <w:lang w:val="en-US" w:eastAsia="zh-CN"/>
        </w:rPr>
        <w:t>开展党纪学习教育</w:t>
      </w:r>
      <w:r>
        <w:rPr>
          <w:rFonts w:hint="eastAsia" w:ascii="仿宋_GB2312" w:hAnsi="仿宋_GB2312" w:eastAsia="仿宋_GB2312" w:cs="仿宋_GB2312"/>
          <w:color w:val="auto"/>
          <w:sz w:val="32"/>
          <w:szCs w:val="32"/>
          <w:lang w:eastAsia="zh-CN"/>
        </w:rPr>
        <w:t>，推动党员干部不断增强</w:t>
      </w:r>
      <w:r>
        <w:rPr>
          <w:rFonts w:hint="eastAsia" w:ascii="仿宋_GB2312" w:hAnsi="仿宋_GB2312" w:eastAsia="仿宋_GB2312" w:cs="仿宋_GB2312"/>
          <w:color w:val="auto"/>
          <w:sz w:val="32"/>
          <w:szCs w:val="32"/>
          <w:lang w:val="en-US" w:eastAsia="zh-CN"/>
        </w:rPr>
        <w:t>党纪意识；</w:t>
      </w:r>
      <w:r>
        <w:rPr>
          <w:rFonts w:hint="eastAsia" w:ascii="Times New Roman" w:hAnsi="Times New Roman" w:eastAsia="仿宋_GB2312" w:cs="Times New Roman"/>
          <w:color w:val="auto"/>
          <w:sz w:val="32"/>
          <w:szCs w:val="32"/>
          <w:lang w:val="en-US" w:eastAsia="zh-CN"/>
        </w:rPr>
        <w:t>定期召开意识形态工作专题会议，</w:t>
      </w:r>
      <w:r>
        <w:rPr>
          <w:rFonts w:hint="eastAsia" w:ascii="仿宋_GB2312" w:hAnsi="仿宋_GB2312" w:eastAsia="仿宋_GB2312" w:cs="仿宋_GB2312"/>
          <w:color w:val="auto"/>
          <w:sz w:val="32"/>
          <w:szCs w:val="32"/>
          <w:lang w:val="en-US" w:eastAsia="zh-CN"/>
        </w:rPr>
        <w:t>持续开展</w:t>
      </w:r>
      <w:r>
        <w:rPr>
          <w:rFonts w:hint="eastAsia" w:ascii="仿宋_GB2312" w:hAnsi="仿宋_GB2312" w:eastAsia="仿宋_GB2312" w:cs="仿宋_GB2312"/>
          <w:color w:val="auto"/>
          <w:sz w:val="32"/>
          <w:szCs w:val="32"/>
          <w:lang w:eastAsia="zh-CN"/>
        </w:rPr>
        <w:t>“争做‘八个模范’、创建模范机关”活动，教育引导党员干部自觉做讲政治、讲学习、讲大局、讲团结、讲纪律、讲奉献、讲关心、讲廉洁的模范。</w:t>
      </w:r>
      <w:r>
        <w:rPr>
          <w:rFonts w:hint="eastAsia" w:ascii="仿宋_GB2312" w:hAnsi="仿宋_GB2312" w:eastAsia="仿宋_GB2312" w:cs="仿宋_GB2312"/>
          <w:b/>
          <w:bCs/>
          <w:color w:val="auto"/>
          <w:sz w:val="32"/>
          <w:szCs w:val="32"/>
          <w:lang w:eastAsia="zh-CN"/>
        </w:rPr>
        <w:t>二是创建素质过硬机关</w:t>
      </w:r>
      <w:r>
        <w:rPr>
          <w:rFonts w:hint="eastAsia" w:ascii="仿宋_GB2312" w:hAnsi="仿宋_GB2312" w:eastAsia="仿宋_GB2312" w:cs="仿宋_GB2312"/>
          <w:color w:val="auto"/>
          <w:sz w:val="32"/>
          <w:szCs w:val="32"/>
          <w:lang w:eastAsia="zh-CN"/>
        </w:rPr>
        <w:t>。开展“大学习、大调研、大提升”活动，</w:t>
      </w:r>
      <w:r>
        <w:rPr>
          <w:rFonts w:hint="default" w:ascii="Times New Roman" w:hAnsi="Times New Roman" w:eastAsia="仿宋_GB2312" w:cs="Times New Roman"/>
          <w:color w:val="auto"/>
          <w:sz w:val="32"/>
          <w:szCs w:val="32"/>
        </w:rPr>
        <w:t>举办青年干部论坛</w:t>
      </w:r>
      <w:r>
        <w:rPr>
          <w:rFonts w:hint="eastAsia" w:ascii="仿宋_GB2312" w:hAnsi="仿宋_GB2312" w:eastAsia="仿宋_GB2312" w:cs="仿宋_GB2312"/>
          <w:color w:val="auto"/>
          <w:sz w:val="32"/>
          <w:szCs w:val="32"/>
          <w:lang w:eastAsia="zh-CN"/>
        </w:rPr>
        <w:t>，涵盖集中理论学习、主题征文、研学调研、座谈交流等内容。</w:t>
      </w:r>
      <w:r>
        <w:rPr>
          <w:rFonts w:hint="eastAsia" w:ascii="仿宋_GB2312" w:hAnsi="仿宋_GB2312" w:eastAsia="仿宋_GB2312" w:cs="仿宋_GB2312"/>
          <w:color w:val="auto"/>
          <w:sz w:val="32"/>
          <w:szCs w:val="32"/>
          <w:lang w:val="en-US" w:eastAsia="zh-CN"/>
        </w:rPr>
        <w:t>深化</w:t>
      </w:r>
      <w:r>
        <w:rPr>
          <w:rFonts w:hint="eastAsia" w:ascii="仿宋_GB2312" w:hAnsi="仿宋_GB2312" w:eastAsia="仿宋_GB2312" w:cs="仿宋_GB2312"/>
          <w:color w:val="auto"/>
          <w:sz w:val="32"/>
          <w:szCs w:val="32"/>
          <w:lang w:eastAsia="zh-CN"/>
        </w:rPr>
        <w:t>内部量化考核，制定局内部量化考核指标体系</w:t>
      </w:r>
      <w:r>
        <w:rPr>
          <w:rFonts w:hint="default" w:ascii="Times New Roman" w:hAnsi="Times New Roman" w:eastAsia="仿宋_GB2312" w:cs="Times New Roman"/>
          <w:color w:val="auto"/>
          <w:sz w:val="32"/>
          <w:szCs w:val="32"/>
          <w:lang w:eastAsia="zh-CN"/>
        </w:rPr>
        <w:t>，</w:t>
      </w:r>
      <w:r>
        <w:rPr>
          <w:rFonts w:hint="eastAsia" w:ascii="仿宋_GB2312" w:hAnsi="仿宋_GB2312" w:eastAsia="仿宋_GB2312" w:cs="仿宋_GB2312"/>
          <w:color w:val="auto"/>
          <w:sz w:val="32"/>
          <w:szCs w:val="32"/>
          <w:lang w:eastAsia="zh-CN"/>
        </w:rPr>
        <w:t>努力推动形成“以</w:t>
      </w:r>
      <w:r>
        <w:rPr>
          <w:rFonts w:hint="eastAsia" w:ascii="仿宋_GB2312" w:hAnsi="仿宋_GB2312" w:eastAsia="仿宋_GB2312" w:cs="仿宋_GB2312"/>
          <w:color w:val="auto"/>
          <w:sz w:val="32"/>
          <w:szCs w:val="32"/>
          <w:lang w:val="en-US" w:eastAsia="zh-CN"/>
        </w:rPr>
        <w:t>干</w:t>
      </w:r>
      <w:r>
        <w:rPr>
          <w:rFonts w:hint="eastAsia" w:ascii="仿宋_GB2312" w:hAnsi="仿宋_GB2312" w:eastAsia="仿宋_GB2312" w:cs="仿宋_GB2312"/>
          <w:color w:val="auto"/>
          <w:sz w:val="32"/>
          <w:szCs w:val="32"/>
          <w:lang w:eastAsia="zh-CN"/>
        </w:rPr>
        <w:t>促学、以学</w:t>
      </w:r>
      <w:r>
        <w:rPr>
          <w:rFonts w:hint="eastAsia" w:ascii="仿宋_GB2312" w:hAnsi="仿宋_GB2312" w:eastAsia="仿宋_GB2312" w:cs="仿宋_GB2312"/>
          <w:color w:val="auto"/>
          <w:sz w:val="32"/>
          <w:szCs w:val="32"/>
          <w:lang w:val="en-US" w:eastAsia="zh-CN"/>
        </w:rPr>
        <w:t>促</w:t>
      </w:r>
      <w:r>
        <w:rPr>
          <w:rFonts w:hint="eastAsia" w:ascii="仿宋_GB2312" w:hAnsi="仿宋_GB2312" w:eastAsia="仿宋_GB2312" w:cs="仿宋_GB2312"/>
          <w:color w:val="auto"/>
          <w:sz w:val="32"/>
          <w:szCs w:val="32"/>
          <w:lang w:eastAsia="zh-CN"/>
        </w:rPr>
        <w:t>干”的浓厚氛围。</w:t>
      </w:r>
      <w:r>
        <w:rPr>
          <w:rFonts w:hint="eastAsia" w:ascii="仿宋_GB2312" w:hAnsi="仿宋_GB2312" w:eastAsia="仿宋_GB2312" w:cs="仿宋_GB2312"/>
          <w:b/>
          <w:bCs/>
          <w:color w:val="auto"/>
          <w:sz w:val="32"/>
          <w:szCs w:val="32"/>
          <w:lang w:eastAsia="zh-CN"/>
        </w:rPr>
        <w:t>三是提升工作规范化水平。</w:t>
      </w:r>
      <w:r>
        <w:rPr>
          <w:rFonts w:hint="eastAsia" w:ascii="Times New Roman" w:hAnsi="Times New Roman" w:eastAsia="仿宋_GB2312" w:cs="Times New Roman"/>
          <w:color w:val="auto"/>
          <w:sz w:val="32"/>
          <w:szCs w:val="32"/>
          <w:lang w:val="en-US" w:eastAsia="zh-CN"/>
        </w:rPr>
        <w:t>举办全市老干部工作人员业务培训班，有效提升老干部工作者履职能力。</w:t>
      </w:r>
      <w:r>
        <w:rPr>
          <w:rFonts w:hint="eastAsia" w:ascii="仿宋_GB2312" w:hAnsi="仿宋_GB2312" w:eastAsia="仿宋_GB2312" w:cs="仿宋_GB2312"/>
          <w:sz w:val="32"/>
          <w:szCs w:val="32"/>
          <w:lang w:val="en-US" w:eastAsia="zh-CN"/>
        </w:rPr>
        <w:t>修订《内部控制规范手册》和《内部控制度汇编》，加强财务风险防控。参</w:t>
      </w:r>
      <w:r>
        <w:rPr>
          <w:rFonts w:hint="default" w:ascii="Times New Roman" w:hAnsi="Times New Roman" w:eastAsia="仿宋_GB2312" w:cs="Times New Roman"/>
          <w:color w:val="auto"/>
          <w:sz w:val="32"/>
          <w:szCs w:val="32"/>
          <w:lang w:val="en-US" w:eastAsia="zh-CN"/>
        </w:rPr>
        <w:t>照上世纪90年代以来19个实用的老干部政策文件，</w:t>
      </w:r>
      <w:r>
        <w:rPr>
          <w:rFonts w:hint="eastAsia" w:ascii="Times New Roman" w:hAnsi="Times New Roman" w:eastAsia="仿宋_GB2312" w:cs="Times New Roman"/>
          <w:color w:val="auto"/>
          <w:sz w:val="32"/>
          <w:szCs w:val="32"/>
          <w:lang w:val="en-US" w:eastAsia="zh-CN"/>
        </w:rPr>
        <w:t>全面梳理</w:t>
      </w:r>
      <w:r>
        <w:rPr>
          <w:rFonts w:hint="default" w:ascii="Times New Roman" w:hAnsi="Times New Roman" w:eastAsia="仿宋_GB2312" w:cs="Times New Roman"/>
          <w:color w:val="auto"/>
          <w:sz w:val="32"/>
          <w:szCs w:val="32"/>
          <w:lang w:val="en-US" w:eastAsia="zh-CN"/>
        </w:rPr>
        <w:t>新时代老干部工作政策依据、目标任务、规范标准、责任权限</w:t>
      </w:r>
      <w:r>
        <w:rPr>
          <w:rFonts w:hint="eastAsia" w:ascii="Times New Roman" w:hAnsi="Times New Roman" w:eastAsia="仿宋_GB2312" w:cs="Times New Roman"/>
          <w:color w:val="auto"/>
          <w:sz w:val="32"/>
          <w:szCs w:val="32"/>
          <w:lang w:val="en-US" w:eastAsia="zh-CN"/>
        </w:rPr>
        <w:t>，形成《石家庄市老干部工作规范》，共9章38条，编印发放各县（市、区）、市直单位老干部工作部门，进一步提升了全市老干部工作的制度化、规范化水平。</w:t>
      </w:r>
    </w:p>
    <w:p w14:paraId="05D7FB52">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9" w:name="_Toc31691"/>
      <w:r>
        <w:rPr>
          <w:rFonts w:hint="eastAsia" w:ascii="Times New Roman" w:hAnsi="Times New Roman" w:eastAsia="楷体" w:cs="楷体"/>
          <w:sz w:val="32"/>
          <w:szCs w:val="32"/>
          <w:highlight w:val="none"/>
          <w:shd w:val="clear" w:color="auto" w:fill="auto"/>
          <w:lang w:val="en-US" w:eastAsia="zh-CN"/>
        </w:rPr>
        <w:t>（二）绩效目标完成情况</w:t>
      </w:r>
      <w:bookmarkEnd w:id="8"/>
      <w:bookmarkEnd w:id="9"/>
    </w:p>
    <w:p w14:paraId="18552438">
      <w:pPr>
        <w:keepNext w:val="0"/>
        <w:keepLines w:val="0"/>
        <w:pageBreakBefore w:val="0"/>
        <w:widowControl w:val="0"/>
        <w:shd w:val="clear"/>
        <w:kinsoku/>
        <w:wordWrap/>
        <w:overflowPunct w:val="0"/>
        <w:topLinePunct w:val="0"/>
        <w:autoSpaceDE/>
        <w:autoSpaceDN/>
        <w:bidi w:val="0"/>
        <w:adjustRightInd/>
        <w:snapToGrid w:val="0"/>
        <w:spacing w:after="157" w:afterLines="50" w:line="560" w:lineRule="exact"/>
        <w:ind w:left="0" w:firstLine="640" w:firstLineChars="200"/>
        <w:textAlignment w:val="auto"/>
        <w:rPr>
          <w:rFonts w:hint="eastAsia"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val="en-US" w:eastAsia="zh-CN"/>
        </w:rPr>
        <w:t>本次评价的4</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lang w:val="en-US" w:eastAsia="zh-CN"/>
        </w:rPr>
        <w:t>个项目具体绩效目标完成情况及评价结果如下：</w:t>
      </w:r>
    </w:p>
    <w:tbl>
      <w:tblPr>
        <w:tblStyle w:val="12"/>
        <w:tblW w:w="48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22"/>
        <w:gridCol w:w="958"/>
        <w:gridCol w:w="1012"/>
        <w:gridCol w:w="1084"/>
        <w:gridCol w:w="1250"/>
        <w:gridCol w:w="1275"/>
      </w:tblGrid>
      <w:tr w14:paraId="7C065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4675FBF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sz w:val="24"/>
                <w:szCs w:val="24"/>
                <w:highlight w:val="none"/>
                <w:shd w:val="clear" w:color="auto" w:fill="auto"/>
                <w:vertAlign w:val="baseline"/>
                <w:lang w:val="en-US" w:eastAsia="zh-CN"/>
              </w:rPr>
              <w:t>单位</w:t>
            </w:r>
          </w:p>
        </w:tc>
        <w:tc>
          <w:tcPr>
            <w:tcW w:w="532" w:type="pct"/>
            <w:vAlign w:val="center"/>
          </w:tcPr>
          <w:p w14:paraId="4114D9F8">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sz w:val="24"/>
                <w:szCs w:val="24"/>
                <w:highlight w:val="none"/>
                <w:shd w:val="clear" w:color="auto" w:fill="auto"/>
                <w:vertAlign w:val="baseline"/>
                <w:lang w:val="en-US" w:eastAsia="zh-CN"/>
              </w:rPr>
              <w:t>项目数</w:t>
            </w:r>
          </w:p>
        </w:tc>
        <w:tc>
          <w:tcPr>
            <w:tcW w:w="562" w:type="pct"/>
            <w:vAlign w:val="center"/>
          </w:tcPr>
          <w:p w14:paraId="0F7E77A7">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sz w:val="24"/>
                <w:szCs w:val="24"/>
                <w:highlight w:val="none"/>
                <w:shd w:val="clear" w:color="auto" w:fill="auto"/>
                <w:vertAlign w:val="baseline"/>
                <w:lang w:val="en-US" w:eastAsia="zh-CN"/>
              </w:rPr>
              <w:t>评优数</w:t>
            </w:r>
          </w:p>
        </w:tc>
        <w:tc>
          <w:tcPr>
            <w:tcW w:w="602" w:type="pct"/>
            <w:vAlign w:val="center"/>
          </w:tcPr>
          <w:p w14:paraId="7B85D90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i w:val="0"/>
                <w:iCs w:val="0"/>
                <w:color w:val="000000"/>
                <w:kern w:val="0"/>
                <w:sz w:val="24"/>
                <w:szCs w:val="24"/>
                <w:highlight w:val="none"/>
                <w:u w:val="none"/>
                <w:shd w:val="clear" w:color="auto" w:fill="auto"/>
                <w:lang w:val="en-US" w:eastAsia="zh-CN" w:bidi="ar"/>
              </w:rPr>
              <w:t>评良数</w:t>
            </w:r>
          </w:p>
        </w:tc>
        <w:tc>
          <w:tcPr>
            <w:tcW w:w="694" w:type="pct"/>
            <w:vAlign w:val="center"/>
          </w:tcPr>
          <w:p w14:paraId="05BCD1B2">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i w:val="0"/>
                <w:iCs w:val="0"/>
                <w:color w:val="000000"/>
                <w:kern w:val="0"/>
                <w:sz w:val="24"/>
                <w:szCs w:val="24"/>
                <w:highlight w:val="none"/>
                <w:u w:val="none"/>
                <w:shd w:val="clear" w:color="auto" w:fill="auto"/>
                <w:lang w:val="en-US" w:eastAsia="zh-CN" w:bidi="ar"/>
              </w:rPr>
              <w:t>评一般数</w:t>
            </w:r>
          </w:p>
        </w:tc>
        <w:tc>
          <w:tcPr>
            <w:tcW w:w="708" w:type="pct"/>
            <w:vAlign w:val="center"/>
          </w:tcPr>
          <w:p w14:paraId="05B07672">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b/>
                <w:bCs/>
                <w:sz w:val="24"/>
                <w:szCs w:val="24"/>
                <w:highlight w:val="none"/>
                <w:shd w:val="clear" w:color="auto" w:fill="auto"/>
                <w:vertAlign w:val="baseline"/>
                <w:lang w:val="en-US" w:eastAsia="zh-CN"/>
              </w:rPr>
            </w:pPr>
            <w:r>
              <w:rPr>
                <w:rFonts w:hint="eastAsia" w:ascii="Times New Roman" w:hAnsi="Times New Roman" w:eastAsia="仿宋" w:cs="仿宋"/>
                <w:b/>
                <w:bCs/>
                <w:i w:val="0"/>
                <w:iCs w:val="0"/>
                <w:color w:val="000000"/>
                <w:kern w:val="0"/>
                <w:sz w:val="24"/>
                <w:szCs w:val="24"/>
                <w:highlight w:val="none"/>
                <w:u w:val="none"/>
                <w:shd w:val="clear" w:color="auto" w:fill="auto"/>
                <w:lang w:val="en-US" w:eastAsia="zh-CN" w:bidi="ar"/>
              </w:rPr>
              <w:t>评较差数</w:t>
            </w:r>
          </w:p>
        </w:tc>
      </w:tr>
      <w:tr w14:paraId="45251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7C1A6BF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eastAsia="zh-CN"/>
              </w:rPr>
            </w:pPr>
            <w:r>
              <w:rPr>
                <w:rFonts w:hint="default" w:ascii="Times New Roman" w:hAnsi="Times New Roman" w:eastAsia="仿宋" w:cs="仿宋"/>
                <w:sz w:val="24"/>
                <w:szCs w:val="24"/>
                <w:highlight w:val="none"/>
                <w:shd w:val="clear" w:color="auto" w:fill="auto"/>
                <w:vertAlign w:val="baseline"/>
                <w:lang w:eastAsia="zh-CN"/>
              </w:rPr>
              <w:t>中共石家庄市委老干部局本级</w:t>
            </w:r>
          </w:p>
        </w:tc>
        <w:tc>
          <w:tcPr>
            <w:tcW w:w="532" w:type="pct"/>
            <w:vAlign w:val="center"/>
          </w:tcPr>
          <w:p w14:paraId="04DB927E">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13</w:t>
            </w:r>
          </w:p>
        </w:tc>
        <w:tc>
          <w:tcPr>
            <w:tcW w:w="562" w:type="pct"/>
            <w:shd w:val="clear" w:color="auto" w:fill="auto"/>
            <w:vAlign w:val="center"/>
          </w:tcPr>
          <w:p w14:paraId="77AA946A">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13</w:t>
            </w:r>
          </w:p>
        </w:tc>
        <w:tc>
          <w:tcPr>
            <w:tcW w:w="602" w:type="pct"/>
            <w:vAlign w:val="center"/>
          </w:tcPr>
          <w:p w14:paraId="6C45005B">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0</w:t>
            </w:r>
          </w:p>
        </w:tc>
        <w:tc>
          <w:tcPr>
            <w:tcW w:w="694" w:type="pct"/>
            <w:vAlign w:val="center"/>
          </w:tcPr>
          <w:p w14:paraId="6911738F">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6A9B366E">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r>
      <w:tr w14:paraId="536E6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4852A580">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石家庄市老年大学</w:t>
            </w:r>
          </w:p>
        </w:tc>
        <w:tc>
          <w:tcPr>
            <w:tcW w:w="532" w:type="pct"/>
            <w:vAlign w:val="center"/>
          </w:tcPr>
          <w:p w14:paraId="6C37440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14</w:t>
            </w:r>
          </w:p>
        </w:tc>
        <w:tc>
          <w:tcPr>
            <w:tcW w:w="562" w:type="pct"/>
            <w:shd w:val="clear" w:color="auto" w:fill="auto"/>
            <w:vAlign w:val="center"/>
          </w:tcPr>
          <w:p w14:paraId="539C37D0">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14</w:t>
            </w:r>
          </w:p>
        </w:tc>
        <w:tc>
          <w:tcPr>
            <w:tcW w:w="602" w:type="pct"/>
            <w:vAlign w:val="center"/>
          </w:tcPr>
          <w:p w14:paraId="28F4FDE8">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694" w:type="pct"/>
            <w:vAlign w:val="center"/>
          </w:tcPr>
          <w:p w14:paraId="0007840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28412703">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r>
      <w:tr w14:paraId="51899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585FB60B">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石家庄市老干部活动中心</w:t>
            </w:r>
          </w:p>
        </w:tc>
        <w:tc>
          <w:tcPr>
            <w:tcW w:w="532" w:type="pct"/>
            <w:vAlign w:val="center"/>
          </w:tcPr>
          <w:p w14:paraId="0317F312">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10</w:t>
            </w:r>
          </w:p>
        </w:tc>
        <w:tc>
          <w:tcPr>
            <w:tcW w:w="562" w:type="pct"/>
            <w:shd w:val="clear" w:color="auto" w:fill="auto"/>
            <w:vAlign w:val="center"/>
          </w:tcPr>
          <w:p w14:paraId="551B06FD">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eastAsia"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9</w:t>
            </w:r>
          </w:p>
        </w:tc>
        <w:tc>
          <w:tcPr>
            <w:tcW w:w="602" w:type="pct"/>
            <w:vAlign w:val="center"/>
          </w:tcPr>
          <w:p w14:paraId="7C8617F3">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0</w:t>
            </w:r>
          </w:p>
        </w:tc>
        <w:tc>
          <w:tcPr>
            <w:tcW w:w="694" w:type="pct"/>
            <w:vAlign w:val="center"/>
          </w:tcPr>
          <w:p w14:paraId="08327CF9">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5A5F23D4">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1</w:t>
            </w:r>
          </w:p>
        </w:tc>
      </w:tr>
      <w:tr w14:paraId="18A3C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46C9632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石家庄市老干部休养所</w:t>
            </w:r>
          </w:p>
        </w:tc>
        <w:tc>
          <w:tcPr>
            <w:tcW w:w="532" w:type="pct"/>
            <w:vAlign w:val="center"/>
          </w:tcPr>
          <w:p w14:paraId="09B500D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7</w:t>
            </w:r>
          </w:p>
        </w:tc>
        <w:tc>
          <w:tcPr>
            <w:tcW w:w="562" w:type="pct"/>
            <w:shd w:val="clear" w:color="auto" w:fill="auto"/>
            <w:vAlign w:val="center"/>
          </w:tcPr>
          <w:p w14:paraId="6B4F4600">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7</w:t>
            </w:r>
          </w:p>
        </w:tc>
        <w:tc>
          <w:tcPr>
            <w:tcW w:w="602" w:type="pct"/>
            <w:vAlign w:val="center"/>
          </w:tcPr>
          <w:p w14:paraId="7183409E">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694" w:type="pct"/>
            <w:vAlign w:val="center"/>
          </w:tcPr>
          <w:p w14:paraId="07A87245">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496B24A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r>
      <w:tr w14:paraId="76C08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1900" w:type="pct"/>
            <w:vAlign w:val="center"/>
          </w:tcPr>
          <w:p w14:paraId="4C999709">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合计</w:t>
            </w:r>
          </w:p>
        </w:tc>
        <w:tc>
          <w:tcPr>
            <w:tcW w:w="532" w:type="pct"/>
            <w:vAlign w:val="center"/>
          </w:tcPr>
          <w:p w14:paraId="612721E6">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44</w:t>
            </w:r>
          </w:p>
        </w:tc>
        <w:tc>
          <w:tcPr>
            <w:tcW w:w="562" w:type="pct"/>
            <w:shd w:val="clear" w:color="auto" w:fill="auto"/>
            <w:vAlign w:val="center"/>
          </w:tcPr>
          <w:p w14:paraId="0FECB3CB">
            <w:pPr>
              <w:keepNext w:val="0"/>
              <w:keepLines w:val="0"/>
              <w:pageBreakBefore w:val="0"/>
              <w:widowControl w:val="0"/>
              <w:shd w:val="clear"/>
              <w:kinsoku/>
              <w:wordWrap/>
              <w:overflowPunct/>
              <w:topLinePunct w:val="0"/>
              <w:autoSpaceDE/>
              <w:autoSpaceDN/>
              <w:bidi w:val="0"/>
              <w:adjustRightInd/>
              <w:snapToGrid w:val="0"/>
              <w:spacing w:line="240" w:lineRule="auto"/>
              <w:ind w:right="0" w:rightChars="0"/>
              <w:jc w:val="center"/>
              <w:textAlignment w:val="auto"/>
              <w:outlineLvl w:val="9"/>
              <w:rPr>
                <w:rFonts w:hint="default" w:ascii="Times New Roman" w:hAnsi="Times New Roman" w:eastAsia="仿宋" w:cs="仿宋"/>
                <w:kern w:val="2"/>
                <w:sz w:val="24"/>
                <w:szCs w:val="24"/>
                <w:highlight w:val="none"/>
                <w:shd w:val="clear" w:color="auto" w:fill="auto"/>
                <w:vertAlign w:val="baseline"/>
                <w:lang w:val="en-US" w:eastAsia="zh-CN" w:bidi="ar-SA"/>
              </w:rPr>
            </w:pPr>
            <w:r>
              <w:rPr>
                <w:rFonts w:hint="eastAsia" w:eastAsia="仿宋" w:cs="仿宋"/>
                <w:sz w:val="24"/>
                <w:szCs w:val="24"/>
                <w:highlight w:val="none"/>
                <w:shd w:val="clear" w:color="auto" w:fill="auto"/>
                <w:vertAlign w:val="baseline"/>
                <w:lang w:val="en-US" w:eastAsia="zh-CN"/>
              </w:rPr>
              <w:t>43</w:t>
            </w:r>
          </w:p>
        </w:tc>
        <w:tc>
          <w:tcPr>
            <w:tcW w:w="602" w:type="pct"/>
            <w:vAlign w:val="center"/>
          </w:tcPr>
          <w:p w14:paraId="5909DA91">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eastAsia="仿宋" w:cs="仿宋"/>
                <w:sz w:val="24"/>
                <w:szCs w:val="24"/>
                <w:highlight w:val="none"/>
                <w:shd w:val="clear" w:color="auto" w:fill="auto"/>
                <w:vertAlign w:val="baseline"/>
                <w:lang w:val="en-US" w:eastAsia="zh-CN"/>
              </w:rPr>
              <w:t>0</w:t>
            </w:r>
          </w:p>
        </w:tc>
        <w:tc>
          <w:tcPr>
            <w:tcW w:w="694" w:type="pct"/>
            <w:vAlign w:val="center"/>
          </w:tcPr>
          <w:p w14:paraId="13E6F8EB">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eastAsia"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0</w:t>
            </w:r>
          </w:p>
        </w:tc>
        <w:tc>
          <w:tcPr>
            <w:tcW w:w="708" w:type="pct"/>
            <w:vAlign w:val="center"/>
          </w:tcPr>
          <w:p w14:paraId="6828B96A">
            <w:pPr>
              <w:keepNext w:val="0"/>
              <w:keepLines w:val="0"/>
              <w:pageBreakBefore w:val="0"/>
              <w:widowControl w:val="0"/>
              <w:shd w:val="clear"/>
              <w:kinsoku/>
              <w:wordWrap/>
              <w:overflowPunct/>
              <w:topLinePunct w:val="0"/>
              <w:autoSpaceDE/>
              <w:autoSpaceDN/>
              <w:bidi w:val="0"/>
              <w:adjustRightInd/>
              <w:snapToGrid w:val="0"/>
              <w:spacing w:line="240" w:lineRule="auto"/>
              <w:ind w:right="0"/>
              <w:jc w:val="center"/>
              <w:textAlignment w:val="auto"/>
              <w:outlineLvl w:val="9"/>
              <w:rPr>
                <w:rFonts w:hint="default" w:ascii="Times New Roman" w:hAnsi="Times New Roman" w:eastAsia="仿宋" w:cs="仿宋"/>
                <w:sz w:val="24"/>
                <w:szCs w:val="24"/>
                <w:highlight w:val="none"/>
                <w:shd w:val="clear" w:color="auto" w:fill="auto"/>
                <w:vertAlign w:val="baseline"/>
                <w:lang w:val="en-US" w:eastAsia="zh-CN"/>
              </w:rPr>
            </w:pPr>
            <w:r>
              <w:rPr>
                <w:rFonts w:hint="eastAsia" w:ascii="Times New Roman" w:hAnsi="Times New Roman" w:eastAsia="仿宋" w:cs="仿宋"/>
                <w:sz w:val="24"/>
                <w:szCs w:val="24"/>
                <w:highlight w:val="none"/>
                <w:shd w:val="clear" w:color="auto" w:fill="auto"/>
                <w:vertAlign w:val="baseline"/>
                <w:lang w:val="en-US" w:eastAsia="zh-CN"/>
              </w:rPr>
              <w:t>1</w:t>
            </w:r>
          </w:p>
        </w:tc>
      </w:tr>
    </w:tbl>
    <w:p w14:paraId="6C106E66">
      <w:pPr>
        <w:keepNext w:val="0"/>
        <w:keepLines w:val="0"/>
        <w:pageBreakBefore w:val="0"/>
        <w:widowControl w:val="0"/>
        <w:shd w:val="clear"/>
        <w:kinsoku/>
        <w:wordWrap/>
        <w:overflowPunct/>
        <w:topLinePunct w:val="0"/>
        <w:autoSpaceDE/>
        <w:autoSpaceDN/>
        <w:bidi w:val="0"/>
        <w:adjustRightInd/>
        <w:snapToGrid/>
        <w:spacing w:after="157" w:afterLines="50" w:line="560" w:lineRule="exact"/>
        <w:ind w:firstLine="640" w:firstLineChars="200"/>
        <w:textAlignment w:val="auto"/>
        <w:rPr>
          <w:rFonts w:hint="eastAsia" w:ascii="Times New Roman" w:hAnsi="Times New Roman" w:eastAsia="仿宋_GB2312" w:cs="仿宋_GB2312"/>
          <w:color w:val="auto"/>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eastAsia="zh-CN"/>
        </w:rPr>
        <w:t>参与本次评价的项目共计</w:t>
      </w:r>
      <w:r>
        <w:rPr>
          <w:rFonts w:hint="eastAsia" w:eastAsia="仿宋_GB2312" w:cs="仿宋_GB2312"/>
          <w:sz w:val="32"/>
          <w:szCs w:val="32"/>
          <w:highlight w:val="none"/>
          <w:shd w:val="clear" w:color="auto" w:fill="auto"/>
          <w:lang w:val="en-US" w:eastAsia="zh-CN"/>
        </w:rPr>
        <w:t>44</w:t>
      </w:r>
      <w:r>
        <w:rPr>
          <w:rFonts w:hint="eastAsia" w:ascii="Times New Roman" w:hAnsi="Times New Roman" w:eastAsia="仿宋_GB2312" w:cs="仿宋_GB2312"/>
          <w:sz w:val="32"/>
          <w:szCs w:val="32"/>
          <w:highlight w:val="none"/>
          <w:shd w:val="clear" w:color="auto" w:fill="auto"/>
          <w:lang w:eastAsia="zh-CN"/>
        </w:rPr>
        <w:t>个，绩效自评整体平均分数</w:t>
      </w:r>
      <w:r>
        <w:rPr>
          <w:rFonts w:hint="eastAsia" w:ascii="Times New Roman" w:hAnsi="Times New Roman" w:eastAsia="仿宋_GB2312" w:cs="仿宋_GB2312"/>
          <w:sz w:val="32"/>
          <w:szCs w:val="32"/>
          <w:highlight w:val="none"/>
          <w:shd w:val="clear" w:color="auto" w:fill="auto"/>
          <w:lang w:val="en-US" w:eastAsia="zh-CN"/>
        </w:rPr>
        <w:t>为</w:t>
      </w:r>
      <w:r>
        <w:rPr>
          <w:rFonts w:hint="eastAsia" w:eastAsia="仿宋_GB2312" w:cs="仿宋_GB2312"/>
          <w:sz w:val="32"/>
          <w:szCs w:val="32"/>
          <w:highlight w:val="none"/>
          <w:shd w:val="clear" w:color="auto" w:fill="auto"/>
          <w:lang w:val="en-US" w:eastAsia="zh-CN"/>
        </w:rPr>
        <w:t>97.7</w:t>
      </w:r>
      <w:r>
        <w:rPr>
          <w:rFonts w:hint="eastAsia" w:ascii="Times New Roman" w:hAnsi="Times New Roman" w:eastAsia="仿宋_GB2312" w:cs="仿宋_GB2312"/>
          <w:sz w:val="32"/>
          <w:szCs w:val="32"/>
          <w:highlight w:val="none"/>
          <w:shd w:val="clear" w:color="auto" w:fill="auto"/>
          <w:lang w:eastAsia="zh-CN"/>
        </w:rPr>
        <w:t>分。</w:t>
      </w:r>
      <w:r>
        <w:rPr>
          <w:rFonts w:hint="eastAsia" w:ascii="Times New Roman" w:hAnsi="Times New Roman" w:eastAsia="仿宋_GB2312" w:cs="仿宋_GB2312"/>
          <w:sz w:val="32"/>
          <w:szCs w:val="32"/>
          <w:highlight w:val="none"/>
          <w:shd w:val="clear" w:color="auto" w:fill="auto"/>
          <w:lang w:val="en-US" w:eastAsia="zh-CN"/>
        </w:rPr>
        <w:t>202</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lang w:val="en-US" w:eastAsia="zh-CN"/>
        </w:rPr>
        <w:t>年度</w:t>
      </w:r>
      <w:r>
        <w:rPr>
          <w:rFonts w:hint="eastAsia" w:eastAsia="仿宋_GB2312" w:cs="仿宋_GB2312"/>
          <w:color w:val="auto"/>
          <w:sz w:val="32"/>
          <w:szCs w:val="32"/>
          <w:highlight w:val="none"/>
          <w:shd w:val="clear" w:color="auto" w:fill="auto"/>
          <w:lang w:val="en-US" w:eastAsia="zh-CN"/>
        </w:rPr>
        <w:t>我部门</w:t>
      </w:r>
      <w:r>
        <w:rPr>
          <w:rFonts w:hint="eastAsia" w:ascii="Times New Roman" w:hAnsi="Times New Roman" w:eastAsia="仿宋_GB2312" w:cs="仿宋_GB2312"/>
          <w:color w:val="auto"/>
          <w:sz w:val="32"/>
          <w:szCs w:val="32"/>
          <w:highlight w:val="none"/>
          <w:shd w:val="clear" w:color="auto" w:fill="auto"/>
          <w:lang w:val="en-US" w:eastAsia="zh-CN"/>
        </w:rPr>
        <w:t>局机关及下属单位共同完成了全面加强新时代离退休干部党的建设、突出服务大局，积极引导广大离退休干部发挥作用、用心用情做好离退休干部服务管理工作等目标。绩效指标完成情况如下：</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44"/>
        <w:gridCol w:w="2529"/>
        <w:gridCol w:w="1543"/>
        <w:gridCol w:w="857"/>
        <w:gridCol w:w="3714"/>
      </w:tblGrid>
      <w:tr w14:paraId="36904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5" w:hRule="atLeast"/>
        </w:trPr>
        <w:tc>
          <w:tcPr>
            <w:tcW w:w="346" w:type="pct"/>
            <w:tcBorders>
              <w:top w:val="single" w:color="000000" w:sz="4" w:space="0"/>
              <w:left w:val="single" w:color="000000" w:sz="4" w:space="0"/>
              <w:bottom w:val="nil"/>
              <w:right w:val="single" w:color="000000" w:sz="4" w:space="0"/>
            </w:tcBorders>
            <w:shd w:val="clear" w:color="auto" w:fill="auto"/>
            <w:vAlign w:val="center"/>
          </w:tcPr>
          <w:p w14:paraId="47D805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bookmarkStart w:id="10" w:name="_Toc24932"/>
            <w:r>
              <w:rPr>
                <w:rFonts w:hint="eastAsia" w:asciiTheme="minorEastAsia" w:hAnsiTheme="minorEastAsia" w:eastAsiaTheme="minorEastAsia" w:cstheme="minorEastAsia"/>
                <w:i w:val="0"/>
                <w:iCs w:val="0"/>
                <w:color w:val="000000"/>
                <w:kern w:val="0"/>
                <w:sz w:val="21"/>
                <w:szCs w:val="21"/>
                <w:u w:val="none"/>
                <w:lang w:val="en-US" w:eastAsia="zh-CN" w:bidi="ar"/>
              </w:rPr>
              <w:t>序号</w:t>
            </w:r>
          </w:p>
        </w:tc>
        <w:tc>
          <w:tcPr>
            <w:tcW w:w="1361" w:type="pct"/>
            <w:tcBorders>
              <w:top w:val="single" w:color="000000" w:sz="4" w:space="0"/>
              <w:left w:val="single" w:color="000000" w:sz="4" w:space="0"/>
              <w:bottom w:val="nil"/>
              <w:right w:val="single" w:color="000000" w:sz="4" w:space="0"/>
            </w:tcBorders>
            <w:shd w:val="clear" w:color="auto" w:fill="auto"/>
            <w:vAlign w:val="center"/>
          </w:tcPr>
          <w:p w14:paraId="3AB20A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主管部门</w:t>
            </w:r>
          </w:p>
        </w:tc>
        <w:tc>
          <w:tcPr>
            <w:tcW w:w="830" w:type="pct"/>
            <w:tcBorders>
              <w:top w:val="single" w:color="000000" w:sz="4" w:space="0"/>
              <w:left w:val="single" w:color="000000" w:sz="4" w:space="0"/>
              <w:bottom w:val="nil"/>
              <w:right w:val="single" w:color="000000" w:sz="4" w:space="0"/>
            </w:tcBorders>
            <w:shd w:val="clear" w:color="auto" w:fill="auto"/>
            <w:vAlign w:val="center"/>
          </w:tcPr>
          <w:p w14:paraId="1BADEF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项目名称</w:t>
            </w:r>
          </w:p>
        </w:tc>
        <w:tc>
          <w:tcPr>
            <w:tcW w:w="461" w:type="pct"/>
            <w:tcBorders>
              <w:top w:val="single" w:color="000000" w:sz="4" w:space="0"/>
              <w:left w:val="single" w:color="000000" w:sz="4" w:space="0"/>
              <w:bottom w:val="nil"/>
              <w:right w:val="single" w:color="000000" w:sz="4" w:space="0"/>
            </w:tcBorders>
            <w:shd w:val="clear" w:color="auto" w:fill="auto"/>
            <w:vAlign w:val="center"/>
          </w:tcPr>
          <w:p w14:paraId="4120A7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自评得分</w:t>
            </w:r>
          </w:p>
        </w:tc>
        <w:tc>
          <w:tcPr>
            <w:tcW w:w="1999" w:type="pct"/>
            <w:tcBorders>
              <w:top w:val="single" w:color="000000" w:sz="4" w:space="0"/>
              <w:left w:val="single" w:color="000000" w:sz="4" w:space="0"/>
              <w:bottom w:val="nil"/>
              <w:right w:val="single" w:color="000000" w:sz="4" w:space="0"/>
            </w:tcBorders>
            <w:shd w:val="clear" w:color="auto" w:fill="auto"/>
            <w:vAlign w:val="center"/>
          </w:tcPr>
          <w:p w14:paraId="6EC882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核查发现问题</w:t>
            </w:r>
          </w:p>
        </w:tc>
      </w:tr>
      <w:tr w14:paraId="75DEC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05C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E56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6B898">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文件资料印刷费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628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10B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60AF0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386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B58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87FD7">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办公设备购置费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2F7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CE8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074EE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F70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8CB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005CF">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业务咨询委托费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8E0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99.95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143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据实支付，结余资金已退回财政</w:t>
            </w:r>
          </w:p>
        </w:tc>
      </w:tr>
      <w:tr w14:paraId="6F929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BDF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4</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690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4AA45">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业务培训费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AA5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99.43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346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按上级要求倡行厉行节约，压缩一部分资金，已收回财政。</w:t>
            </w:r>
          </w:p>
        </w:tc>
      </w:tr>
      <w:tr w14:paraId="51A81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051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5</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3E3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77DF8">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党组织活动经费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819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17E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02B6F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8B9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6</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594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1CF2D">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关工委工作经费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003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4D3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0FB18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ED9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7</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DDC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15FDF">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破产改制企业离休干部上收管理</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3A7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99.98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B20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按标准按人数资金已拨付到位</w:t>
            </w:r>
          </w:p>
        </w:tc>
      </w:tr>
      <w:tr w14:paraId="329DD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511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8</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1E1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AEF3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老干部工作保障经费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C3B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D6D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031EF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3EA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9</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21F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8A73E">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困难离退休干部帮扶资金</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E00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1A9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4A50C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D0E2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10</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844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5BAF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离退休干部纪录片经费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3EA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99.83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6FB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据实支付，结余资金已退回财政</w:t>
            </w:r>
          </w:p>
        </w:tc>
      </w:tr>
      <w:tr w14:paraId="76039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715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11</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532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95177">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困难事业单位离休干部离休费统筹外有关待遇经费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892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99.21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DE6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按标准按人数资金已拨付到位</w:t>
            </w:r>
          </w:p>
        </w:tc>
      </w:tr>
      <w:tr w14:paraId="5E819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CA2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12</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71C1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485A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老年书画研究会经费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40D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100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00A49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8DF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13</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96B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石家庄市委老干部局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FA7B7">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新中国成立75周年老干部慰问经费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627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B57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203CE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2ED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14</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4F6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9B323">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文件资料印刷费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86E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7A4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3273B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751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15</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171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0615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办公设备购置费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130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FB5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6A67E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CC87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16</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04C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21D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党组织活动经费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0B0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E2F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51634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A2B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17</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2B5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595D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业务咨询委托费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4C3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CA3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06289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3D9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18</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2EDC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C6AFF">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业务培训费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623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BD4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60763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CD9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19</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C2EE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8A503">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单位运行电费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DB8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EAC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757EA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CBC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20</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657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42EC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劳动聘用人员经费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5D1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F84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7807A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AC0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21</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664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694D3">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教学成果展示经费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AE0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0DC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61EE0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F53A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22</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248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9B1AE">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老年教育发展经费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24EB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A3F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58857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AA4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23</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805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F597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老年大学教师经费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F4D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D9B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1DF07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DDD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24</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2FF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A6720">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教学工作保障经费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50A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9BE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22749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3E4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25</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7E31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495FF">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物业管理费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7D2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99.75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CFF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据实支付，结余资金已退回财政</w:t>
            </w:r>
          </w:p>
        </w:tc>
      </w:tr>
      <w:tr w14:paraId="679D1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7"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7DA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26</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0E2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A391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老年大学世纪校区租赁费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B64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079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0CB79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6"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080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27</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691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石家庄市老年大学</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C3C852">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劳动聘用人员追加经费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BCA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8B6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49118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7"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3AF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28</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EE0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CB8D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办公设备购置费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903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A08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0F05F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6"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543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29</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868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001A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党组织活动经费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C413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D05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7AFEC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7"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0F8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30</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351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AF648">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设备购置费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0C9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41D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52A92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FA8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31</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09A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231D0">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电梯更换项目经费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2D9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2.32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0C45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部门申请结转至2025年支付，该项目于2024年7月完成政府采购招标并签订了合同，后因中心楼顶设有大气污染国控点，未能如期开工。该项目拟于25年取暖期结束后进行施工，待竣工结算后支付资金。</w:t>
            </w:r>
          </w:p>
        </w:tc>
      </w:tr>
      <w:tr w14:paraId="5F52F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080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32</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517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198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单位运行电费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7C2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E55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24310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08A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33</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3FA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3E958">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活动场馆保障经费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97B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99.99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EF9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据实支付，结余资金已退回财政</w:t>
            </w:r>
          </w:p>
        </w:tc>
      </w:tr>
      <w:tr w14:paraId="5C16E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AED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34</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C32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AC51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劳动聘用人员经费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9FF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95A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7C74E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3"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968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35</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EF2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9BA3D">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物业管理费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D71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99.98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2BC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据实支付，结余资金已退回财政</w:t>
            </w:r>
          </w:p>
        </w:tc>
      </w:tr>
      <w:tr w14:paraId="4726F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1C33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36</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826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7B1AC">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老干部游艺活动经费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0D2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505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18CFC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1E4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37</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753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石家庄市老干部活动中心</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35B5D">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劳动聘用人员追加经费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82CF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755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1D9E8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A50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38</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3D1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石家庄市老干部休养所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777D8">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办公设备购置费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171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100.00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3D3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78B8D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D1B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39</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A93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石家庄市老干部休养所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D6C8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党组织活动经费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F86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98.07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57075">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根据年初指定工作目标，党员培训活动2次。下一步更加积极开展党组织活动，提高党员政治觉悟和政治素养，增强党性修养。</w:t>
            </w:r>
          </w:p>
        </w:tc>
      </w:tr>
      <w:tr w14:paraId="4A10C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9AB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40</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469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石家庄市老干部休养所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0D61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老干部慰问及游艺活动经费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2AE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 xml:space="preserve">99.98 </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F4D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highlight w:val="none"/>
                <w:u w:val="none"/>
                <w:shd w:val="clear" w:color="auto" w:fill="auto"/>
              </w:rPr>
            </w:pPr>
            <w:r>
              <w:rPr>
                <w:rFonts w:hint="eastAsia" w:asciiTheme="minorEastAsia" w:hAnsiTheme="minorEastAsia" w:eastAsiaTheme="minorEastAsia" w:cstheme="minorEastAsia"/>
                <w:i w:val="0"/>
                <w:iCs w:val="0"/>
                <w:color w:val="000000"/>
                <w:kern w:val="0"/>
                <w:sz w:val="21"/>
                <w:szCs w:val="21"/>
                <w:u w:val="none"/>
                <w:lang w:val="en-US" w:eastAsia="zh-CN" w:bidi="ar"/>
              </w:rPr>
              <w:t>据实支付，结余资金已退回财政</w:t>
            </w:r>
          </w:p>
        </w:tc>
      </w:tr>
      <w:tr w14:paraId="0C35B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8A355">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41</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669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石家庄市老干部休养所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08E227">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劳动聘用人员经费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6A57E">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100</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032F1">
            <w:pPr>
              <w:keepNext w:val="0"/>
              <w:keepLines w:val="0"/>
              <w:widowControl/>
              <w:suppressLineNumbers w:val="0"/>
              <w:jc w:val="center"/>
              <w:textAlignment w:val="center"/>
              <w:rPr>
                <w:rFonts w:hint="default"/>
                <w:lang w:val="en-US" w:eastAsia="zh-CN"/>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40AD1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1992F">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42</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EA8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石家庄市老干部休养所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EE1BF">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干休所工作保障经费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A99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99.99</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8DA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据实支付，结余资金已退回财政</w:t>
            </w:r>
          </w:p>
        </w:tc>
      </w:tr>
      <w:tr w14:paraId="6DB1F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5E200">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43</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713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石家庄市老干部休养所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58333">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物业管理费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26A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100</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C3459">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r w14:paraId="4928A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B2E00">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44</w:t>
            </w:r>
          </w:p>
        </w:tc>
        <w:tc>
          <w:tcPr>
            <w:tcW w:w="13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BF7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石家庄市老干部休养所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23743">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劳动聘用人员追加经费</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4D9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100</w:t>
            </w:r>
          </w:p>
        </w:tc>
        <w:tc>
          <w:tcPr>
            <w:tcW w:w="19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C3690">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无</w:t>
            </w:r>
          </w:p>
        </w:tc>
      </w:tr>
    </w:tbl>
    <w:p w14:paraId="35243FE4">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11" w:name="_Toc8716"/>
      <w:r>
        <w:rPr>
          <w:rFonts w:hint="eastAsia" w:ascii="Times New Roman" w:hAnsi="Times New Roman" w:eastAsia="楷体" w:cs="楷体"/>
          <w:sz w:val="32"/>
          <w:szCs w:val="32"/>
          <w:highlight w:val="none"/>
          <w:shd w:val="clear" w:color="auto" w:fill="auto"/>
          <w:lang w:val="en-US" w:eastAsia="zh-CN"/>
        </w:rPr>
        <w:t>（三）存在的问题及原因</w:t>
      </w:r>
      <w:bookmarkEnd w:id="10"/>
      <w:bookmarkEnd w:id="11"/>
    </w:p>
    <w:p w14:paraId="5ECBAD3B">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黑体" w:cs="黑体"/>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lang w:val="en-US" w:eastAsia="zh-CN"/>
        </w:rPr>
        <w:t>本次参与的4</w:t>
      </w:r>
      <w:r>
        <w:rPr>
          <w:rFonts w:hint="eastAsia" w:eastAsia="仿宋_GB2312" w:cs="仿宋_GB2312"/>
          <w:sz w:val="32"/>
          <w:szCs w:val="32"/>
          <w:highlight w:val="none"/>
          <w:shd w:val="clear" w:color="auto" w:fill="auto"/>
          <w:lang w:val="en-US" w:eastAsia="zh-CN"/>
        </w:rPr>
        <w:t>4</w:t>
      </w:r>
      <w:r>
        <w:rPr>
          <w:rFonts w:hint="eastAsia" w:ascii="Times New Roman" w:hAnsi="Times New Roman" w:eastAsia="仿宋_GB2312" w:cs="仿宋_GB2312"/>
          <w:sz w:val="32"/>
          <w:szCs w:val="32"/>
          <w:highlight w:val="none"/>
          <w:shd w:val="clear" w:color="auto" w:fill="auto"/>
          <w:lang w:val="en-US" w:eastAsia="zh-CN"/>
        </w:rPr>
        <w:t>个项目</w:t>
      </w:r>
      <w:r>
        <w:rPr>
          <w:rFonts w:hint="eastAsia" w:eastAsia="仿宋_GB2312" w:cs="仿宋_GB2312"/>
          <w:sz w:val="32"/>
          <w:szCs w:val="32"/>
          <w:highlight w:val="none"/>
          <w:shd w:val="clear" w:color="auto" w:fill="auto"/>
          <w:lang w:val="en-US" w:eastAsia="zh-CN"/>
        </w:rPr>
        <w:t>其中43个项目</w:t>
      </w:r>
      <w:r>
        <w:rPr>
          <w:rFonts w:hint="eastAsia" w:ascii="Times New Roman" w:hAnsi="Times New Roman" w:eastAsia="仿宋_GB2312" w:cs="仿宋_GB2312"/>
          <w:sz w:val="32"/>
          <w:szCs w:val="32"/>
          <w:highlight w:val="none"/>
          <w:shd w:val="clear" w:color="auto" w:fill="auto"/>
          <w:lang w:val="en-US" w:eastAsia="zh-CN"/>
        </w:rPr>
        <w:t>均较好的完成了预期绩效目标，评价结果为“优”，</w:t>
      </w:r>
      <w:r>
        <w:rPr>
          <w:rFonts w:hint="eastAsia" w:eastAsia="仿宋_GB2312" w:cs="仿宋_GB2312"/>
          <w:sz w:val="32"/>
          <w:szCs w:val="32"/>
          <w:highlight w:val="none"/>
          <w:shd w:val="clear" w:color="auto" w:fill="auto"/>
          <w:lang w:val="en-US" w:eastAsia="zh-CN"/>
        </w:rPr>
        <w:t>只有一个项目：石家庄市老干部活动中心—电梯更换项目经费自评得分2.23分，部门已申请结转至2025年支付，该项目于2024年7月完成政府采购招标并签订了合同，后因中心楼顶设有大气污染国控点，未能如期开工。该项目拟于2025年取暖期结束后进行施工，待竣工结算后支付资金。</w:t>
      </w:r>
    </w:p>
    <w:p w14:paraId="41C2C748">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0"/>
        <w:rPr>
          <w:rFonts w:hint="eastAsia" w:ascii="Times New Roman" w:hAnsi="Times New Roman" w:eastAsia="黑体" w:cs="黑体"/>
          <w:sz w:val="32"/>
          <w:szCs w:val="32"/>
          <w:highlight w:val="none"/>
          <w:shd w:val="clear" w:color="auto" w:fill="auto"/>
        </w:rPr>
      </w:pPr>
      <w:bookmarkStart w:id="12" w:name="_Toc27064"/>
      <w:r>
        <w:rPr>
          <w:rFonts w:hint="eastAsia" w:ascii="Times New Roman" w:hAnsi="Times New Roman" w:eastAsia="黑体" w:cs="黑体"/>
          <w:sz w:val="32"/>
          <w:szCs w:val="32"/>
          <w:highlight w:val="none"/>
          <w:shd w:val="clear" w:color="auto" w:fill="auto"/>
        </w:rPr>
        <w:t>三、绩效目标设定质量情况</w:t>
      </w:r>
      <w:bookmarkEnd w:id="12"/>
    </w:p>
    <w:p w14:paraId="442381A0">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评价的项目通过绩效自评结果与年初绩效目标进行对比，对比结果反映在以下</w:t>
      </w:r>
      <w:r>
        <w:rPr>
          <w:rFonts w:hint="eastAsia" w:eastAsia="仿宋_GB2312" w:cs="仿宋_GB2312"/>
          <w:sz w:val="32"/>
          <w:szCs w:val="32"/>
          <w:highlight w:val="none"/>
          <w:shd w:val="clear" w:color="auto" w:fill="auto"/>
          <w:lang w:val="en-US" w:eastAsia="zh-CN"/>
        </w:rPr>
        <w:t>四</w:t>
      </w:r>
      <w:r>
        <w:rPr>
          <w:rFonts w:hint="eastAsia" w:ascii="Times New Roman" w:hAnsi="Times New Roman" w:eastAsia="仿宋_GB2312" w:cs="仿宋_GB2312"/>
          <w:sz w:val="32"/>
          <w:szCs w:val="32"/>
          <w:highlight w:val="none"/>
          <w:shd w:val="clear" w:color="auto" w:fill="auto"/>
        </w:rPr>
        <w:t>个方面：</w:t>
      </w:r>
    </w:p>
    <w:p w14:paraId="0B11E575">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3"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b/>
          <w:bCs/>
          <w:sz w:val="32"/>
          <w:szCs w:val="32"/>
          <w:highlight w:val="none"/>
          <w:shd w:val="clear" w:color="auto" w:fill="auto"/>
        </w:rPr>
        <w:t>一是</w:t>
      </w:r>
      <w:r>
        <w:rPr>
          <w:rFonts w:hint="eastAsia" w:ascii="Times New Roman" w:hAnsi="Times New Roman" w:eastAsia="仿宋_GB2312" w:cs="仿宋_GB2312"/>
          <w:sz w:val="32"/>
          <w:szCs w:val="32"/>
          <w:highlight w:val="none"/>
          <w:shd w:val="clear" w:color="auto" w:fill="auto"/>
        </w:rPr>
        <w:t>绩效目标设定依据清晰准确，指向明确，能够清晰准确反映预算资金的预期产出和效果，并以相应的绩效指标从数量、质量、成本、时效等方面予以细化、量化。</w:t>
      </w:r>
    </w:p>
    <w:p w14:paraId="25EC07BF">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3"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b/>
          <w:bCs/>
          <w:sz w:val="32"/>
          <w:szCs w:val="32"/>
          <w:highlight w:val="none"/>
          <w:shd w:val="clear" w:color="auto" w:fill="auto"/>
        </w:rPr>
        <w:t>二是</w:t>
      </w:r>
      <w:r>
        <w:rPr>
          <w:rFonts w:hint="eastAsia" w:ascii="Times New Roman" w:hAnsi="Times New Roman" w:eastAsia="仿宋_GB2312" w:cs="仿宋_GB2312"/>
          <w:sz w:val="32"/>
          <w:szCs w:val="32"/>
          <w:highlight w:val="none"/>
          <w:shd w:val="clear" w:color="auto" w:fill="auto"/>
        </w:rPr>
        <w:t>绩效指标能够围绕绩效目标来设定，从总体来看全面完整，科学合理，易于评价，能够反映被评价项目的实际情况。</w:t>
      </w:r>
    </w:p>
    <w:p w14:paraId="364691B6">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3" w:firstLineChars="200"/>
        <w:textAlignment w:val="auto"/>
        <w:outlineLvl w:val="9"/>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b/>
          <w:bCs/>
          <w:sz w:val="32"/>
          <w:szCs w:val="32"/>
          <w:highlight w:val="none"/>
          <w:shd w:val="clear" w:color="auto" w:fill="auto"/>
        </w:rPr>
        <w:t>三是</w:t>
      </w:r>
      <w:r>
        <w:rPr>
          <w:rFonts w:hint="eastAsia" w:ascii="Times New Roman" w:hAnsi="Times New Roman" w:eastAsia="仿宋_GB2312" w:cs="仿宋_GB2312"/>
          <w:sz w:val="32"/>
          <w:szCs w:val="32"/>
          <w:highlight w:val="none"/>
          <w:shd w:val="clear" w:color="auto" w:fill="auto"/>
        </w:rPr>
        <w:t>绩效标准切实可行，客观合理，能够实际执行或实现，大部分预算资金额与实际支出资金量相匹配。但是个别项目预算执行率不高，预算编制精准度尚待提高。</w:t>
      </w:r>
    </w:p>
    <w:p w14:paraId="3296FA47">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3" w:firstLineChars="200"/>
        <w:textAlignment w:val="auto"/>
        <w:outlineLvl w:val="9"/>
        <w:rPr>
          <w:rFonts w:hint="default"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b/>
          <w:bCs/>
          <w:sz w:val="32"/>
          <w:szCs w:val="32"/>
          <w:highlight w:val="none"/>
          <w:shd w:val="clear" w:color="auto" w:fill="auto"/>
          <w:lang w:val="en-US" w:eastAsia="zh-CN"/>
        </w:rPr>
        <w:t>四是</w:t>
      </w:r>
      <w:r>
        <w:rPr>
          <w:rFonts w:hint="eastAsia" w:ascii="Times New Roman" w:hAnsi="Times New Roman" w:eastAsia="仿宋_GB2312" w:cs="仿宋_GB2312"/>
          <w:sz w:val="32"/>
          <w:szCs w:val="32"/>
          <w:highlight w:val="none"/>
          <w:shd w:val="clear" w:color="auto" w:fill="auto"/>
          <w:lang w:val="en-US" w:eastAsia="zh-CN"/>
        </w:rPr>
        <w:t>部分项目绩效指标设定不够</w:t>
      </w:r>
      <w:r>
        <w:rPr>
          <w:rFonts w:hint="eastAsia" w:eastAsia="仿宋_GB2312" w:cs="仿宋_GB2312"/>
          <w:sz w:val="32"/>
          <w:szCs w:val="32"/>
          <w:highlight w:val="none"/>
          <w:shd w:val="clear" w:color="auto" w:fill="auto"/>
          <w:lang w:val="en-US" w:eastAsia="zh-CN"/>
        </w:rPr>
        <w:t>全面，不能完全覆盖项目实施的各个方面、角度。</w:t>
      </w:r>
    </w:p>
    <w:p w14:paraId="2CF80CB3">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Times New Roman" w:hAnsi="Times New Roman" w:eastAsia="黑体" w:cs="黑体"/>
          <w:sz w:val="32"/>
          <w:szCs w:val="32"/>
          <w:highlight w:val="none"/>
          <w:shd w:val="clear" w:color="auto" w:fill="auto"/>
        </w:rPr>
      </w:pPr>
    </w:p>
    <w:p w14:paraId="562B64E6">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0"/>
        <w:rPr>
          <w:rFonts w:hint="eastAsia" w:ascii="Times New Roman" w:hAnsi="Times New Roman" w:eastAsia="黑体" w:cs="黑体"/>
          <w:sz w:val="32"/>
          <w:szCs w:val="32"/>
          <w:highlight w:val="none"/>
          <w:shd w:val="clear" w:color="auto" w:fill="auto"/>
        </w:rPr>
      </w:pPr>
      <w:bookmarkStart w:id="13" w:name="_Toc2331"/>
      <w:r>
        <w:rPr>
          <w:rFonts w:hint="eastAsia" w:ascii="Times New Roman" w:hAnsi="Times New Roman" w:eastAsia="黑体" w:cs="黑体"/>
          <w:sz w:val="32"/>
          <w:szCs w:val="32"/>
          <w:highlight w:val="none"/>
          <w:shd w:val="clear" w:color="auto" w:fill="auto"/>
        </w:rPr>
        <w:t>四、整改措施及结果应用</w:t>
      </w:r>
      <w:bookmarkEnd w:id="13"/>
    </w:p>
    <w:p w14:paraId="2DCF7B0A">
      <w:pPr>
        <w:keepNext w:val="0"/>
        <w:keepLines w:val="0"/>
        <w:pageBreakBefore w:val="0"/>
        <w:widowControl w:val="0"/>
        <w:shd w:val="clear"/>
        <w:kinsoku/>
        <w:wordWrap/>
        <w:overflowPunct/>
        <w:topLinePunct w:val="0"/>
        <w:autoSpaceDE/>
        <w:autoSpaceDN/>
        <w:bidi w:val="0"/>
        <w:adjustRightInd/>
        <w:snapToGrid w:val="0"/>
        <w:spacing w:line="560" w:lineRule="exact"/>
        <w:ind w:left="0" w:firstLine="640" w:firstLineChars="200"/>
        <w:textAlignment w:val="auto"/>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整体看，</w:t>
      </w:r>
      <w:r>
        <w:rPr>
          <w:rFonts w:hint="eastAsia" w:eastAsia="仿宋_GB2312" w:cs="仿宋_GB2312"/>
          <w:sz w:val="32"/>
          <w:szCs w:val="32"/>
          <w:highlight w:val="none"/>
          <w:shd w:val="clear" w:color="auto" w:fill="auto"/>
          <w:lang w:val="en-US" w:eastAsia="zh-CN"/>
        </w:rPr>
        <w:t>我部门</w:t>
      </w:r>
      <w:r>
        <w:rPr>
          <w:rFonts w:hint="eastAsia" w:ascii="Times New Roman" w:hAnsi="Times New Roman" w:eastAsia="仿宋_GB2312" w:cs="仿宋_GB2312"/>
          <w:sz w:val="32"/>
          <w:szCs w:val="32"/>
          <w:highlight w:val="none"/>
          <w:shd w:val="clear" w:color="auto" w:fill="auto"/>
        </w:rPr>
        <w:t>此次评价项目评优率为</w:t>
      </w:r>
      <w:r>
        <w:rPr>
          <w:rFonts w:hint="eastAsia" w:eastAsia="仿宋_GB2312" w:cs="仿宋_GB2312"/>
          <w:sz w:val="32"/>
          <w:szCs w:val="32"/>
          <w:highlight w:val="none"/>
          <w:shd w:val="clear" w:color="auto" w:fill="auto"/>
          <w:lang w:val="en-US" w:eastAsia="zh-CN"/>
        </w:rPr>
        <w:t>97.73</w:t>
      </w:r>
      <w:r>
        <w:rPr>
          <w:rFonts w:hint="eastAsia" w:ascii="Times New Roman" w:hAnsi="Times New Roman" w:eastAsia="仿宋_GB2312" w:cs="仿宋_GB2312"/>
          <w:sz w:val="32"/>
          <w:szCs w:val="32"/>
          <w:highlight w:val="none"/>
          <w:shd w:val="clear" w:color="auto" w:fill="auto"/>
        </w:rPr>
        <w:t>%，</w:t>
      </w:r>
      <w:r>
        <w:rPr>
          <w:rFonts w:hint="eastAsia" w:ascii="Times New Roman" w:hAnsi="Times New Roman" w:eastAsia="仿宋_GB2312" w:cs="仿宋_GB2312"/>
          <w:sz w:val="32"/>
          <w:szCs w:val="32"/>
          <w:highlight w:val="none"/>
          <w:shd w:val="clear" w:color="auto" w:fill="auto"/>
          <w:lang w:val="en-US" w:eastAsia="zh-CN"/>
        </w:rPr>
        <w:t>预算执行</w:t>
      </w:r>
      <w:r>
        <w:rPr>
          <w:rFonts w:hint="eastAsia" w:ascii="Times New Roman" w:hAnsi="Times New Roman" w:eastAsia="仿宋_GB2312" w:cs="仿宋_GB2312"/>
          <w:sz w:val="32"/>
          <w:szCs w:val="32"/>
          <w:highlight w:val="none"/>
          <w:shd w:val="clear" w:color="auto" w:fill="auto"/>
        </w:rPr>
        <w:t>率为</w:t>
      </w:r>
      <w:r>
        <w:rPr>
          <w:rFonts w:hint="eastAsia" w:eastAsia="仿宋_GB2312" w:cs="仿宋_GB2312"/>
          <w:sz w:val="32"/>
          <w:szCs w:val="32"/>
          <w:highlight w:val="none"/>
          <w:shd w:val="clear" w:color="auto" w:fill="auto"/>
          <w:lang w:val="en-US" w:eastAsia="zh-CN"/>
        </w:rPr>
        <w:t>98.69</w:t>
      </w:r>
      <w:r>
        <w:rPr>
          <w:rFonts w:hint="eastAsia" w:ascii="Times New Roman" w:hAnsi="Times New Roman" w:eastAsia="仿宋_GB2312" w:cs="仿宋_GB2312"/>
          <w:sz w:val="32"/>
          <w:szCs w:val="32"/>
          <w:highlight w:val="none"/>
          <w:shd w:val="clear" w:color="auto" w:fill="auto"/>
          <w:lang w:val="en-US" w:eastAsia="zh-CN"/>
        </w:rPr>
        <w:t>%</w:t>
      </w:r>
      <w:r>
        <w:rPr>
          <w:rFonts w:hint="eastAsia" w:eastAsia="仿宋_GB2312" w:cs="仿宋_GB2312"/>
          <w:sz w:val="32"/>
          <w:szCs w:val="32"/>
          <w:highlight w:val="none"/>
          <w:shd w:val="clear" w:color="auto" w:fill="auto"/>
          <w:lang w:val="en-US" w:eastAsia="zh-CN"/>
        </w:rPr>
        <w:t>，</w:t>
      </w:r>
      <w:r>
        <w:rPr>
          <w:rFonts w:hint="eastAsia" w:ascii="Times New Roman" w:hAnsi="Times New Roman" w:eastAsia="仿宋_GB2312" w:cs="仿宋_GB2312"/>
          <w:sz w:val="32"/>
          <w:szCs w:val="32"/>
          <w:highlight w:val="none"/>
          <w:shd w:val="clear" w:color="auto" w:fill="auto"/>
        </w:rPr>
        <w:t>但评优项目尚有提升空间。</w:t>
      </w:r>
    </w:p>
    <w:p w14:paraId="6F4F3082">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val="en-US" w:eastAsia="zh-CN"/>
        </w:rPr>
      </w:pPr>
      <w:bookmarkStart w:id="14" w:name="_Toc15002"/>
      <w:bookmarkStart w:id="15" w:name="_Toc30275"/>
      <w:bookmarkStart w:id="16" w:name="_Toc5806"/>
      <w:bookmarkStart w:id="17" w:name="_Hlk40710041"/>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一</w:t>
      </w:r>
      <w:r>
        <w:rPr>
          <w:rFonts w:hint="eastAsia" w:ascii="Times New Roman" w:hAnsi="Times New Roman" w:eastAsia="楷体" w:cs="楷体"/>
          <w:sz w:val="32"/>
          <w:szCs w:val="32"/>
          <w:highlight w:val="none"/>
          <w:shd w:val="clear" w:color="auto" w:fill="auto"/>
          <w:lang w:eastAsia="zh-CN"/>
        </w:rPr>
        <w:t>）</w:t>
      </w:r>
      <w:bookmarkEnd w:id="14"/>
      <w:bookmarkEnd w:id="15"/>
      <w:r>
        <w:rPr>
          <w:rFonts w:hint="eastAsia" w:ascii="Times New Roman" w:hAnsi="Times New Roman" w:eastAsia="楷体" w:cs="楷体"/>
          <w:sz w:val="32"/>
          <w:szCs w:val="32"/>
          <w:highlight w:val="none"/>
          <w:shd w:val="clear" w:color="auto" w:fill="auto"/>
          <w:lang w:val="en-US" w:eastAsia="zh-CN"/>
        </w:rPr>
        <w:t>整改措施</w:t>
      </w:r>
      <w:bookmarkEnd w:id="16"/>
    </w:p>
    <w:p w14:paraId="7F934374">
      <w:pPr>
        <w:keepNext w:val="0"/>
        <w:keepLines w:val="0"/>
        <w:pageBreakBefore w:val="0"/>
        <w:widowControl w:val="0"/>
        <w:shd w:val="clear"/>
        <w:kinsoku/>
        <w:wordWrap/>
        <w:overflowPunct/>
        <w:topLinePunct w:val="0"/>
        <w:autoSpaceDE/>
        <w:autoSpaceDN/>
        <w:bidi w:val="0"/>
        <w:adjustRightInd/>
        <w:snapToGrid w:val="0"/>
        <w:spacing w:line="560" w:lineRule="exact"/>
        <w:ind w:firstLine="643" w:firstLineChars="200"/>
        <w:textAlignment w:val="auto"/>
        <w:outlineLvl w:val="2"/>
        <w:rPr>
          <w:rFonts w:hint="eastAsia" w:ascii="Times New Roman" w:hAnsi="Times New Roman" w:eastAsia="仿宋_GB2312" w:cs="仿宋_GB2312"/>
          <w:b/>
          <w:bCs/>
          <w:sz w:val="32"/>
          <w:szCs w:val="32"/>
          <w:highlight w:val="none"/>
          <w:shd w:val="clear" w:color="auto" w:fill="auto"/>
          <w:lang w:val="en-US" w:eastAsia="zh-CN"/>
        </w:rPr>
      </w:pPr>
      <w:r>
        <w:rPr>
          <w:rFonts w:hint="eastAsia" w:ascii="Times New Roman" w:hAnsi="Times New Roman" w:eastAsia="仿宋_GB2312" w:cs="仿宋_GB2312"/>
          <w:b/>
          <w:bCs/>
          <w:sz w:val="32"/>
          <w:szCs w:val="32"/>
          <w:highlight w:val="none"/>
          <w:shd w:val="clear" w:color="auto" w:fill="auto"/>
          <w:lang w:val="en-US" w:eastAsia="zh-CN"/>
        </w:rPr>
        <w:t>1.进一步提高资金使用效益</w:t>
      </w:r>
    </w:p>
    <w:p w14:paraId="559586BA">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lang w:val="en-US" w:eastAsia="zh-CN"/>
        </w:rPr>
      </w:pPr>
      <w:r>
        <w:rPr>
          <w:rFonts w:hint="eastAsia" w:ascii="Times New Roman" w:hAnsi="Times New Roman" w:eastAsia="仿宋_GB2312" w:cs="仿宋_GB2312"/>
          <w:sz w:val="32"/>
          <w:szCs w:val="32"/>
          <w:highlight w:val="none"/>
          <w:shd w:val="clear" w:color="auto" w:fill="auto"/>
          <w:lang w:val="en-US" w:eastAsia="zh-CN"/>
        </w:rPr>
        <w:t>在编制预算时，充分考虑各种因素，根据客观条件和丰富的工作经验，科学合理的编制年初预算。在项目执行过程中，项目调整、市价变化、发生不可抗力因素等原因致使项目无法如期完成等情形造成无需支付资金时，及时与有关部门协调，调整或收回预算，避免资金闲置，提高资金使用效益。</w:t>
      </w:r>
    </w:p>
    <w:p w14:paraId="46A229DC">
      <w:pPr>
        <w:keepNext w:val="0"/>
        <w:keepLines w:val="0"/>
        <w:pageBreakBefore w:val="0"/>
        <w:widowControl w:val="0"/>
        <w:shd w:val="clear"/>
        <w:kinsoku/>
        <w:wordWrap/>
        <w:overflowPunct/>
        <w:topLinePunct w:val="0"/>
        <w:autoSpaceDE/>
        <w:autoSpaceDN/>
        <w:bidi w:val="0"/>
        <w:adjustRightInd/>
        <w:snapToGrid w:val="0"/>
        <w:spacing w:line="560" w:lineRule="exact"/>
        <w:ind w:firstLine="643" w:firstLineChars="200"/>
        <w:textAlignment w:val="auto"/>
        <w:outlineLvl w:val="2"/>
        <w:rPr>
          <w:rFonts w:hint="eastAsia" w:ascii="Times New Roman" w:hAnsi="Times New Roman" w:eastAsia="仿宋_GB2312" w:cs="仿宋_GB2312"/>
          <w:b/>
          <w:bCs/>
          <w:sz w:val="32"/>
          <w:szCs w:val="32"/>
          <w:highlight w:val="none"/>
          <w:shd w:val="clear" w:color="auto" w:fill="auto"/>
          <w:lang w:val="en-US" w:eastAsia="zh-CN"/>
        </w:rPr>
      </w:pPr>
      <w:r>
        <w:rPr>
          <w:rFonts w:hint="eastAsia" w:ascii="Times New Roman" w:hAnsi="Times New Roman" w:eastAsia="仿宋_GB2312" w:cs="仿宋_GB2312"/>
          <w:b/>
          <w:bCs/>
          <w:sz w:val="32"/>
          <w:szCs w:val="32"/>
          <w:highlight w:val="none"/>
          <w:shd w:val="clear" w:color="auto" w:fill="auto"/>
          <w:lang w:val="en-US" w:eastAsia="zh-CN"/>
        </w:rPr>
        <w:t>2.科学设置绩效指标</w:t>
      </w:r>
    </w:p>
    <w:p w14:paraId="785EAF9D">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绩效指标设立要更加科学、合理、可衡量。在设立指标时候要充分考虑指标设定的可实施性，可考核性，要尽可能的量化，细化。</w:t>
      </w:r>
    </w:p>
    <w:bookmarkEnd w:id="17"/>
    <w:p w14:paraId="4844AE97">
      <w:pPr>
        <w:keepNext w:val="0"/>
        <w:keepLines w:val="0"/>
        <w:pageBreakBefore w:val="0"/>
        <w:widowControl w:val="0"/>
        <w:shd w:val="clear"/>
        <w:kinsoku/>
        <w:wordWrap/>
        <w:overflowPunct/>
        <w:topLinePunct w:val="0"/>
        <w:autoSpaceDE/>
        <w:autoSpaceDN/>
        <w:bidi w:val="0"/>
        <w:adjustRightInd/>
        <w:snapToGrid w:val="0"/>
        <w:spacing w:line="560" w:lineRule="exact"/>
        <w:ind w:left="0" w:leftChars="0" w:right="0" w:firstLine="640" w:firstLineChars="200"/>
        <w:textAlignment w:val="auto"/>
        <w:outlineLvl w:val="1"/>
        <w:rPr>
          <w:rFonts w:hint="eastAsia" w:ascii="Times New Roman" w:hAnsi="Times New Roman" w:eastAsia="楷体" w:cs="楷体"/>
          <w:sz w:val="32"/>
          <w:szCs w:val="32"/>
          <w:highlight w:val="none"/>
          <w:shd w:val="clear" w:color="auto" w:fill="auto"/>
          <w:lang w:eastAsia="zh-CN"/>
        </w:rPr>
      </w:pPr>
      <w:bookmarkStart w:id="18" w:name="_Toc29892"/>
      <w:bookmarkStart w:id="19" w:name="_Toc32244"/>
      <w:bookmarkStart w:id="20" w:name="_Toc4864"/>
      <w:r>
        <w:rPr>
          <w:rFonts w:hint="eastAsia" w:ascii="Times New Roman" w:hAnsi="Times New Roman" w:eastAsia="楷体" w:cs="楷体"/>
          <w:sz w:val="32"/>
          <w:szCs w:val="32"/>
          <w:highlight w:val="none"/>
          <w:shd w:val="clear" w:color="auto" w:fill="auto"/>
          <w:lang w:eastAsia="zh-CN"/>
        </w:rPr>
        <w:t>（</w:t>
      </w:r>
      <w:r>
        <w:rPr>
          <w:rFonts w:hint="eastAsia" w:ascii="Times New Roman" w:hAnsi="Times New Roman" w:eastAsia="楷体" w:cs="楷体"/>
          <w:sz w:val="32"/>
          <w:szCs w:val="32"/>
          <w:highlight w:val="none"/>
          <w:shd w:val="clear" w:color="auto" w:fill="auto"/>
          <w:lang w:val="en-US" w:eastAsia="zh-CN"/>
        </w:rPr>
        <w:t>二</w:t>
      </w:r>
      <w:r>
        <w:rPr>
          <w:rFonts w:hint="eastAsia" w:ascii="Times New Roman" w:hAnsi="Times New Roman" w:eastAsia="楷体" w:cs="楷体"/>
          <w:sz w:val="32"/>
          <w:szCs w:val="32"/>
          <w:highlight w:val="none"/>
          <w:shd w:val="clear" w:color="auto" w:fill="auto"/>
          <w:lang w:eastAsia="zh-CN"/>
        </w:rPr>
        <w:t>）结果运用</w:t>
      </w:r>
      <w:bookmarkEnd w:id="18"/>
      <w:bookmarkEnd w:id="19"/>
      <w:bookmarkEnd w:id="20"/>
    </w:p>
    <w:p w14:paraId="33F243B7">
      <w:pPr>
        <w:keepNext w:val="0"/>
        <w:keepLines w:val="0"/>
        <w:pageBreakBefore w:val="0"/>
        <w:widowControl w:val="0"/>
        <w:shd w:val="clear"/>
        <w:kinsoku/>
        <w:wordWrap/>
        <w:overflowPunct/>
        <w:topLinePunct w:val="0"/>
        <w:autoSpaceDE/>
        <w:autoSpaceDN/>
        <w:bidi w:val="0"/>
        <w:adjustRightInd/>
        <w:snapToGrid w:val="0"/>
        <w:spacing w:line="560" w:lineRule="exact"/>
        <w:ind w:firstLine="640" w:firstLineChars="200"/>
        <w:textAlignment w:val="auto"/>
        <w:rPr>
          <w:rFonts w:hint="eastAsia" w:ascii="Times New Roman" w:hAnsi="Times New Roman" w:eastAsia="仿宋_GB2312" w:cs="仿宋_GB2312"/>
          <w:sz w:val="32"/>
          <w:szCs w:val="32"/>
          <w:highlight w:val="none"/>
          <w:shd w:val="clear" w:color="auto" w:fill="auto"/>
        </w:rPr>
      </w:pPr>
      <w:r>
        <w:rPr>
          <w:rFonts w:hint="eastAsia" w:ascii="Times New Roman" w:hAnsi="Times New Roman" w:eastAsia="仿宋_GB2312" w:cs="仿宋_GB2312"/>
          <w:sz w:val="32"/>
          <w:szCs w:val="32"/>
          <w:highlight w:val="none"/>
          <w:shd w:val="clear" w:color="auto" w:fill="auto"/>
        </w:rPr>
        <w:t>进一步完善预算管理机制，增强支出责任，规范资金使用，强化监督检查，</w:t>
      </w:r>
      <w:r>
        <w:rPr>
          <w:rFonts w:hint="eastAsia" w:ascii="Times New Roman" w:hAnsi="Times New Roman" w:eastAsia="仿宋_GB2312" w:cs="仿宋_GB2312"/>
          <w:sz w:val="32"/>
          <w:szCs w:val="32"/>
          <w:highlight w:val="none"/>
          <w:shd w:val="clear" w:color="auto" w:fill="auto"/>
          <w:lang w:eastAsia="zh-CN"/>
        </w:rPr>
        <w:t>强化财政资金管理</w:t>
      </w:r>
      <w:r>
        <w:rPr>
          <w:rFonts w:hint="eastAsia" w:ascii="Times New Roman" w:hAnsi="Times New Roman" w:eastAsia="仿宋_GB2312" w:cs="仿宋_GB2312"/>
          <w:sz w:val="32"/>
          <w:szCs w:val="32"/>
          <w:highlight w:val="none"/>
          <w:shd w:val="clear" w:color="auto" w:fill="auto"/>
        </w:rPr>
        <w:t>水平</w:t>
      </w:r>
      <w:r>
        <w:rPr>
          <w:rFonts w:hint="eastAsia" w:ascii="Times New Roman" w:hAnsi="Times New Roman" w:eastAsia="仿宋_GB2312" w:cs="仿宋_GB2312"/>
          <w:sz w:val="32"/>
          <w:szCs w:val="32"/>
          <w:highlight w:val="none"/>
          <w:shd w:val="clear" w:color="auto" w:fill="auto"/>
          <w:lang w:eastAsia="zh-CN"/>
        </w:rPr>
        <w:t>，提高财政资金使用效益</w:t>
      </w:r>
      <w:r>
        <w:rPr>
          <w:rFonts w:hint="eastAsia" w:ascii="Times New Roman" w:hAnsi="Times New Roman" w:eastAsia="仿宋_GB2312" w:cs="仿宋_GB2312"/>
          <w:sz w:val="32"/>
          <w:szCs w:val="32"/>
          <w:highlight w:val="none"/>
          <w:shd w:val="clear" w:color="auto" w:fill="auto"/>
        </w:rPr>
        <w:t>，为预算资金使用效益的提高提供基础保障。</w:t>
      </w:r>
    </w:p>
    <w:p w14:paraId="20800358">
      <w:pPr>
        <w:pageBreakBefore w:val="0"/>
        <w:widowControl w:val="0"/>
        <w:tabs>
          <w:tab w:val="left" w:pos="1151"/>
        </w:tabs>
        <w:kinsoku/>
        <w:wordWrap/>
        <w:overflowPunct/>
        <w:topLinePunct w:val="0"/>
        <w:autoSpaceDE/>
        <w:autoSpaceDN/>
        <w:bidi w:val="0"/>
        <w:adjustRightInd/>
        <w:snapToGrid/>
        <w:textAlignment w:val="auto"/>
        <w:outlineLvl w:val="9"/>
        <w:rPr>
          <w:rFonts w:hint="eastAsia" w:ascii="Times New Roman" w:hAnsi="Times New Roman" w:eastAsia="仿宋_GB2312" w:cs="仿宋_GB2312"/>
          <w:sz w:val="32"/>
          <w:szCs w:val="32"/>
          <w:highlight w:val="none"/>
          <w:shd w:val="clear" w:color="FFFFFF" w:fill="D9D9D9"/>
        </w:rPr>
      </w:pPr>
    </w:p>
    <w:p w14:paraId="256A6026">
      <w:pPr>
        <w:pageBreakBefore w:val="0"/>
        <w:widowControl w:val="0"/>
        <w:kinsoku/>
        <w:wordWrap/>
        <w:overflowPunct/>
        <w:topLinePunct w:val="0"/>
        <w:autoSpaceDE/>
        <w:autoSpaceDN/>
        <w:bidi w:val="0"/>
        <w:adjustRightInd/>
        <w:snapToGrid/>
        <w:spacing w:line="560" w:lineRule="exact"/>
        <w:ind w:left="0"/>
        <w:jc w:val="right"/>
        <w:textAlignment w:val="auto"/>
        <w:outlineLvl w:val="9"/>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中共石家庄市委老干部局</w:t>
      </w:r>
    </w:p>
    <w:p w14:paraId="0A4AFA08">
      <w:pPr>
        <w:pageBreakBefore w:val="0"/>
        <w:widowControl w:val="0"/>
        <w:tabs>
          <w:tab w:val="left" w:pos="1151"/>
        </w:tabs>
        <w:kinsoku/>
        <w:wordWrap/>
        <w:overflowPunct/>
        <w:topLinePunct w:val="0"/>
        <w:autoSpaceDE/>
        <w:autoSpaceDN/>
        <w:bidi w:val="0"/>
        <w:adjustRightInd/>
        <w:snapToGrid/>
        <w:spacing w:before="0" w:after="0" w:line="560" w:lineRule="exact"/>
        <w:ind w:left="0"/>
        <w:jc w:val="center"/>
        <w:textAlignment w:val="auto"/>
        <w:outlineLvl w:val="9"/>
        <w:rPr>
          <w:rFonts w:hint="eastAsia"/>
        </w:rPr>
        <w:sectPr>
          <w:footerReference r:id="rId6" w:type="default"/>
          <w:pgSz w:w="11906" w:h="16838"/>
          <w:pgMar w:top="2041" w:right="1304" w:bottom="1701" w:left="1531" w:header="851" w:footer="992" w:gutter="0"/>
          <w:pgNumType w:fmt="numberInDash" w:start="1"/>
          <w:cols w:space="720" w:num="1"/>
          <w:docGrid w:type="lines" w:linePitch="312" w:charSpace="0"/>
        </w:sectPr>
      </w:pPr>
      <w:r>
        <w:rPr>
          <w:rFonts w:hint="eastAsia" w:ascii="Times New Roman" w:hAnsi="Times New Roman" w:eastAsia="仿宋_GB2312" w:cs="仿宋_GB2312"/>
          <w:b w:val="0"/>
          <w:bCs w:val="0"/>
          <w:kern w:val="2"/>
          <w:sz w:val="32"/>
          <w:szCs w:val="32"/>
          <w:highlight w:val="none"/>
          <w:lang w:val="en-US" w:eastAsia="zh-CN" w:bidi="ar-SA"/>
        </w:rPr>
        <w:t xml:space="preserve">                                         2025年3月25日</w:t>
      </w:r>
    </w:p>
    <w:p w14:paraId="1E92F7ED">
      <w:pPr>
        <w:keepNext w:val="0"/>
        <w:keepLines w:val="0"/>
        <w:pageBreakBefore w:val="0"/>
        <w:widowControl w:val="0"/>
        <w:shd w:val="clear"/>
        <w:kinsoku/>
        <w:wordWrap/>
        <w:overflowPunct/>
        <w:topLinePunct w:val="0"/>
        <w:autoSpaceDE/>
        <w:autoSpaceDN/>
        <w:bidi w:val="0"/>
        <w:adjustRightInd/>
        <w:snapToGrid w:val="0"/>
        <w:spacing w:line="560" w:lineRule="exact"/>
        <w:textAlignment w:val="auto"/>
        <w:rPr>
          <w:rFonts w:hint="eastAsia"/>
        </w:rPr>
      </w:pPr>
    </w:p>
    <w:sectPr>
      <w:footerReference r:id="rId7" w:type="default"/>
      <w:pgSz w:w="11906" w:h="16838"/>
      <w:pgMar w:top="2041" w:right="1304" w:bottom="1701" w:left="1531" w:header="851" w:footer="992" w:gutter="0"/>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FAF9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04DBAE">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3B6CB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zql5uc8AAAAFAQAADwAAAAAAAAABACAAAAAiAAAAZHJzL2Rvd25yZXYueG1sUEsBAhQAFAAA&#10;AAgAh07iQFsTsRu/AQAAnQMAAA4AAAAAAAAAAQAgAAAAHgEAAGRycy9lMm9Eb2MueG1sUEsFBgAA&#10;AAAGAAYAWQEAAE8FAAAAAA==&#10;">
              <v:fill on="f" focussize="0,0"/>
              <v:stroke on="f"/>
              <v:imagedata o:title=""/>
              <o:lock v:ext="edit" aspectratio="f"/>
              <v:textbox inset="0mm,0mm,0mm,0mm" style="mso-fit-shape-to-text:t;">
                <w:txbxContent>
                  <w:p w14:paraId="33B6CB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0840F"/>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6E0DE">
    <w:pPr>
      <w:pStyle w:val="7"/>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1BB1C5">
    <w:pPr>
      <w:pStyle w:val="7"/>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EzOTVlMTNmMTM3ODk1NDJjMjZlZDc4M2I0ZTVjZDk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1527EDF"/>
    <w:rsid w:val="016679CC"/>
    <w:rsid w:val="025D6B3C"/>
    <w:rsid w:val="055B525F"/>
    <w:rsid w:val="05FF78F6"/>
    <w:rsid w:val="07A806B1"/>
    <w:rsid w:val="084F6F27"/>
    <w:rsid w:val="0DAD0977"/>
    <w:rsid w:val="0DB12071"/>
    <w:rsid w:val="0DD12D7E"/>
    <w:rsid w:val="10005AE4"/>
    <w:rsid w:val="110305F8"/>
    <w:rsid w:val="111331E7"/>
    <w:rsid w:val="113D2867"/>
    <w:rsid w:val="11D87F8D"/>
    <w:rsid w:val="12B409FA"/>
    <w:rsid w:val="13B61930"/>
    <w:rsid w:val="13C07CB7"/>
    <w:rsid w:val="17030337"/>
    <w:rsid w:val="195F5317"/>
    <w:rsid w:val="1C0C0DBD"/>
    <w:rsid w:val="1DA11B7B"/>
    <w:rsid w:val="1E366BAE"/>
    <w:rsid w:val="20276775"/>
    <w:rsid w:val="20B4686A"/>
    <w:rsid w:val="21556F04"/>
    <w:rsid w:val="22910410"/>
    <w:rsid w:val="22B039A5"/>
    <w:rsid w:val="23840702"/>
    <w:rsid w:val="245F0F97"/>
    <w:rsid w:val="248D05F2"/>
    <w:rsid w:val="256974AA"/>
    <w:rsid w:val="264067C7"/>
    <w:rsid w:val="284C6040"/>
    <w:rsid w:val="29804017"/>
    <w:rsid w:val="2DB80F46"/>
    <w:rsid w:val="31144702"/>
    <w:rsid w:val="34864A58"/>
    <w:rsid w:val="34F12F90"/>
    <w:rsid w:val="35494B7A"/>
    <w:rsid w:val="3A301DA7"/>
    <w:rsid w:val="3AEF6FE7"/>
    <w:rsid w:val="3C4B742A"/>
    <w:rsid w:val="3DCA7B9B"/>
    <w:rsid w:val="3DEA7071"/>
    <w:rsid w:val="3E014244"/>
    <w:rsid w:val="3E3F4D6C"/>
    <w:rsid w:val="3EF142B8"/>
    <w:rsid w:val="43B47DBF"/>
    <w:rsid w:val="43CC0E50"/>
    <w:rsid w:val="440700DA"/>
    <w:rsid w:val="451231DA"/>
    <w:rsid w:val="45A33E32"/>
    <w:rsid w:val="47B45F56"/>
    <w:rsid w:val="48D10CB7"/>
    <w:rsid w:val="492D2391"/>
    <w:rsid w:val="493B718D"/>
    <w:rsid w:val="49E50EBD"/>
    <w:rsid w:val="4A8C7F5A"/>
    <w:rsid w:val="4CDB6F75"/>
    <w:rsid w:val="4D1746C0"/>
    <w:rsid w:val="4F082F58"/>
    <w:rsid w:val="506139EF"/>
    <w:rsid w:val="50BE5FC4"/>
    <w:rsid w:val="510F48D0"/>
    <w:rsid w:val="523E1A6F"/>
    <w:rsid w:val="53603363"/>
    <w:rsid w:val="53A42ADD"/>
    <w:rsid w:val="56F63560"/>
    <w:rsid w:val="59B368E2"/>
    <w:rsid w:val="5A625C12"/>
    <w:rsid w:val="5B444D55"/>
    <w:rsid w:val="616B1851"/>
    <w:rsid w:val="627167A0"/>
    <w:rsid w:val="63027F93"/>
    <w:rsid w:val="63CF306B"/>
    <w:rsid w:val="64850E7B"/>
    <w:rsid w:val="6663343E"/>
    <w:rsid w:val="66650F64"/>
    <w:rsid w:val="66A6332B"/>
    <w:rsid w:val="674A63AC"/>
    <w:rsid w:val="68F640F6"/>
    <w:rsid w:val="6A1C4030"/>
    <w:rsid w:val="6AE44CFC"/>
    <w:rsid w:val="6B5670CE"/>
    <w:rsid w:val="6B694E5D"/>
    <w:rsid w:val="6BAA7419"/>
    <w:rsid w:val="6D9201D0"/>
    <w:rsid w:val="6F356DB4"/>
    <w:rsid w:val="6F7739C3"/>
    <w:rsid w:val="70C614AD"/>
    <w:rsid w:val="71B27028"/>
    <w:rsid w:val="735938B2"/>
    <w:rsid w:val="74D15BAF"/>
    <w:rsid w:val="7600059F"/>
    <w:rsid w:val="760B4F58"/>
    <w:rsid w:val="76AC673B"/>
    <w:rsid w:val="76DE4A7D"/>
    <w:rsid w:val="785E5813"/>
    <w:rsid w:val="78C13027"/>
    <w:rsid w:val="78E977D3"/>
    <w:rsid w:val="7A8258A3"/>
    <w:rsid w:val="7DB0621B"/>
    <w:rsid w:val="7F2E23E3"/>
    <w:rsid w:val="7FDF6C8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0" w:semiHidden="0"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autoRedefine/>
    <w:qFormat/>
    <w:uiPriority w:val="9"/>
    <w:pPr>
      <w:keepNext/>
      <w:keepLines/>
      <w:spacing w:before="340" w:beforeLines="0" w:beforeAutospacing="0" w:after="330" w:afterLines="0" w:afterAutospacing="0" w:line="576" w:lineRule="auto"/>
      <w:outlineLvl w:val="0"/>
    </w:pPr>
    <w:rPr>
      <w:b/>
      <w:kern w:val="44"/>
      <w:sz w:val="44"/>
    </w:rPr>
  </w:style>
  <w:style w:type="paragraph" w:styleId="2">
    <w:name w:val="heading 2"/>
    <w:basedOn w:val="1"/>
    <w:next w:val="1"/>
    <w:autoRedefine/>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paragraph" w:styleId="4">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3">
    <w:name w:val="Default Paragraph Font"/>
    <w:autoRedefine/>
    <w:unhideWhenUsed/>
    <w:qFormat/>
    <w:uiPriority w:val="1"/>
  </w:style>
  <w:style w:type="table" w:default="1" w:styleId="11">
    <w:name w:val="Normal Table"/>
    <w:autoRedefine/>
    <w:unhideWhenUsed/>
    <w:qFormat/>
    <w:uiPriority w:val="99"/>
    <w:tblPr>
      <w:tblCellMar>
        <w:top w:w="0" w:type="dxa"/>
        <w:left w:w="108" w:type="dxa"/>
        <w:bottom w:w="0" w:type="dxa"/>
        <w:right w:w="108" w:type="dxa"/>
      </w:tblCellMar>
    </w:tblPr>
  </w:style>
  <w:style w:type="paragraph" w:styleId="5">
    <w:name w:val="annotation text"/>
    <w:basedOn w:val="1"/>
    <w:autoRedefine/>
    <w:semiHidden/>
    <w:unhideWhenUsed/>
    <w:qFormat/>
    <w:uiPriority w:val="0"/>
    <w:pPr>
      <w:jc w:val="left"/>
    </w:pPr>
  </w:style>
  <w:style w:type="paragraph" w:styleId="6">
    <w:name w:val="footer"/>
    <w:basedOn w:val="1"/>
    <w:link w:val="15"/>
    <w:autoRedefine/>
    <w:unhideWhenUsed/>
    <w:qFormat/>
    <w:uiPriority w:val="99"/>
    <w:pPr>
      <w:tabs>
        <w:tab w:val="center" w:pos="4153"/>
        <w:tab w:val="right" w:pos="8306"/>
      </w:tabs>
      <w:snapToGrid w:val="0"/>
      <w:jc w:val="left"/>
    </w:pPr>
    <w:rPr>
      <w:sz w:val="18"/>
      <w:szCs w:val="18"/>
    </w:rPr>
  </w:style>
  <w:style w:type="paragraph" w:styleId="7">
    <w:name w:val="header"/>
    <w:basedOn w:val="1"/>
    <w:link w:val="1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semiHidden/>
    <w:unhideWhenUsed/>
    <w:qFormat/>
    <w:uiPriority w:val="39"/>
  </w:style>
  <w:style w:type="paragraph" w:styleId="9">
    <w:name w:val="toc 2"/>
    <w:basedOn w:val="1"/>
    <w:next w:val="1"/>
    <w:autoRedefine/>
    <w:semiHidden/>
    <w:unhideWhenUsed/>
    <w:qFormat/>
    <w:uiPriority w:val="39"/>
    <w:pPr>
      <w:ind w:left="420" w:leftChars="200"/>
    </w:pPr>
  </w:style>
  <w:style w:type="paragraph" w:styleId="10">
    <w:name w:val="Normal (Web)"/>
    <w:qFormat/>
    <w:uiPriority w:val="0"/>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
    </w:rPr>
  </w:style>
  <w:style w:type="table" w:styleId="12">
    <w:name w:val="Table Grid"/>
    <w:basedOn w:val="11"/>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4">
    <w:name w:val="页眉 Char"/>
    <w:basedOn w:val="13"/>
    <w:link w:val="7"/>
    <w:autoRedefine/>
    <w:qFormat/>
    <w:uiPriority w:val="99"/>
    <w:rPr>
      <w:sz w:val="18"/>
      <w:szCs w:val="18"/>
    </w:rPr>
  </w:style>
  <w:style w:type="character" w:customStyle="1" w:styleId="15">
    <w:name w:val="页脚 Char"/>
    <w:basedOn w:val="13"/>
    <w:link w:val="6"/>
    <w:autoRedefine/>
    <w:qFormat/>
    <w:uiPriority w:val="99"/>
    <w:rPr>
      <w:sz w:val="18"/>
      <w:szCs w:val="18"/>
    </w:rPr>
  </w:style>
  <w:style w:type="paragraph" w:customStyle="1" w:styleId="16">
    <w:name w:val="WPSOffice手动目录 1"/>
    <w:autoRedefine/>
    <w:qFormat/>
    <w:uiPriority w:val="0"/>
    <w:pPr>
      <w:ind w:leftChars="0"/>
    </w:pPr>
    <w:rPr>
      <w:rFonts w:ascii="Times New Roman" w:hAnsi="Times New Roman" w:eastAsia="宋体" w:cs="Times New Roman"/>
      <w:sz w:val="20"/>
      <w:szCs w:val="20"/>
    </w:rPr>
  </w:style>
  <w:style w:type="paragraph" w:customStyle="1" w:styleId="17">
    <w:name w:val="WPSOffice手动目录 2"/>
    <w:autoRedefine/>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15</Pages>
  <Words>5323</Words>
  <Characters>5833</Characters>
  <Lines>3</Lines>
  <Paragraphs>1</Paragraphs>
  <TotalTime>48</TotalTime>
  <ScaleCrop>false</ScaleCrop>
  <LinksUpToDate>false</LinksUpToDate>
  <CharactersWithSpaces>5913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蓁蓁</cp:lastModifiedBy>
  <cp:lastPrinted>2025-03-28T03:12:00Z</cp:lastPrinted>
  <dcterms:modified xsi:type="dcterms:W3CDTF">2025-04-27T06:05:18Z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7FCCE51906BF44AABF17E7BC6D2736ED_13</vt:lpwstr>
  </property>
  <property fmtid="{D5CDD505-2E9C-101B-9397-08002B2CF9AE}" pid="4" name="KSOTemplateDocerSaveRecord">
    <vt:lpwstr>eyJoZGlkIjoiMjI1YzNkZjBmYzA5MjU5Y2NhMDAzMGI5MzRiODdmOTYiLCJ1c2VySWQiOiIyMzU3NzQ3MjgifQ==</vt:lpwstr>
  </property>
</Properties>
</file>