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064B15">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hint="eastAsia" w:ascii="宋体" w:hAnsi="宋体" w:eastAsia="宋体" w:cs="宋体"/>
          <w:b/>
          <w:bCs/>
          <w:sz w:val="44"/>
          <w:szCs w:val="44"/>
        </w:rPr>
      </w:pPr>
    </w:p>
    <w:p w14:paraId="44FCA3C7">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中共</w:t>
      </w:r>
      <w:r>
        <w:rPr>
          <w:rFonts w:hint="eastAsia" w:ascii="宋体" w:hAnsi="宋体" w:cs="宋体"/>
          <w:b/>
          <w:bCs/>
          <w:kern w:val="0"/>
          <w:sz w:val="44"/>
          <w:szCs w:val="44"/>
          <w:lang w:eastAsia="zh-CN"/>
        </w:rPr>
        <w:t>石家庄市</w:t>
      </w:r>
      <w:r>
        <w:rPr>
          <w:rFonts w:hint="eastAsia" w:ascii="宋体" w:hAnsi="宋体" w:cs="宋体"/>
          <w:b/>
          <w:bCs/>
          <w:kern w:val="0"/>
          <w:sz w:val="44"/>
          <w:szCs w:val="44"/>
          <w:lang w:val="en-US" w:eastAsia="zh-CN"/>
        </w:rPr>
        <w:t>委老干部局</w:t>
      </w:r>
    </w:p>
    <w:p w14:paraId="576FB877">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2022年度部门整体支出绩效</w:t>
      </w:r>
      <w:r>
        <w:rPr>
          <w:rFonts w:hint="eastAsia" w:ascii="宋体" w:hAnsi="宋体" w:cs="宋体"/>
          <w:b/>
          <w:bCs/>
          <w:kern w:val="0"/>
          <w:sz w:val="44"/>
          <w:szCs w:val="44"/>
          <w:lang w:eastAsia="zh-CN"/>
        </w:rPr>
        <w:t>自评报告</w:t>
      </w:r>
    </w:p>
    <w:p w14:paraId="6B83440E">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default" w:ascii="方正小标宋简体" w:hAnsi="Calibri" w:eastAsia="方正小标宋简体" w:cs="黑体"/>
          <w:b/>
          <w:bCs/>
          <w:sz w:val="44"/>
          <w:szCs w:val="44"/>
          <w:lang w:val="en-US" w:eastAsia="zh-CN"/>
        </w:rPr>
      </w:pPr>
    </w:p>
    <w:p w14:paraId="091C1C01">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14:paraId="35D55D00">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14:paraId="0C7EE604">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14:paraId="267EE7A2">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14:paraId="506F4D9A">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14:paraId="1944078F">
      <w:pPr>
        <w:keepNext w:val="0"/>
        <w:keepLines w:val="0"/>
        <w:pageBreakBefore w:val="0"/>
        <w:widowControl w:val="0"/>
        <w:kinsoku/>
        <w:wordWrap/>
        <w:overflowPunct/>
        <w:topLinePunct w:val="0"/>
        <w:autoSpaceDE/>
        <w:autoSpaceDN/>
        <w:bidi w:val="0"/>
        <w:adjustRightInd/>
        <w:snapToGrid/>
        <w:spacing w:before="240" w:after="60" w:line="780" w:lineRule="exact"/>
        <w:textAlignment w:val="auto"/>
        <w:rPr>
          <w:rFonts w:ascii="仿宋_GB2312" w:hAnsi="Calibri" w:eastAsia="仿宋_GB2312"/>
          <w:bCs/>
          <w:kern w:val="28"/>
          <w:sz w:val="32"/>
          <w:szCs w:val="20"/>
          <w:highlight w:val="yellow"/>
          <w:lang w:val="zh-CN"/>
        </w:rPr>
      </w:pPr>
    </w:p>
    <w:p w14:paraId="5302E7A6">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eastAsia" w:eastAsia="宋体" w:cs="Times New Roman"/>
          <w:b/>
          <w:bCs/>
          <w:sz w:val="32"/>
          <w:szCs w:val="32"/>
          <w:lang w:val="en-US" w:eastAsia="zh-CN"/>
        </w:rPr>
      </w:pPr>
    </w:p>
    <w:p w14:paraId="0DC03E24">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default" w:ascii="仿宋_GB2312" w:hAnsi="Calibri" w:eastAsia="仿宋_GB2312"/>
          <w:b/>
          <w:bCs w:val="0"/>
          <w:kern w:val="28"/>
          <w:sz w:val="32"/>
          <w:szCs w:val="20"/>
          <w:highlight w:val="yellow"/>
          <w:lang w:val="en-US" w:eastAsia="zh-CN"/>
        </w:rPr>
      </w:pPr>
      <w:r>
        <w:rPr>
          <w:rFonts w:hint="eastAsia" w:cs="Times New Roman"/>
          <w:b/>
          <w:bCs/>
          <w:sz w:val="32"/>
          <w:szCs w:val="32"/>
          <w:lang w:val="en-US" w:eastAsia="zh-CN"/>
        </w:rPr>
        <w:t>中共石家庄市委老干部局</w:t>
      </w:r>
    </w:p>
    <w:p w14:paraId="4F747092">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lang w:val="zh-CN"/>
        </w:rPr>
      </w:pPr>
      <w:bookmarkStart w:id="0" w:name="_Toc3470"/>
    </w:p>
    <w:p w14:paraId="7B207067">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lang w:val="zh-CN"/>
        </w:rPr>
      </w:pPr>
    </w:p>
    <w:p w14:paraId="1903C847">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eastAsia" w:ascii="宋体" w:hAnsi="宋体" w:eastAsia="宋体" w:cs="宋体"/>
          <w:sz w:val="44"/>
          <w:szCs w:val="44"/>
        </w:rPr>
      </w:pPr>
      <w:r>
        <w:rPr>
          <w:rFonts w:hint="eastAsia" w:eastAsia="宋体" w:cs="Times New Roman"/>
          <w:b/>
          <w:bCs/>
          <w:sz w:val="32"/>
          <w:szCs w:val="32"/>
          <w:lang w:val="zh-CN" w:eastAsia="zh-CN"/>
        </w:rPr>
        <w:t>202</w:t>
      </w:r>
      <w:r>
        <w:rPr>
          <w:rFonts w:hint="eastAsia" w:cs="Times New Roman"/>
          <w:b/>
          <w:bCs/>
          <w:sz w:val="32"/>
          <w:szCs w:val="32"/>
          <w:lang w:val="en-US" w:eastAsia="zh-CN"/>
        </w:rPr>
        <w:t>3</w:t>
      </w:r>
      <w:r>
        <w:rPr>
          <w:rFonts w:hint="eastAsia" w:eastAsia="宋体" w:cs="Times New Roman"/>
          <w:b/>
          <w:bCs/>
          <w:sz w:val="32"/>
          <w:szCs w:val="32"/>
          <w:lang w:val="zh-CN" w:eastAsia="zh-CN"/>
        </w:rPr>
        <w:t>年</w:t>
      </w:r>
      <w:r>
        <w:rPr>
          <w:rFonts w:hint="eastAsia" w:cs="Times New Roman"/>
          <w:b/>
          <w:bCs/>
          <w:sz w:val="32"/>
          <w:szCs w:val="32"/>
          <w:lang w:val="en-US" w:eastAsia="zh-CN"/>
        </w:rPr>
        <w:t>4</w:t>
      </w:r>
      <w:r>
        <w:rPr>
          <w:rFonts w:hint="eastAsia" w:eastAsia="宋体" w:cs="Times New Roman"/>
          <w:b/>
          <w:bCs/>
          <w:sz w:val="32"/>
          <w:szCs w:val="32"/>
          <w:lang w:val="zh-CN" w:eastAsia="zh-CN"/>
        </w:rPr>
        <w:t>月</w:t>
      </w:r>
      <w:bookmarkEnd w:id="0"/>
    </w:p>
    <w:p w14:paraId="70DEF302">
      <w:pPr>
        <w:spacing w:line="360" w:lineRule="auto"/>
        <w:jc w:val="both"/>
        <w:rPr>
          <w:rFonts w:hint="eastAsia" w:ascii="宋体" w:hAnsi="宋体" w:eastAsia="宋体" w:cs="宋体"/>
          <w:sz w:val="44"/>
          <w:szCs w:val="44"/>
        </w:rPr>
      </w:pPr>
    </w:p>
    <w:p w14:paraId="41ED915A">
      <w:pPr>
        <w:spacing w:line="360" w:lineRule="auto"/>
        <w:jc w:val="both"/>
        <w:rPr>
          <w:rFonts w:hint="eastAsia" w:ascii="仿宋_GB2312" w:hAnsi="Calibri" w:eastAsia="仿宋_GB2312"/>
          <w:bCs/>
          <w:sz w:val="32"/>
          <w:szCs w:val="20"/>
          <w:highlight w:val="none"/>
          <w:lang w:val="zh-CN"/>
        </w:rPr>
        <w:sectPr>
          <w:headerReference r:id="rId3" w:type="default"/>
          <w:pgSz w:w="11906" w:h="16838"/>
          <w:pgMar w:top="2041" w:right="1304" w:bottom="1701" w:left="1531" w:header="851" w:footer="992" w:gutter="0"/>
          <w:pgNumType w:fmt="decimal"/>
          <w:cols w:space="720" w:num="1"/>
          <w:docGrid w:type="lines" w:linePitch="312" w:charSpace="0"/>
        </w:sectPr>
      </w:pPr>
    </w:p>
    <w:sdt>
      <w:sdtPr>
        <w:rPr>
          <w:rFonts w:ascii="宋体" w:hAnsi="宋体" w:eastAsia="宋体" w:cs="黑体"/>
          <w:kern w:val="2"/>
          <w:sz w:val="21"/>
          <w:szCs w:val="22"/>
          <w:lang w:val="en-US" w:eastAsia="zh-CN" w:bidi="ar-SA"/>
        </w:rPr>
        <w:id w:val="147469282"/>
        <w15:color w:val="DBDBDB"/>
        <w:docPartObj>
          <w:docPartGallery w:val="Table of Contents"/>
          <w:docPartUnique/>
        </w:docPartObj>
      </w:sdtPr>
      <w:sdtEndPr>
        <w:rPr>
          <w:rFonts w:hint="eastAsia" w:ascii="宋体" w:hAnsi="宋体" w:eastAsia="宋体" w:cs="宋体"/>
          <w:b/>
          <w:bCs/>
          <w:kern w:val="2"/>
          <w:sz w:val="21"/>
          <w:szCs w:val="44"/>
          <w:lang w:val="en-US" w:eastAsia="zh-CN" w:bidi="ar-SA"/>
        </w:rPr>
      </w:sdtEndPr>
      <w:sdtContent>
        <w:p w14:paraId="5E8D0AA1">
          <w:pPr>
            <w:tabs>
              <w:tab w:val="left" w:pos="1151"/>
            </w:tabs>
            <w:spacing w:before="0" w:beforeLines="0" w:after="0" w:afterLines="0" w:line="240" w:lineRule="auto"/>
            <w:ind w:left="0" w:leftChars="0" w:right="0" w:rightChars="0" w:firstLine="0" w:firstLineChars="0"/>
            <w:jc w:val="center"/>
            <w:outlineLvl w:val="9"/>
            <w:rPr>
              <w:rFonts w:ascii="宋体" w:hAnsi="宋体" w:eastAsia="宋体"/>
              <w:b/>
              <w:bCs/>
              <w:sz w:val="32"/>
              <w:szCs w:val="32"/>
            </w:rPr>
          </w:pPr>
          <w:r>
            <w:rPr>
              <w:rFonts w:hint="eastAsia" w:ascii="宋体" w:hAnsi="宋体" w:eastAsia="宋体" w:cs="Times New Roman"/>
              <w:b/>
              <w:bCs/>
              <w:kern w:val="2"/>
              <w:sz w:val="36"/>
              <w:szCs w:val="36"/>
              <w:lang w:val="en-US" w:eastAsia="zh-CN" w:bidi="ar-SA"/>
            </w:rPr>
            <w:t>目录</w:t>
          </w:r>
        </w:p>
        <w:p w14:paraId="2C9875CB">
          <w:pPr>
            <w:pStyle w:val="2"/>
          </w:pPr>
        </w:p>
        <w:p w14:paraId="207E5AF4">
          <w:pPr>
            <w:pStyle w:val="7"/>
            <w:tabs>
              <w:tab w:val="right" w:leader="dot" w:pos="8845"/>
            </w:tabs>
            <w:rPr>
              <w:sz w:val="28"/>
              <w:szCs w:val="32"/>
            </w:rPr>
          </w:pPr>
          <w:r>
            <w:rPr>
              <w:rFonts w:hint="eastAsia" w:ascii="宋体" w:hAnsi="宋体" w:cs="宋体"/>
              <w:b/>
              <w:bCs/>
              <w:sz w:val="44"/>
              <w:szCs w:val="44"/>
              <w:lang w:eastAsia="zh-CN"/>
            </w:rPr>
            <w:fldChar w:fldCharType="begin"/>
          </w:r>
          <w:r>
            <w:rPr>
              <w:rFonts w:hint="eastAsia" w:ascii="宋体" w:hAnsi="宋体" w:cs="宋体"/>
              <w:b/>
              <w:bCs/>
              <w:sz w:val="44"/>
              <w:szCs w:val="44"/>
              <w:lang w:eastAsia="zh-CN"/>
            </w:rPr>
            <w:instrText xml:space="preserve">TOC \o "1-2" \h \u </w:instrText>
          </w:r>
          <w:r>
            <w:rPr>
              <w:rFonts w:hint="eastAsia" w:ascii="宋体" w:hAnsi="宋体" w:cs="宋体"/>
              <w:b/>
              <w:bCs/>
              <w:sz w:val="44"/>
              <w:szCs w:val="44"/>
              <w:lang w:eastAsia="zh-CN"/>
            </w:rPr>
            <w:fldChar w:fldCharType="separate"/>
          </w: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_Toc11924 </w:instrText>
          </w:r>
          <w:r>
            <w:rPr>
              <w:rFonts w:hint="eastAsia" w:ascii="宋体" w:hAnsi="宋体" w:cs="宋体"/>
              <w:bCs/>
              <w:sz w:val="28"/>
              <w:szCs w:val="56"/>
              <w:lang w:eastAsia="zh-CN"/>
            </w:rPr>
            <w:fldChar w:fldCharType="separate"/>
          </w:r>
          <w:r>
            <w:rPr>
              <w:rFonts w:hint="eastAsia" w:ascii="黑体" w:hAnsi="黑体" w:eastAsia="黑体"/>
              <w:sz w:val="28"/>
              <w:szCs w:val="44"/>
            </w:rPr>
            <w:t>一、</w:t>
          </w:r>
          <w:r>
            <w:rPr>
              <w:rFonts w:hint="eastAsia" w:ascii="黑体" w:hAnsi="黑体" w:eastAsia="黑体"/>
              <w:sz w:val="28"/>
              <w:szCs w:val="44"/>
              <w:lang w:eastAsia="zh-CN"/>
            </w:rPr>
            <w:t>部门</w:t>
          </w:r>
          <w:r>
            <w:rPr>
              <w:rFonts w:hint="eastAsia" w:ascii="黑体" w:hAnsi="黑体" w:eastAsia="黑体"/>
              <w:sz w:val="28"/>
              <w:szCs w:val="48"/>
            </w:rPr>
            <w:t>基本情况</w:t>
          </w:r>
          <w:r>
            <w:rPr>
              <w:sz w:val="28"/>
              <w:szCs w:val="32"/>
            </w:rPr>
            <w:tab/>
          </w:r>
          <w:r>
            <w:rPr>
              <w:sz w:val="28"/>
              <w:szCs w:val="32"/>
            </w:rPr>
            <w:fldChar w:fldCharType="begin"/>
          </w:r>
          <w:r>
            <w:rPr>
              <w:sz w:val="28"/>
              <w:szCs w:val="32"/>
            </w:rPr>
            <w:instrText xml:space="preserve"> PAGEREF _Toc11924 \h </w:instrText>
          </w:r>
          <w:r>
            <w:rPr>
              <w:sz w:val="28"/>
              <w:szCs w:val="32"/>
            </w:rPr>
            <w:fldChar w:fldCharType="separate"/>
          </w:r>
          <w:r>
            <w:rPr>
              <w:sz w:val="28"/>
              <w:szCs w:val="32"/>
            </w:rPr>
            <w:t>-1-</w:t>
          </w:r>
          <w:r>
            <w:rPr>
              <w:sz w:val="28"/>
              <w:szCs w:val="32"/>
            </w:rPr>
            <w:fldChar w:fldCharType="end"/>
          </w:r>
          <w:r>
            <w:rPr>
              <w:rFonts w:hint="eastAsia" w:ascii="宋体" w:hAnsi="宋体" w:cs="宋体"/>
              <w:bCs/>
              <w:sz w:val="28"/>
              <w:szCs w:val="56"/>
              <w:lang w:eastAsia="zh-CN"/>
            </w:rPr>
            <w:fldChar w:fldCharType="end"/>
          </w:r>
        </w:p>
        <w:p w14:paraId="55D52546">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_Toc16309 </w:instrText>
          </w:r>
          <w:r>
            <w:rPr>
              <w:rFonts w:hint="eastAsia" w:ascii="宋体" w:hAnsi="宋体" w:cs="宋体"/>
              <w:bCs/>
              <w:sz w:val="28"/>
              <w:szCs w:val="56"/>
              <w:lang w:eastAsia="zh-CN"/>
            </w:rPr>
            <w:fldChar w:fldCharType="separate"/>
          </w:r>
          <w:r>
            <w:rPr>
              <w:rFonts w:hint="eastAsia" w:ascii="楷体" w:hAnsi="楷体" w:eastAsia="楷体" w:cs="楷体"/>
              <w:sz w:val="28"/>
              <w:szCs w:val="44"/>
            </w:rPr>
            <w:t>（一）</w:t>
          </w:r>
          <w:r>
            <w:rPr>
              <w:rFonts w:hint="eastAsia" w:ascii="楷体" w:hAnsi="楷体" w:eastAsia="楷体" w:cs="楷体"/>
              <w:sz w:val="28"/>
              <w:szCs w:val="44"/>
              <w:lang w:eastAsia="zh-CN"/>
            </w:rPr>
            <w:t>部门</w:t>
          </w:r>
          <w:r>
            <w:rPr>
              <w:rFonts w:hint="eastAsia" w:ascii="楷体" w:hAnsi="楷体" w:eastAsia="楷体" w:cs="楷体"/>
              <w:sz w:val="28"/>
              <w:szCs w:val="44"/>
            </w:rPr>
            <w:t>概况</w:t>
          </w:r>
          <w:r>
            <w:rPr>
              <w:sz w:val="28"/>
              <w:szCs w:val="32"/>
            </w:rPr>
            <w:tab/>
          </w:r>
          <w:r>
            <w:rPr>
              <w:sz w:val="28"/>
              <w:szCs w:val="32"/>
            </w:rPr>
            <w:fldChar w:fldCharType="begin"/>
          </w:r>
          <w:r>
            <w:rPr>
              <w:sz w:val="28"/>
              <w:szCs w:val="32"/>
            </w:rPr>
            <w:instrText xml:space="preserve"> PAGEREF _Toc16309 \h </w:instrText>
          </w:r>
          <w:r>
            <w:rPr>
              <w:sz w:val="28"/>
              <w:szCs w:val="32"/>
            </w:rPr>
            <w:fldChar w:fldCharType="separate"/>
          </w:r>
          <w:r>
            <w:rPr>
              <w:sz w:val="28"/>
              <w:szCs w:val="32"/>
            </w:rPr>
            <w:t>-1-</w:t>
          </w:r>
          <w:r>
            <w:rPr>
              <w:sz w:val="28"/>
              <w:szCs w:val="32"/>
            </w:rPr>
            <w:fldChar w:fldCharType="end"/>
          </w:r>
          <w:r>
            <w:rPr>
              <w:rFonts w:hint="eastAsia" w:ascii="宋体" w:hAnsi="宋体" w:cs="宋体"/>
              <w:bCs/>
              <w:sz w:val="28"/>
              <w:szCs w:val="56"/>
              <w:lang w:eastAsia="zh-CN"/>
            </w:rPr>
            <w:fldChar w:fldCharType="end"/>
          </w:r>
        </w:p>
        <w:p w14:paraId="57CC12BB">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_Toc31735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w:t>
          </w:r>
          <w:r>
            <w:rPr>
              <w:rFonts w:hint="eastAsia" w:ascii="仿宋" w:hAnsi="仿宋" w:eastAsia="仿宋" w:cs="楷体_GB2312"/>
              <w:bCs/>
              <w:sz w:val="28"/>
              <w:szCs w:val="44"/>
              <w:lang w:val="en-US" w:eastAsia="zh-CN"/>
            </w:rPr>
            <w:t>二</w:t>
          </w:r>
          <w:r>
            <w:rPr>
              <w:rFonts w:hint="eastAsia" w:ascii="仿宋" w:hAnsi="仿宋" w:eastAsia="仿宋" w:cs="楷体_GB2312"/>
              <w:bCs/>
              <w:sz w:val="28"/>
              <w:szCs w:val="44"/>
              <w:lang w:eastAsia="zh-CN"/>
            </w:rPr>
            <w:t>）部门收支预决算情况</w:t>
          </w:r>
          <w:r>
            <w:rPr>
              <w:sz w:val="28"/>
              <w:szCs w:val="32"/>
            </w:rPr>
            <w:tab/>
          </w:r>
          <w:r>
            <w:rPr>
              <w:sz w:val="28"/>
              <w:szCs w:val="32"/>
            </w:rPr>
            <w:fldChar w:fldCharType="begin"/>
          </w:r>
          <w:r>
            <w:rPr>
              <w:sz w:val="28"/>
              <w:szCs w:val="32"/>
            </w:rPr>
            <w:instrText xml:space="preserve"> PAGEREF _Toc31735 \h </w:instrText>
          </w:r>
          <w:r>
            <w:rPr>
              <w:sz w:val="28"/>
              <w:szCs w:val="32"/>
            </w:rPr>
            <w:fldChar w:fldCharType="separate"/>
          </w:r>
          <w:r>
            <w:rPr>
              <w:sz w:val="28"/>
              <w:szCs w:val="32"/>
            </w:rPr>
            <w:t>-3-</w:t>
          </w:r>
          <w:r>
            <w:rPr>
              <w:sz w:val="28"/>
              <w:szCs w:val="32"/>
            </w:rPr>
            <w:fldChar w:fldCharType="end"/>
          </w:r>
          <w:r>
            <w:rPr>
              <w:rFonts w:hint="eastAsia" w:ascii="宋体" w:hAnsi="宋体" w:cs="宋体"/>
              <w:bCs/>
              <w:sz w:val="28"/>
              <w:szCs w:val="56"/>
              <w:lang w:eastAsia="zh-CN"/>
            </w:rPr>
            <w:fldChar w:fldCharType="end"/>
          </w:r>
        </w:p>
        <w:p w14:paraId="7843A01C">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_Toc26868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（三）部门整体支出绩效目标、指标</w:t>
          </w:r>
          <w:r>
            <w:rPr>
              <w:sz w:val="28"/>
              <w:szCs w:val="32"/>
            </w:rPr>
            <w:tab/>
          </w:r>
          <w:r>
            <w:rPr>
              <w:sz w:val="28"/>
              <w:szCs w:val="32"/>
            </w:rPr>
            <w:fldChar w:fldCharType="begin"/>
          </w:r>
          <w:r>
            <w:rPr>
              <w:sz w:val="28"/>
              <w:szCs w:val="32"/>
            </w:rPr>
            <w:instrText xml:space="preserve"> PAGEREF _Toc26868 \h </w:instrText>
          </w:r>
          <w:r>
            <w:rPr>
              <w:sz w:val="28"/>
              <w:szCs w:val="32"/>
            </w:rPr>
            <w:fldChar w:fldCharType="separate"/>
          </w:r>
          <w:r>
            <w:rPr>
              <w:sz w:val="28"/>
              <w:szCs w:val="32"/>
            </w:rPr>
            <w:t>-4-</w:t>
          </w:r>
          <w:r>
            <w:rPr>
              <w:sz w:val="28"/>
              <w:szCs w:val="32"/>
            </w:rPr>
            <w:fldChar w:fldCharType="end"/>
          </w:r>
          <w:r>
            <w:rPr>
              <w:rFonts w:hint="eastAsia" w:ascii="宋体" w:hAnsi="宋体" w:cs="宋体"/>
              <w:bCs/>
              <w:sz w:val="28"/>
              <w:szCs w:val="56"/>
              <w:lang w:eastAsia="zh-CN"/>
            </w:rPr>
            <w:fldChar w:fldCharType="end"/>
          </w:r>
        </w:p>
        <w:p w14:paraId="0C5878FF">
          <w:pPr>
            <w:pStyle w:val="7"/>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_Toc10915 </w:instrText>
          </w:r>
          <w:r>
            <w:rPr>
              <w:rFonts w:hint="eastAsia" w:ascii="宋体" w:hAnsi="宋体" w:cs="宋体"/>
              <w:bCs/>
              <w:sz w:val="28"/>
              <w:szCs w:val="56"/>
              <w:lang w:eastAsia="zh-CN"/>
            </w:rPr>
            <w:fldChar w:fldCharType="separate"/>
          </w:r>
          <w:r>
            <w:rPr>
              <w:rFonts w:hint="eastAsia" w:ascii="黑体" w:hAnsi="黑体" w:eastAsia="黑体"/>
              <w:sz w:val="28"/>
              <w:szCs w:val="44"/>
            </w:rPr>
            <w:t>二、自评工作</w:t>
          </w:r>
          <w:r>
            <w:rPr>
              <w:rFonts w:hint="eastAsia" w:ascii="黑体" w:hAnsi="黑体" w:eastAsia="黑体"/>
              <w:sz w:val="28"/>
              <w:szCs w:val="44"/>
              <w:lang w:eastAsia="zh-CN"/>
            </w:rPr>
            <w:t>开展</w:t>
          </w:r>
          <w:r>
            <w:rPr>
              <w:rFonts w:hint="eastAsia" w:ascii="黑体" w:hAnsi="黑体" w:eastAsia="黑体"/>
              <w:sz w:val="28"/>
              <w:szCs w:val="44"/>
            </w:rPr>
            <w:t>情况</w:t>
          </w:r>
          <w:r>
            <w:rPr>
              <w:sz w:val="28"/>
              <w:szCs w:val="32"/>
            </w:rPr>
            <w:tab/>
          </w:r>
          <w:r>
            <w:rPr>
              <w:sz w:val="28"/>
              <w:szCs w:val="32"/>
            </w:rPr>
            <w:fldChar w:fldCharType="begin"/>
          </w:r>
          <w:r>
            <w:rPr>
              <w:sz w:val="28"/>
              <w:szCs w:val="32"/>
            </w:rPr>
            <w:instrText xml:space="preserve"> PAGEREF _Toc10915 \h </w:instrText>
          </w:r>
          <w:r>
            <w:rPr>
              <w:sz w:val="28"/>
              <w:szCs w:val="32"/>
            </w:rPr>
            <w:fldChar w:fldCharType="separate"/>
          </w:r>
          <w:r>
            <w:rPr>
              <w:sz w:val="28"/>
              <w:szCs w:val="32"/>
            </w:rPr>
            <w:t>-5-</w:t>
          </w:r>
          <w:r>
            <w:rPr>
              <w:sz w:val="28"/>
              <w:szCs w:val="32"/>
            </w:rPr>
            <w:fldChar w:fldCharType="end"/>
          </w:r>
          <w:r>
            <w:rPr>
              <w:rFonts w:hint="eastAsia" w:ascii="宋体" w:hAnsi="宋体" w:cs="宋体"/>
              <w:bCs/>
              <w:sz w:val="28"/>
              <w:szCs w:val="56"/>
              <w:lang w:eastAsia="zh-CN"/>
            </w:rPr>
            <w:fldChar w:fldCharType="end"/>
          </w:r>
        </w:p>
        <w:p w14:paraId="618F22A0">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_Toc16847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（一）自评的组织工作</w:t>
          </w:r>
          <w:r>
            <w:rPr>
              <w:sz w:val="28"/>
              <w:szCs w:val="32"/>
            </w:rPr>
            <w:tab/>
          </w:r>
          <w:r>
            <w:rPr>
              <w:sz w:val="28"/>
              <w:szCs w:val="32"/>
            </w:rPr>
            <w:fldChar w:fldCharType="begin"/>
          </w:r>
          <w:r>
            <w:rPr>
              <w:sz w:val="28"/>
              <w:szCs w:val="32"/>
            </w:rPr>
            <w:instrText xml:space="preserve"> PAGEREF _Toc16847 \h </w:instrText>
          </w:r>
          <w:r>
            <w:rPr>
              <w:sz w:val="28"/>
              <w:szCs w:val="32"/>
            </w:rPr>
            <w:fldChar w:fldCharType="separate"/>
          </w:r>
          <w:r>
            <w:rPr>
              <w:sz w:val="28"/>
              <w:szCs w:val="32"/>
            </w:rPr>
            <w:t>-5-</w:t>
          </w:r>
          <w:r>
            <w:rPr>
              <w:sz w:val="28"/>
              <w:szCs w:val="32"/>
            </w:rPr>
            <w:fldChar w:fldCharType="end"/>
          </w:r>
          <w:r>
            <w:rPr>
              <w:rFonts w:hint="eastAsia" w:ascii="宋体" w:hAnsi="宋体" w:cs="宋体"/>
              <w:bCs/>
              <w:sz w:val="28"/>
              <w:szCs w:val="56"/>
              <w:lang w:eastAsia="zh-CN"/>
            </w:rPr>
            <w:fldChar w:fldCharType="end"/>
          </w:r>
        </w:p>
        <w:p w14:paraId="330FB469">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_Toc17683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二</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绩效自评目的</w:t>
          </w:r>
          <w:r>
            <w:rPr>
              <w:sz w:val="28"/>
              <w:szCs w:val="32"/>
            </w:rPr>
            <w:tab/>
          </w:r>
          <w:r>
            <w:rPr>
              <w:sz w:val="28"/>
              <w:szCs w:val="32"/>
            </w:rPr>
            <w:fldChar w:fldCharType="begin"/>
          </w:r>
          <w:r>
            <w:rPr>
              <w:sz w:val="28"/>
              <w:szCs w:val="32"/>
            </w:rPr>
            <w:instrText xml:space="preserve"> PAGEREF _Toc17683 \h </w:instrText>
          </w:r>
          <w:r>
            <w:rPr>
              <w:sz w:val="28"/>
              <w:szCs w:val="32"/>
            </w:rPr>
            <w:fldChar w:fldCharType="separate"/>
          </w:r>
          <w:r>
            <w:rPr>
              <w:sz w:val="28"/>
              <w:szCs w:val="32"/>
            </w:rPr>
            <w:t>-6-</w:t>
          </w:r>
          <w:r>
            <w:rPr>
              <w:sz w:val="28"/>
              <w:szCs w:val="32"/>
            </w:rPr>
            <w:fldChar w:fldCharType="end"/>
          </w:r>
          <w:r>
            <w:rPr>
              <w:rFonts w:hint="eastAsia" w:ascii="宋体" w:hAnsi="宋体" w:cs="宋体"/>
              <w:bCs/>
              <w:sz w:val="28"/>
              <w:szCs w:val="56"/>
              <w:lang w:eastAsia="zh-CN"/>
            </w:rPr>
            <w:fldChar w:fldCharType="end"/>
          </w:r>
        </w:p>
        <w:p w14:paraId="11514CF4">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_Toc2211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三</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绩效自评内容</w:t>
          </w:r>
          <w:r>
            <w:rPr>
              <w:sz w:val="28"/>
              <w:szCs w:val="32"/>
            </w:rPr>
            <w:tab/>
          </w:r>
          <w:r>
            <w:rPr>
              <w:sz w:val="28"/>
              <w:szCs w:val="32"/>
            </w:rPr>
            <w:fldChar w:fldCharType="begin"/>
          </w:r>
          <w:r>
            <w:rPr>
              <w:sz w:val="28"/>
              <w:szCs w:val="32"/>
            </w:rPr>
            <w:instrText xml:space="preserve"> PAGEREF _Toc2211 \h </w:instrText>
          </w:r>
          <w:r>
            <w:rPr>
              <w:sz w:val="28"/>
              <w:szCs w:val="32"/>
            </w:rPr>
            <w:fldChar w:fldCharType="separate"/>
          </w:r>
          <w:r>
            <w:rPr>
              <w:sz w:val="28"/>
              <w:szCs w:val="32"/>
            </w:rPr>
            <w:t>-6-</w:t>
          </w:r>
          <w:r>
            <w:rPr>
              <w:sz w:val="28"/>
              <w:szCs w:val="32"/>
            </w:rPr>
            <w:fldChar w:fldCharType="end"/>
          </w:r>
          <w:r>
            <w:rPr>
              <w:rFonts w:hint="eastAsia" w:ascii="宋体" w:hAnsi="宋体" w:cs="宋体"/>
              <w:bCs/>
              <w:sz w:val="28"/>
              <w:szCs w:val="56"/>
              <w:lang w:eastAsia="zh-CN"/>
            </w:rPr>
            <w:fldChar w:fldCharType="end"/>
          </w:r>
        </w:p>
        <w:p w14:paraId="5EAAF1CC">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_Toc7882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w:t>
          </w:r>
          <w:r>
            <w:rPr>
              <w:rFonts w:hint="eastAsia" w:ascii="仿宋" w:hAnsi="仿宋" w:eastAsia="仿宋" w:cs="楷体_GB2312"/>
              <w:bCs/>
              <w:sz w:val="28"/>
              <w:szCs w:val="44"/>
              <w:lang w:val="en-US" w:eastAsia="zh-CN"/>
            </w:rPr>
            <w:t>四</w:t>
          </w:r>
          <w:r>
            <w:rPr>
              <w:rFonts w:hint="eastAsia" w:ascii="仿宋" w:hAnsi="仿宋" w:eastAsia="仿宋" w:cs="楷体_GB2312"/>
              <w:bCs/>
              <w:sz w:val="28"/>
              <w:szCs w:val="44"/>
              <w:lang w:eastAsia="zh-CN"/>
            </w:rPr>
            <w:t>）</w:t>
          </w:r>
          <w:r>
            <w:rPr>
              <w:rFonts w:hint="eastAsia" w:ascii="仿宋" w:hAnsi="仿宋" w:eastAsia="仿宋" w:cs="楷体_GB2312"/>
              <w:bCs/>
              <w:sz w:val="28"/>
              <w:szCs w:val="44"/>
            </w:rPr>
            <w:t>自评的方法</w:t>
          </w:r>
          <w:r>
            <w:rPr>
              <w:sz w:val="28"/>
              <w:szCs w:val="32"/>
            </w:rPr>
            <w:tab/>
          </w:r>
          <w:r>
            <w:rPr>
              <w:sz w:val="28"/>
              <w:szCs w:val="32"/>
            </w:rPr>
            <w:fldChar w:fldCharType="begin"/>
          </w:r>
          <w:r>
            <w:rPr>
              <w:sz w:val="28"/>
              <w:szCs w:val="32"/>
            </w:rPr>
            <w:instrText xml:space="preserve"> PAGEREF _Toc7882 \h </w:instrText>
          </w:r>
          <w:r>
            <w:rPr>
              <w:sz w:val="28"/>
              <w:szCs w:val="32"/>
            </w:rPr>
            <w:fldChar w:fldCharType="separate"/>
          </w:r>
          <w:r>
            <w:rPr>
              <w:sz w:val="28"/>
              <w:szCs w:val="32"/>
            </w:rPr>
            <w:t>-6-</w:t>
          </w:r>
          <w:r>
            <w:rPr>
              <w:sz w:val="28"/>
              <w:szCs w:val="32"/>
            </w:rPr>
            <w:fldChar w:fldCharType="end"/>
          </w:r>
          <w:r>
            <w:rPr>
              <w:rFonts w:hint="eastAsia" w:ascii="宋体" w:hAnsi="宋体" w:cs="宋体"/>
              <w:bCs/>
              <w:sz w:val="28"/>
              <w:szCs w:val="56"/>
              <w:lang w:eastAsia="zh-CN"/>
            </w:rPr>
            <w:fldChar w:fldCharType="end"/>
          </w:r>
        </w:p>
        <w:p w14:paraId="4FB890D8">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_Toc7936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五</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w:t>
          </w:r>
          <w:r>
            <w:rPr>
              <w:rFonts w:hint="eastAsia" w:ascii="仿宋_GB2312" w:hAnsi="仿宋_GB2312" w:eastAsia="仿宋_GB2312" w:cs="仿宋_GB2312"/>
              <w:bCs/>
              <w:sz w:val="28"/>
              <w:szCs w:val="44"/>
              <w:lang w:val="en-US" w:eastAsia="zh-CN"/>
            </w:rPr>
            <w:t>过程</w:t>
          </w:r>
          <w:r>
            <w:rPr>
              <w:sz w:val="28"/>
              <w:szCs w:val="32"/>
            </w:rPr>
            <w:tab/>
          </w:r>
          <w:r>
            <w:rPr>
              <w:sz w:val="28"/>
              <w:szCs w:val="32"/>
            </w:rPr>
            <w:fldChar w:fldCharType="begin"/>
          </w:r>
          <w:r>
            <w:rPr>
              <w:sz w:val="28"/>
              <w:szCs w:val="32"/>
            </w:rPr>
            <w:instrText xml:space="preserve"> PAGEREF _Toc7936 \h </w:instrText>
          </w:r>
          <w:r>
            <w:rPr>
              <w:sz w:val="28"/>
              <w:szCs w:val="32"/>
            </w:rPr>
            <w:fldChar w:fldCharType="separate"/>
          </w:r>
          <w:r>
            <w:rPr>
              <w:sz w:val="28"/>
              <w:szCs w:val="32"/>
            </w:rPr>
            <w:t>-7-</w:t>
          </w:r>
          <w:r>
            <w:rPr>
              <w:sz w:val="28"/>
              <w:szCs w:val="32"/>
            </w:rPr>
            <w:fldChar w:fldCharType="end"/>
          </w:r>
          <w:r>
            <w:rPr>
              <w:rFonts w:hint="eastAsia" w:ascii="宋体" w:hAnsi="宋体" w:cs="宋体"/>
              <w:bCs/>
              <w:sz w:val="28"/>
              <w:szCs w:val="56"/>
              <w:lang w:eastAsia="zh-CN"/>
            </w:rPr>
            <w:fldChar w:fldCharType="end"/>
          </w:r>
        </w:p>
        <w:p w14:paraId="2B4EDC77">
          <w:pPr>
            <w:pStyle w:val="7"/>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_Toc26322 </w:instrText>
          </w:r>
          <w:r>
            <w:rPr>
              <w:rFonts w:hint="eastAsia" w:ascii="宋体" w:hAnsi="宋体" w:cs="宋体"/>
              <w:bCs/>
              <w:sz w:val="28"/>
              <w:szCs w:val="56"/>
              <w:lang w:eastAsia="zh-CN"/>
            </w:rPr>
            <w:fldChar w:fldCharType="separate"/>
          </w:r>
          <w:r>
            <w:rPr>
              <w:rFonts w:hint="eastAsia" w:ascii="黑体" w:hAnsi="黑体" w:eastAsia="黑体"/>
              <w:sz w:val="28"/>
              <w:szCs w:val="44"/>
            </w:rPr>
            <w:t>三、</w:t>
          </w:r>
          <w:r>
            <w:rPr>
              <w:rFonts w:hint="eastAsia" w:ascii="黑体" w:hAnsi="黑体" w:eastAsia="黑体"/>
              <w:sz w:val="28"/>
              <w:szCs w:val="44"/>
              <w:lang w:eastAsia="zh-CN"/>
            </w:rPr>
            <w:t>部门整体支出</w:t>
          </w:r>
          <w:r>
            <w:rPr>
              <w:rFonts w:hint="eastAsia" w:ascii="黑体" w:hAnsi="黑体" w:eastAsia="黑体"/>
              <w:sz w:val="28"/>
              <w:szCs w:val="44"/>
            </w:rPr>
            <w:t>绩效</w:t>
          </w:r>
          <w:r>
            <w:rPr>
              <w:rFonts w:hint="eastAsia" w:ascii="黑体" w:hAnsi="黑体" w:eastAsia="黑体"/>
              <w:sz w:val="28"/>
              <w:szCs w:val="44"/>
              <w:lang w:eastAsia="zh-CN"/>
            </w:rPr>
            <w:t>目标实现情况及指标分析</w:t>
          </w:r>
          <w:r>
            <w:rPr>
              <w:sz w:val="28"/>
              <w:szCs w:val="32"/>
            </w:rPr>
            <w:tab/>
          </w:r>
          <w:r>
            <w:rPr>
              <w:sz w:val="28"/>
              <w:szCs w:val="32"/>
            </w:rPr>
            <w:fldChar w:fldCharType="begin"/>
          </w:r>
          <w:r>
            <w:rPr>
              <w:sz w:val="28"/>
              <w:szCs w:val="32"/>
            </w:rPr>
            <w:instrText xml:space="preserve"> PAGEREF _Toc26322 \h </w:instrText>
          </w:r>
          <w:r>
            <w:rPr>
              <w:sz w:val="28"/>
              <w:szCs w:val="32"/>
            </w:rPr>
            <w:fldChar w:fldCharType="separate"/>
          </w:r>
          <w:r>
            <w:rPr>
              <w:sz w:val="28"/>
              <w:szCs w:val="32"/>
            </w:rPr>
            <w:t>-7-</w:t>
          </w:r>
          <w:r>
            <w:rPr>
              <w:sz w:val="28"/>
              <w:szCs w:val="32"/>
            </w:rPr>
            <w:fldChar w:fldCharType="end"/>
          </w:r>
          <w:r>
            <w:rPr>
              <w:rFonts w:hint="eastAsia" w:ascii="宋体" w:hAnsi="宋体" w:cs="宋体"/>
              <w:bCs/>
              <w:sz w:val="28"/>
              <w:szCs w:val="56"/>
              <w:lang w:eastAsia="zh-CN"/>
            </w:rPr>
            <w:fldChar w:fldCharType="end"/>
          </w:r>
        </w:p>
        <w:p w14:paraId="104AF480">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_Toc17583 </w:instrText>
          </w:r>
          <w:r>
            <w:rPr>
              <w:rFonts w:hint="eastAsia" w:ascii="宋体" w:hAnsi="宋体" w:cs="宋体"/>
              <w:bCs/>
              <w:sz w:val="28"/>
              <w:szCs w:val="56"/>
              <w:lang w:eastAsia="zh-CN"/>
            </w:rPr>
            <w:fldChar w:fldCharType="separate"/>
          </w:r>
          <w:r>
            <w:rPr>
              <w:rFonts w:ascii="仿宋" w:hAnsi="仿宋" w:eastAsia="仿宋" w:cs="楷体_GB2312"/>
              <w:bCs/>
              <w:sz w:val="28"/>
              <w:szCs w:val="44"/>
            </w:rPr>
            <w:t>（一）</w:t>
          </w:r>
          <w:r>
            <w:rPr>
              <w:rFonts w:hint="eastAsia" w:ascii="仿宋" w:hAnsi="仿宋" w:eastAsia="仿宋" w:cs="楷体_GB2312"/>
              <w:bCs/>
              <w:sz w:val="28"/>
              <w:szCs w:val="44"/>
              <w:lang w:eastAsia="zh-CN"/>
            </w:rPr>
            <w:t>总体绩效目标实现情况</w:t>
          </w:r>
          <w:r>
            <w:rPr>
              <w:sz w:val="28"/>
              <w:szCs w:val="32"/>
            </w:rPr>
            <w:tab/>
          </w:r>
          <w:r>
            <w:rPr>
              <w:sz w:val="28"/>
              <w:szCs w:val="32"/>
            </w:rPr>
            <w:fldChar w:fldCharType="begin"/>
          </w:r>
          <w:r>
            <w:rPr>
              <w:sz w:val="28"/>
              <w:szCs w:val="32"/>
            </w:rPr>
            <w:instrText xml:space="preserve"> PAGEREF _Toc17583 \h </w:instrText>
          </w:r>
          <w:r>
            <w:rPr>
              <w:sz w:val="28"/>
              <w:szCs w:val="32"/>
            </w:rPr>
            <w:fldChar w:fldCharType="separate"/>
          </w:r>
          <w:r>
            <w:rPr>
              <w:sz w:val="28"/>
              <w:szCs w:val="32"/>
            </w:rPr>
            <w:t>-7-</w:t>
          </w:r>
          <w:r>
            <w:rPr>
              <w:sz w:val="28"/>
              <w:szCs w:val="32"/>
            </w:rPr>
            <w:fldChar w:fldCharType="end"/>
          </w:r>
          <w:r>
            <w:rPr>
              <w:rFonts w:hint="eastAsia" w:ascii="宋体" w:hAnsi="宋体" w:cs="宋体"/>
              <w:bCs/>
              <w:sz w:val="28"/>
              <w:szCs w:val="56"/>
              <w:lang w:eastAsia="zh-CN"/>
            </w:rPr>
            <w:fldChar w:fldCharType="end"/>
          </w:r>
        </w:p>
        <w:p w14:paraId="7DCB804B">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_Toc7947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（二）</w:t>
          </w:r>
          <w:r>
            <w:rPr>
              <w:rFonts w:hint="eastAsia" w:ascii="仿宋" w:hAnsi="仿宋" w:eastAsia="仿宋" w:cs="楷体_GB2312"/>
              <w:bCs/>
              <w:sz w:val="28"/>
              <w:szCs w:val="44"/>
              <w:highlight w:val="none"/>
              <w:lang w:eastAsia="zh-CN"/>
            </w:rPr>
            <w:t>分项绩效目标实现情况及指标分析</w:t>
          </w:r>
          <w:r>
            <w:rPr>
              <w:sz w:val="28"/>
              <w:szCs w:val="32"/>
            </w:rPr>
            <w:tab/>
          </w:r>
          <w:r>
            <w:rPr>
              <w:sz w:val="28"/>
              <w:szCs w:val="32"/>
            </w:rPr>
            <w:fldChar w:fldCharType="begin"/>
          </w:r>
          <w:r>
            <w:rPr>
              <w:sz w:val="28"/>
              <w:szCs w:val="32"/>
            </w:rPr>
            <w:instrText xml:space="preserve"> PAGEREF _Toc7947 \h </w:instrText>
          </w:r>
          <w:r>
            <w:rPr>
              <w:sz w:val="28"/>
              <w:szCs w:val="32"/>
            </w:rPr>
            <w:fldChar w:fldCharType="separate"/>
          </w:r>
          <w:r>
            <w:rPr>
              <w:sz w:val="28"/>
              <w:szCs w:val="32"/>
            </w:rPr>
            <w:t>-8-</w:t>
          </w:r>
          <w:r>
            <w:rPr>
              <w:sz w:val="28"/>
              <w:szCs w:val="32"/>
            </w:rPr>
            <w:fldChar w:fldCharType="end"/>
          </w:r>
          <w:r>
            <w:rPr>
              <w:rFonts w:hint="eastAsia" w:ascii="宋体" w:hAnsi="宋体" w:cs="宋体"/>
              <w:bCs/>
              <w:sz w:val="28"/>
              <w:szCs w:val="56"/>
              <w:lang w:eastAsia="zh-CN"/>
            </w:rPr>
            <w:fldChar w:fldCharType="end"/>
          </w:r>
        </w:p>
        <w:p w14:paraId="75CA46C2">
          <w:pPr>
            <w:pStyle w:val="7"/>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_Toc14412 </w:instrText>
          </w:r>
          <w:r>
            <w:rPr>
              <w:rFonts w:hint="eastAsia" w:ascii="宋体" w:hAnsi="宋体" w:cs="宋体"/>
              <w:bCs/>
              <w:sz w:val="28"/>
              <w:szCs w:val="56"/>
              <w:lang w:eastAsia="zh-CN"/>
            </w:rPr>
            <w:fldChar w:fldCharType="separate"/>
          </w:r>
          <w:r>
            <w:rPr>
              <w:rFonts w:hint="eastAsia" w:ascii="黑体" w:hAnsi="黑体" w:eastAsia="黑体"/>
              <w:sz w:val="28"/>
              <w:szCs w:val="44"/>
            </w:rPr>
            <w:t>四、评价结论和评价等级</w:t>
          </w:r>
          <w:r>
            <w:rPr>
              <w:sz w:val="28"/>
              <w:szCs w:val="32"/>
            </w:rPr>
            <w:tab/>
          </w:r>
          <w:r>
            <w:rPr>
              <w:sz w:val="28"/>
              <w:szCs w:val="32"/>
            </w:rPr>
            <w:fldChar w:fldCharType="begin"/>
          </w:r>
          <w:r>
            <w:rPr>
              <w:sz w:val="28"/>
              <w:szCs w:val="32"/>
            </w:rPr>
            <w:instrText xml:space="preserve"> PAGEREF _Toc14412 \h </w:instrText>
          </w:r>
          <w:r>
            <w:rPr>
              <w:sz w:val="28"/>
              <w:szCs w:val="32"/>
            </w:rPr>
            <w:fldChar w:fldCharType="separate"/>
          </w:r>
          <w:r>
            <w:rPr>
              <w:sz w:val="28"/>
              <w:szCs w:val="32"/>
            </w:rPr>
            <w:t>-10-</w:t>
          </w:r>
          <w:r>
            <w:rPr>
              <w:sz w:val="28"/>
              <w:szCs w:val="32"/>
            </w:rPr>
            <w:fldChar w:fldCharType="end"/>
          </w:r>
          <w:r>
            <w:rPr>
              <w:rFonts w:hint="eastAsia" w:ascii="宋体" w:hAnsi="宋体" w:cs="宋体"/>
              <w:bCs/>
              <w:sz w:val="28"/>
              <w:szCs w:val="56"/>
              <w:lang w:eastAsia="zh-CN"/>
            </w:rPr>
            <w:fldChar w:fldCharType="end"/>
          </w:r>
        </w:p>
        <w:p w14:paraId="1BBA4204">
          <w:pPr>
            <w:pStyle w:val="7"/>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_Toc9976 </w:instrText>
          </w:r>
          <w:r>
            <w:rPr>
              <w:rFonts w:hint="eastAsia" w:ascii="宋体" w:hAnsi="宋体" w:cs="宋体"/>
              <w:bCs/>
              <w:sz w:val="28"/>
              <w:szCs w:val="56"/>
              <w:lang w:eastAsia="zh-CN"/>
            </w:rPr>
            <w:fldChar w:fldCharType="separate"/>
          </w:r>
          <w:r>
            <w:rPr>
              <w:rFonts w:hint="eastAsia" w:ascii="黑体" w:hAnsi="黑体" w:eastAsia="黑体" w:cs="黑体"/>
              <w:sz w:val="28"/>
              <w:szCs w:val="44"/>
              <w:lang w:val="en-US" w:eastAsia="zh-CN"/>
            </w:rPr>
            <w:t>五、存在的问题及改进措施</w:t>
          </w:r>
          <w:r>
            <w:rPr>
              <w:sz w:val="28"/>
              <w:szCs w:val="32"/>
            </w:rPr>
            <w:tab/>
          </w:r>
          <w:r>
            <w:rPr>
              <w:sz w:val="28"/>
              <w:szCs w:val="32"/>
            </w:rPr>
            <w:fldChar w:fldCharType="begin"/>
          </w:r>
          <w:r>
            <w:rPr>
              <w:sz w:val="28"/>
              <w:szCs w:val="32"/>
            </w:rPr>
            <w:instrText xml:space="preserve"> PAGEREF _Toc9976 \h </w:instrText>
          </w:r>
          <w:r>
            <w:rPr>
              <w:sz w:val="28"/>
              <w:szCs w:val="32"/>
            </w:rPr>
            <w:fldChar w:fldCharType="separate"/>
          </w:r>
          <w:r>
            <w:rPr>
              <w:sz w:val="28"/>
              <w:szCs w:val="32"/>
            </w:rPr>
            <w:t>-11-</w:t>
          </w:r>
          <w:r>
            <w:rPr>
              <w:sz w:val="28"/>
              <w:szCs w:val="32"/>
            </w:rPr>
            <w:fldChar w:fldCharType="end"/>
          </w:r>
          <w:r>
            <w:rPr>
              <w:rFonts w:hint="eastAsia" w:ascii="宋体" w:hAnsi="宋体" w:cs="宋体"/>
              <w:bCs/>
              <w:sz w:val="28"/>
              <w:szCs w:val="56"/>
              <w:lang w:eastAsia="zh-CN"/>
            </w:rPr>
            <w:fldChar w:fldCharType="end"/>
          </w:r>
        </w:p>
        <w:p w14:paraId="1EB6D25C">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_Toc20827 </w:instrText>
          </w:r>
          <w:r>
            <w:rPr>
              <w:rFonts w:hint="eastAsia" w:ascii="宋体" w:hAnsi="宋体" w:cs="宋体"/>
              <w:bCs/>
              <w:sz w:val="28"/>
              <w:szCs w:val="56"/>
              <w:lang w:eastAsia="zh-CN"/>
            </w:rPr>
            <w:fldChar w:fldCharType="separate"/>
          </w:r>
          <w:r>
            <w:rPr>
              <w:rFonts w:hint="eastAsia" w:ascii="仿宋" w:hAnsi="仿宋" w:eastAsia="仿宋"/>
              <w:bCs/>
              <w:sz w:val="28"/>
              <w:szCs w:val="44"/>
            </w:rPr>
            <w:t>（</w:t>
          </w:r>
          <w:r>
            <w:rPr>
              <w:rFonts w:hint="eastAsia" w:ascii="仿宋" w:hAnsi="仿宋" w:eastAsia="仿宋"/>
              <w:bCs/>
              <w:sz w:val="28"/>
              <w:szCs w:val="44"/>
              <w:lang w:val="en-US" w:eastAsia="zh-CN"/>
            </w:rPr>
            <w:t>一</w:t>
          </w:r>
          <w:r>
            <w:rPr>
              <w:rFonts w:hint="eastAsia" w:ascii="仿宋" w:hAnsi="仿宋" w:eastAsia="仿宋"/>
              <w:bCs/>
              <w:sz w:val="28"/>
              <w:szCs w:val="44"/>
            </w:rPr>
            <w:t>）</w:t>
          </w:r>
          <w:r>
            <w:rPr>
              <w:rFonts w:hint="eastAsia" w:ascii="仿宋" w:hAnsi="仿宋" w:eastAsia="仿宋"/>
              <w:bCs/>
              <w:sz w:val="28"/>
              <w:szCs w:val="44"/>
              <w:lang w:val="en-US" w:eastAsia="zh-CN"/>
            </w:rPr>
            <w:t>存在的问题</w:t>
          </w:r>
          <w:r>
            <w:rPr>
              <w:sz w:val="28"/>
              <w:szCs w:val="32"/>
            </w:rPr>
            <w:tab/>
          </w:r>
          <w:r>
            <w:rPr>
              <w:sz w:val="28"/>
              <w:szCs w:val="32"/>
            </w:rPr>
            <w:fldChar w:fldCharType="begin"/>
          </w:r>
          <w:r>
            <w:rPr>
              <w:sz w:val="28"/>
              <w:szCs w:val="32"/>
            </w:rPr>
            <w:instrText xml:space="preserve"> PAGEREF _Toc20827 \h </w:instrText>
          </w:r>
          <w:r>
            <w:rPr>
              <w:sz w:val="28"/>
              <w:szCs w:val="32"/>
            </w:rPr>
            <w:fldChar w:fldCharType="separate"/>
          </w:r>
          <w:r>
            <w:rPr>
              <w:sz w:val="28"/>
              <w:szCs w:val="32"/>
            </w:rPr>
            <w:t>-11-</w:t>
          </w:r>
          <w:r>
            <w:rPr>
              <w:sz w:val="28"/>
              <w:szCs w:val="32"/>
            </w:rPr>
            <w:fldChar w:fldCharType="end"/>
          </w:r>
          <w:r>
            <w:rPr>
              <w:rFonts w:hint="eastAsia" w:ascii="宋体" w:hAnsi="宋体" w:cs="宋体"/>
              <w:bCs/>
              <w:sz w:val="28"/>
              <w:szCs w:val="56"/>
              <w:lang w:eastAsia="zh-CN"/>
            </w:rPr>
            <w:fldChar w:fldCharType="end"/>
          </w:r>
        </w:p>
        <w:p w14:paraId="3DF9E280">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_Toc15854 </w:instrText>
          </w:r>
          <w:r>
            <w:rPr>
              <w:rFonts w:hint="eastAsia" w:ascii="宋体" w:hAnsi="宋体" w:cs="宋体"/>
              <w:bCs/>
              <w:sz w:val="28"/>
              <w:szCs w:val="56"/>
              <w:lang w:eastAsia="zh-CN"/>
            </w:rPr>
            <w:fldChar w:fldCharType="separate"/>
          </w:r>
          <w:r>
            <w:rPr>
              <w:rFonts w:hint="eastAsia" w:ascii="仿宋" w:hAnsi="仿宋" w:eastAsia="仿宋"/>
              <w:bCs/>
              <w:sz w:val="28"/>
              <w:szCs w:val="44"/>
            </w:rPr>
            <w:t>（二）针对问题提出具体的改进措施或建议</w:t>
          </w:r>
          <w:r>
            <w:rPr>
              <w:sz w:val="28"/>
              <w:szCs w:val="32"/>
            </w:rPr>
            <w:tab/>
          </w:r>
          <w:r>
            <w:rPr>
              <w:sz w:val="28"/>
              <w:szCs w:val="32"/>
            </w:rPr>
            <w:fldChar w:fldCharType="begin"/>
          </w:r>
          <w:r>
            <w:rPr>
              <w:sz w:val="28"/>
              <w:szCs w:val="32"/>
            </w:rPr>
            <w:instrText xml:space="preserve"> PAGEREF _Toc15854 \h </w:instrText>
          </w:r>
          <w:r>
            <w:rPr>
              <w:sz w:val="28"/>
              <w:szCs w:val="32"/>
            </w:rPr>
            <w:fldChar w:fldCharType="separate"/>
          </w:r>
          <w:r>
            <w:rPr>
              <w:sz w:val="28"/>
              <w:szCs w:val="32"/>
            </w:rPr>
            <w:t>-11-</w:t>
          </w:r>
          <w:r>
            <w:rPr>
              <w:sz w:val="28"/>
              <w:szCs w:val="32"/>
            </w:rPr>
            <w:fldChar w:fldCharType="end"/>
          </w:r>
          <w:r>
            <w:rPr>
              <w:rFonts w:hint="eastAsia" w:ascii="宋体" w:hAnsi="宋体" w:cs="宋体"/>
              <w:bCs/>
              <w:sz w:val="28"/>
              <w:szCs w:val="56"/>
              <w:lang w:eastAsia="zh-CN"/>
            </w:rPr>
            <w:fldChar w:fldCharType="end"/>
          </w:r>
        </w:p>
        <w:p w14:paraId="51A17C3D">
          <w:pPr>
            <w:pStyle w:val="7"/>
            <w:tabs>
              <w:tab w:val="right" w:leader="dot" w:pos="8845"/>
            </w:tabs>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_Toc2100 </w:instrText>
          </w:r>
          <w:r>
            <w:rPr>
              <w:rFonts w:hint="eastAsia" w:ascii="宋体" w:hAnsi="宋体" w:cs="宋体"/>
              <w:bCs/>
              <w:sz w:val="28"/>
              <w:szCs w:val="56"/>
              <w:lang w:eastAsia="zh-CN"/>
            </w:rPr>
            <w:fldChar w:fldCharType="separate"/>
          </w:r>
          <w:r>
            <w:rPr>
              <w:rFonts w:hint="eastAsia" w:ascii="黑体" w:hAnsi="黑体" w:eastAsia="黑体" w:cs="黑体"/>
              <w:sz w:val="28"/>
              <w:szCs w:val="44"/>
              <w:lang w:val="en-US" w:eastAsia="zh-CN"/>
            </w:rPr>
            <w:t>六</w:t>
          </w:r>
          <w:r>
            <w:rPr>
              <w:rFonts w:hint="eastAsia" w:ascii="黑体" w:hAnsi="黑体" w:eastAsia="黑体" w:cs="黑体"/>
              <w:sz w:val="28"/>
              <w:szCs w:val="44"/>
            </w:rPr>
            <w:t>、</w:t>
          </w:r>
          <w:r>
            <w:rPr>
              <w:rFonts w:hint="eastAsia" w:ascii="黑体" w:hAnsi="黑体" w:eastAsia="黑体" w:cs="黑体"/>
              <w:sz w:val="28"/>
              <w:szCs w:val="44"/>
              <w:highlight w:val="none"/>
            </w:rPr>
            <w:t>评价工作组人员名单</w:t>
          </w:r>
          <w:r>
            <w:rPr>
              <w:rFonts w:hint="eastAsia" w:ascii="黑体" w:hAnsi="黑体" w:eastAsia="黑体" w:cs="黑体"/>
              <w:sz w:val="28"/>
              <w:szCs w:val="44"/>
            </w:rPr>
            <w:t>及签字</w:t>
          </w:r>
          <w:r>
            <w:rPr>
              <w:sz w:val="28"/>
              <w:szCs w:val="32"/>
            </w:rPr>
            <w:tab/>
          </w:r>
          <w:r>
            <w:rPr>
              <w:sz w:val="28"/>
              <w:szCs w:val="32"/>
            </w:rPr>
            <w:fldChar w:fldCharType="begin"/>
          </w:r>
          <w:r>
            <w:rPr>
              <w:sz w:val="28"/>
              <w:szCs w:val="32"/>
            </w:rPr>
            <w:instrText xml:space="preserve"> PAGEREF _Toc2100 \h </w:instrText>
          </w:r>
          <w:r>
            <w:rPr>
              <w:sz w:val="28"/>
              <w:szCs w:val="32"/>
            </w:rPr>
            <w:fldChar w:fldCharType="separate"/>
          </w:r>
          <w:r>
            <w:rPr>
              <w:sz w:val="28"/>
              <w:szCs w:val="32"/>
            </w:rPr>
            <w:t>-12-</w:t>
          </w:r>
          <w:r>
            <w:rPr>
              <w:sz w:val="28"/>
              <w:szCs w:val="32"/>
            </w:rPr>
            <w:fldChar w:fldCharType="end"/>
          </w:r>
          <w:r>
            <w:rPr>
              <w:rFonts w:hint="eastAsia" w:ascii="宋体" w:hAnsi="宋体" w:cs="宋体"/>
              <w:bCs/>
              <w:sz w:val="28"/>
              <w:szCs w:val="56"/>
              <w:lang w:eastAsia="zh-CN"/>
            </w:rPr>
            <w:fldChar w:fldCharType="end"/>
          </w:r>
        </w:p>
        <w:p w14:paraId="7FB961AD">
          <w:pPr>
            <w:pStyle w:val="2"/>
            <w:spacing w:before="0" w:beforeLines="0" w:after="0" w:afterLines="0" w:line="240" w:lineRule="auto"/>
            <w:ind w:left="0" w:leftChars="0" w:right="0" w:rightChars="0" w:firstLine="0" w:firstLineChars="0"/>
            <w:jc w:val="center"/>
            <w:outlineLvl w:val="9"/>
            <w:rPr>
              <w:rFonts w:hint="eastAsia" w:ascii="宋体" w:hAnsi="宋体" w:cs="宋体"/>
              <w:b/>
              <w:bCs/>
              <w:sz w:val="44"/>
              <w:szCs w:val="44"/>
              <w:lang w:eastAsia="zh-CN"/>
            </w:rPr>
          </w:pPr>
          <w:r>
            <w:rPr>
              <w:rFonts w:hint="eastAsia" w:ascii="宋体" w:hAnsi="宋体" w:cs="宋体"/>
              <w:bCs/>
              <w:szCs w:val="44"/>
              <w:lang w:eastAsia="zh-CN"/>
            </w:rPr>
            <w:fldChar w:fldCharType="end"/>
          </w:r>
        </w:p>
      </w:sdtContent>
    </w:sdt>
    <w:p w14:paraId="7BC581D0">
      <w:pPr>
        <w:rPr>
          <w:rFonts w:hint="eastAsia" w:ascii="宋体" w:hAnsi="宋体" w:cs="宋体"/>
          <w:b/>
          <w:bCs/>
          <w:sz w:val="44"/>
          <w:szCs w:val="44"/>
          <w:lang w:eastAsia="zh-CN"/>
        </w:rPr>
      </w:pPr>
    </w:p>
    <w:p w14:paraId="58FC332A">
      <w:pPr>
        <w:pStyle w:val="2"/>
        <w:outlineLvl w:val="9"/>
        <w:rPr>
          <w:rFonts w:hint="eastAsia" w:ascii="宋体" w:hAnsi="宋体" w:cs="宋体"/>
          <w:b/>
          <w:bCs/>
          <w:sz w:val="44"/>
          <w:szCs w:val="44"/>
          <w:lang w:eastAsia="zh-CN"/>
        </w:rPr>
        <w:sectPr>
          <w:footerReference r:id="rId4" w:type="default"/>
          <w:pgSz w:w="11906" w:h="16838"/>
          <w:pgMar w:top="1440" w:right="1474" w:bottom="1440" w:left="1587" w:header="851" w:footer="992" w:gutter="0"/>
          <w:pgNumType w:fmt="numberInDash"/>
          <w:cols w:space="0" w:num="1"/>
          <w:rtlGutter w:val="0"/>
          <w:docGrid w:type="lines" w:linePitch="312" w:charSpace="0"/>
        </w:sectPr>
      </w:pPr>
    </w:p>
    <w:p w14:paraId="2EDC3209">
      <w:pPr>
        <w:rPr>
          <w:rFonts w:hint="eastAsia"/>
          <w:lang w:eastAsia="zh-CN"/>
        </w:rPr>
      </w:pPr>
    </w:p>
    <w:p w14:paraId="3446A2B0">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hint="eastAsia" w:ascii="宋体" w:hAnsi="宋体" w:eastAsia="宋体" w:cs="宋体"/>
          <w:b/>
          <w:bCs/>
          <w:sz w:val="44"/>
          <w:szCs w:val="44"/>
          <w:lang w:eastAsia="zh-CN"/>
        </w:rPr>
      </w:pPr>
      <w:bookmarkStart w:id="1" w:name="_Toc21542"/>
      <w:bookmarkStart w:id="2" w:name="_Toc22702"/>
      <w:r>
        <w:rPr>
          <w:rFonts w:hint="eastAsia" w:ascii="宋体" w:hAnsi="宋体" w:cs="宋体"/>
          <w:b/>
          <w:bCs/>
          <w:sz w:val="44"/>
          <w:szCs w:val="44"/>
          <w:lang w:val="en-US" w:eastAsia="zh-CN"/>
        </w:rPr>
        <w:t>中共石家庄市委老干部</w:t>
      </w:r>
      <w:r>
        <w:rPr>
          <w:rFonts w:hint="eastAsia" w:ascii="宋体" w:hAnsi="宋体" w:cs="宋体"/>
          <w:b/>
          <w:bCs/>
          <w:sz w:val="44"/>
          <w:szCs w:val="44"/>
          <w:lang w:eastAsia="zh-CN"/>
        </w:rPr>
        <w:t>局</w:t>
      </w:r>
      <w:bookmarkEnd w:id="1"/>
      <w:bookmarkEnd w:id="2"/>
    </w:p>
    <w:p w14:paraId="4191F5E5">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hint="eastAsia" w:ascii="宋体" w:hAnsi="宋体" w:cs="宋体"/>
          <w:b/>
          <w:bCs/>
          <w:sz w:val="44"/>
          <w:szCs w:val="44"/>
        </w:rPr>
      </w:pPr>
      <w:bookmarkStart w:id="3" w:name="_Toc6783"/>
      <w:bookmarkStart w:id="4" w:name="_Toc22577"/>
      <w:r>
        <w:rPr>
          <w:rFonts w:hint="eastAsia" w:ascii="宋体" w:hAnsi="宋体" w:eastAsia="宋体" w:cs="宋体"/>
          <w:b/>
          <w:bCs/>
          <w:sz w:val="44"/>
          <w:szCs w:val="44"/>
          <w:lang w:val="en-US" w:eastAsia="zh-CN"/>
        </w:rPr>
        <w:t>202</w:t>
      </w:r>
      <w:r>
        <w:rPr>
          <w:rFonts w:hint="eastAsia" w:ascii="宋体" w:hAnsi="宋体" w:cs="宋体"/>
          <w:b/>
          <w:bCs/>
          <w:sz w:val="44"/>
          <w:szCs w:val="44"/>
          <w:lang w:val="en-US" w:eastAsia="zh-CN"/>
        </w:rPr>
        <w:t>2</w:t>
      </w:r>
      <w:r>
        <w:rPr>
          <w:rFonts w:hint="eastAsia" w:ascii="宋体" w:hAnsi="宋体" w:eastAsia="宋体" w:cs="宋体"/>
          <w:b/>
          <w:bCs/>
          <w:sz w:val="44"/>
          <w:szCs w:val="44"/>
          <w:lang w:val="en-US" w:eastAsia="zh-CN"/>
        </w:rPr>
        <w:t>年度</w:t>
      </w:r>
      <w:r>
        <w:rPr>
          <w:rFonts w:hint="eastAsia" w:ascii="宋体" w:hAnsi="宋体" w:cs="宋体"/>
          <w:b/>
          <w:bCs/>
          <w:sz w:val="44"/>
          <w:szCs w:val="44"/>
          <w:lang w:val="en-US" w:eastAsia="zh-CN"/>
        </w:rPr>
        <w:t>部门</w:t>
      </w:r>
      <w:r>
        <w:rPr>
          <w:rFonts w:hint="eastAsia" w:ascii="宋体" w:hAnsi="宋体" w:eastAsia="宋体" w:cs="宋体"/>
          <w:b/>
          <w:bCs/>
          <w:sz w:val="44"/>
          <w:szCs w:val="44"/>
          <w:lang w:val="en-US" w:eastAsia="zh-CN"/>
        </w:rPr>
        <w:t>整体支出</w:t>
      </w:r>
      <w:bookmarkEnd w:id="3"/>
      <w:bookmarkEnd w:id="4"/>
      <w:bookmarkStart w:id="5" w:name="_Toc15596"/>
      <w:bookmarkStart w:id="6" w:name="_Toc9764"/>
      <w:r>
        <w:rPr>
          <w:rFonts w:hint="eastAsia" w:ascii="宋体" w:hAnsi="宋体" w:eastAsia="宋体" w:cs="宋体"/>
          <w:b/>
          <w:bCs/>
          <w:sz w:val="44"/>
          <w:szCs w:val="44"/>
          <w:lang w:val="en-US" w:eastAsia="zh-CN"/>
        </w:rPr>
        <w:t>绩效</w:t>
      </w:r>
      <w:r>
        <w:rPr>
          <w:rFonts w:hint="eastAsia" w:ascii="宋体" w:hAnsi="宋体" w:eastAsia="宋体" w:cs="宋体"/>
          <w:b/>
          <w:bCs/>
          <w:sz w:val="44"/>
          <w:szCs w:val="44"/>
          <w:lang w:eastAsia="zh-CN"/>
        </w:rPr>
        <w:t>自</w:t>
      </w:r>
      <w:r>
        <w:rPr>
          <w:rFonts w:hint="eastAsia" w:ascii="宋体" w:hAnsi="宋体" w:cs="宋体"/>
          <w:b/>
          <w:bCs/>
          <w:sz w:val="44"/>
          <w:szCs w:val="44"/>
        </w:rPr>
        <w:t>评报告</w:t>
      </w:r>
      <w:bookmarkEnd w:id="5"/>
      <w:bookmarkEnd w:id="6"/>
    </w:p>
    <w:p w14:paraId="61B040F3">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ascii="华文楷体" w:eastAsia="华文楷体"/>
          <w:sz w:val="32"/>
          <w:szCs w:val="32"/>
        </w:rPr>
      </w:pPr>
    </w:p>
    <w:p w14:paraId="5881A8C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为</w:t>
      </w: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中共石家庄市委老干部局对</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以下简称“我部门”</w:t>
      </w:r>
      <w:r>
        <w:rPr>
          <w:rFonts w:hint="eastAsia" w:ascii="仿宋" w:hAnsi="仿宋" w:eastAsia="仿宋" w:cs="仿宋"/>
          <w:sz w:val="32"/>
          <w:szCs w:val="32"/>
          <w:lang w:eastAsia="zh-CN"/>
        </w:rPr>
        <w:t>）</w:t>
      </w:r>
      <w:r>
        <w:rPr>
          <w:rFonts w:hint="eastAsia" w:ascii="仿宋" w:hAnsi="仿宋" w:eastAsia="仿宋"/>
          <w:sz w:val="32"/>
          <w:szCs w:val="32"/>
          <w:lang w:val="en-US" w:eastAsia="zh-CN"/>
        </w:rPr>
        <w:t>2022年部门</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14:paraId="1011D75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ascii="黑体" w:hAnsi="黑体" w:eastAsia="黑体"/>
          <w:b/>
          <w:bCs/>
          <w:sz w:val="32"/>
          <w:szCs w:val="36"/>
        </w:rPr>
      </w:pPr>
      <w:bookmarkStart w:id="7" w:name="_Toc11924"/>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bookmarkEnd w:id="7"/>
    </w:p>
    <w:p w14:paraId="44BC548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rPr>
      </w:pPr>
      <w:bookmarkStart w:id="8" w:name="_Toc16309"/>
      <w:r>
        <w:rPr>
          <w:rFonts w:hint="eastAsia" w:ascii="楷体" w:hAnsi="楷体" w:eastAsia="楷体" w:cs="楷体"/>
          <w:sz w:val="32"/>
          <w:szCs w:val="32"/>
        </w:rPr>
        <w:t>（一）</w:t>
      </w:r>
      <w:r>
        <w:rPr>
          <w:rFonts w:hint="eastAsia" w:ascii="楷体" w:hAnsi="楷体" w:eastAsia="楷体" w:cs="楷体"/>
          <w:sz w:val="32"/>
          <w:szCs w:val="32"/>
          <w:lang w:eastAsia="zh-CN"/>
        </w:rPr>
        <w:t>部门</w:t>
      </w:r>
      <w:r>
        <w:rPr>
          <w:rFonts w:hint="eastAsia" w:ascii="楷体" w:hAnsi="楷体" w:eastAsia="楷体" w:cs="楷体"/>
          <w:sz w:val="32"/>
          <w:szCs w:val="32"/>
        </w:rPr>
        <w:t>概况</w:t>
      </w:r>
      <w:bookmarkEnd w:id="8"/>
    </w:p>
    <w:p w14:paraId="63888BC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 w:hAnsi="仿宋" w:eastAsia="仿宋"/>
          <w:sz w:val="32"/>
          <w:szCs w:val="32"/>
          <w:lang w:val="en-US" w:eastAsia="zh-CN"/>
        </w:rPr>
      </w:pPr>
      <w:r>
        <w:rPr>
          <w:rFonts w:hint="eastAsia" w:ascii="仿宋" w:hAnsi="仿宋" w:eastAsia="仿宋"/>
          <w:b/>
          <w:bCs/>
          <w:sz w:val="32"/>
          <w:szCs w:val="32"/>
          <w:lang w:val="en-US" w:eastAsia="zh-CN"/>
        </w:rPr>
        <w:t>1.部门职责</w:t>
      </w:r>
    </w:p>
    <w:p w14:paraId="23105A51">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全面贯彻加强党对离退休干部工作的集中统一领导要求,负责宣传贯彻落实党中央、国务院和省、市党委、政府关于离退休干部工作的方针政策;拟订或参与拟订全市离退休干部工作有关具体规定和办法;总结宣传全市离退休干部工作和先进典型；</w:t>
      </w:r>
    </w:p>
    <w:p w14:paraId="6AE4086D">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（2）负责指导、督促、检查各级各部门离退休干部工作组织和协调有关部门做好离退休干部工作；</w:t>
      </w:r>
    </w:p>
    <w:p w14:paraId="48CB2CB1">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负责督促检查各级各部门落实离退休干部的政治和生活待遇,组织做好走访慰问工作;督促检查离休干部“两费”(离休费、医药费)落实情况;调查研究离退休干部政治和生活待遇中存在的间题,协调有关部门提出解决办法；</w:t>
      </w:r>
    </w:p>
    <w:p w14:paraId="444FFF9F">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（4）加强对全市离退休干部的政治引领和教育管理。负责做好新形势下离退休干部党组织建设工作,拟订离退休干部思想政治工作的制度办法和措施;组织开展离退休干部党组织书记的教育培训工作；</w:t>
      </w:r>
    </w:p>
    <w:p w14:paraId="21594BD5">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（5）指导各级老干部活动中心等活动阵地建设与管理;指导市老干部休养所创新发展；</w:t>
      </w:r>
    </w:p>
    <w:p w14:paraId="09D40D9B">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（6）指导各级各部门组织离退休干部利用自身优势,在政治、经济、文化和青少年教育等各领域发挥作用,增添正能量；</w:t>
      </w:r>
    </w:p>
    <w:p w14:paraId="4619FC32">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（7）了解离退休干部对医疗保健方面的意见和要求。组织指导离退休干部开展健康科学的文化健身、保健讲座、参观学习等活动；</w:t>
      </w:r>
    </w:p>
    <w:p w14:paraId="4A4D8246">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（8）负责易地安置离休干部服务管理工作；</w:t>
      </w:r>
    </w:p>
    <w:p w14:paraId="0C006424">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（9）会同有关部门拟订治丧办法,指导逝世老干部的善后工作,协助承办市委交办的丧葬事宜；</w:t>
      </w:r>
    </w:p>
    <w:p w14:paraId="17CFA206">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（10）承担市老干部工作领导小组、市关心下一代工作委员会的日常工作等。</w:t>
      </w:r>
    </w:p>
    <w:p w14:paraId="2A246EE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 w:hAnsi="仿宋" w:eastAsia="仿宋"/>
          <w:sz w:val="32"/>
          <w:szCs w:val="32"/>
          <w:lang w:val="en-US" w:eastAsia="zh-CN"/>
        </w:rPr>
      </w:pPr>
      <w:r>
        <w:rPr>
          <w:rFonts w:hint="eastAsia" w:ascii="仿宋" w:hAnsi="仿宋" w:eastAsia="仿宋"/>
          <w:b/>
          <w:bCs/>
          <w:sz w:val="32"/>
          <w:szCs w:val="32"/>
          <w:lang w:val="en-US" w:eastAsia="zh-CN"/>
        </w:rPr>
        <w:t>2.机构设置及人员组成</w:t>
      </w:r>
    </w:p>
    <w:p w14:paraId="54A33FB6">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从决算编报单位构成看，纳入2022年度本部门决算汇编范围的独立核算单位共4个，具体情况如下：</w:t>
      </w:r>
    </w:p>
    <w:p w14:paraId="4C76586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（1）中共石家庄市委老干部局（本级），单位性质为行政单位，资金保障形式为财政拨款；</w:t>
      </w:r>
    </w:p>
    <w:p w14:paraId="1FA81E6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（2）石家庄市老年大学，单位性质为参公事业单位，资金保障形式为财政拨款；</w:t>
      </w:r>
    </w:p>
    <w:p w14:paraId="5DCB8CF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（3）石家庄市老干部休养所，单位性质为参公事业单位，资金保障形式为财政拨款；</w:t>
      </w:r>
    </w:p>
    <w:p w14:paraId="41CFBF7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（4）石家庄市老干部活动中心，单位性质为事业单位，资金保障形式为财政拨款。</w:t>
      </w:r>
    </w:p>
    <w:p w14:paraId="1A7FA1D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我部门现有人员85人（含离休人员1人），其中行政人员29人，参照公务员法管理事业人员36人，非参公人员19人。</w:t>
      </w:r>
    </w:p>
    <w:p w14:paraId="6978E9D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3.资产情况</w:t>
      </w:r>
    </w:p>
    <w:p w14:paraId="621EECD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highlight w:val="none"/>
          <w:lang w:val="en-US" w:eastAsia="zh-CN"/>
        </w:rPr>
        <w:t>我部门资产管理</w:t>
      </w:r>
      <w:r>
        <w:rPr>
          <w:rFonts w:hint="eastAsia" w:ascii="仿宋" w:hAnsi="仿宋" w:eastAsia="仿宋"/>
          <w:sz w:val="32"/>
          <w:szCs w:val="32"/>
          <w:lang w:eastAsia="zh-CN"/>
        </w:rPr>
        <w:t>依照政府采购目录进行政府采购，加强固定资产登记、使用和报废处置管理，做到支出合理，物尽其用。</w:t>
      </w:r>
    </w:p>
    <w:p w14:paraId="4013F4B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截至</w:t>
      </w:r>
      <w:bookmarkStart w:id="42" w:name="_GoBack"/>
      <w:bookmarkEnd w:id="42"/>
      <w:r>
        <w:rPr>
          <w:rFonts w:hint="eastAsia" w:ascii="仿宋" w:hAnsi="仿宋" w:eastAsia="仿宋"/>
          <w:sz w:val="32"/>
          <w:szCs w:val="32"/>
          <w:highlight w:val="none"/>
          <w:lang w:val="en-US" w:eastAsia="zh-CN"/>
        </w:rPr>
        <w:t>2022年底，我部门共有资产6962.99万元，其中货币资金109.34万元；固定资产净值6853.65万元（原值9783.59万元，较年初增加114.15万元、累计折旧2929.95万元）。固定资产原值情况如下：</w:t>
      </w:r>
    </w:p>
    <w:tbl>
      <w:tblPr>
        <w:tblStyle w:val="9"/>
        <w:tblW w:w="896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06"/>
        <w:gridCol w:w="1083"/>
        <w:gridCol w:w="1366"/>
        <w:gridCol w:w="1068"/>
        <w:gridCol w:w="1336"/>
        <w:gridCol w:w="730"/>
        <w:gridCol w:w="1279"/>
      </w:tblGrid>
      <w:tr w14:paraId="41022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 w:hRule="atLeast"/>
        </w:trPr>
        <w:tc>
          <w:tcPr>
            <w:tcW w:w="210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3AFF1404">
            <w:pPr>
              <w:jc w:val="center"/>
              <w:rPr>
                <w:rFonts w:hint="eastAsia" w:ascii="仿宋" w:hAnsi="仿宋" w:eastAsia="仿宋" w:cs="仿宋"/>
                <w:i w:val="0"/>
                <w:iCs w:val="0"/>
                <w:color w:val="000000"/>
                <w:sz w:val="21"/>
                <w:szCs w:val="21"/>
                <w:highlight w:val="none"/>
                <w:u w:val="none"/>
              </w:rPr>
            </w:pPr>
          </w:p>
        </w:tc>
        <w:tc>
          <w:tcPr>
            <w:tcW w:w="24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EDB25">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年初</w:t>
            </w:r>
          </w:p>
        </w:tc>
        <w:tc>
          <w:tcPr>
            <w:tcW w:w="240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3A789">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年末</w:t>
            </w:r>
          </w:p>
        </w:tc>
        <w:tc>
          <w:tcPr>
            <w:tcW w:w="200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B898D">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增量</w:t>
            </w:r>
          </w:p>
        </w:tc>
      </w:tr>
      <w:tr w14:paraId="619B6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07F9D314">
            <w:pPr>
              <w:jc w:val="center"/>
              <w:rPr>
                <w:rFonts w:hint="eastAsia" w:ascii="仿宋" w:hAnsi="仿宋" w:eastAsia="仿宋" w:cs="仿宋"/>
                <w:i w:val="0"/>
                <w:iCs w:val="0"/>
                <w:color w:val="000000"/>
                <w:sz w:val="21"/>
                <w:szCs w:val="21"/>
                <w:highlight w:val="none"/>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AC9AE">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数量</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D4A14">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金额（万元）</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FF516">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数量</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21BF7">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金额（万元）</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ECD8F">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数量</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2EE8F">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金额（万元）</w:t>
            </w:r>
          </w:p>
        </w:tc>
      </w:tr>
      <w:tr w14:paraId="4011D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82E6B93">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固定资产原值</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E5F7266">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48B16E3">
            <w:pPr>
              <w:keepNext w:val="0"/>
              <w:keepLines w:val="0"/>
              <w:widowControl/>
              <w:suppressLineNumbers w:val="0"/>
              <w:jc w:val="right"/>
              <w:textAlignment w:val="top"/>
              <w:rPr>
                <w:rFonts w:hint="default" w:ascii="仿宋" w:hAnsi="仿宋" w:eastAsia="仿宋" w:cs="仿宋"/>
                <w:i w:val="0"/>
                <w:iCs w:val="0"/>
                <w:color w:val="000000"/>
                <w:sz w:val="21"/>
                <w:szCs w:val="21"/>
                <w:highlight w:val="none"/>
                <w:u w:val="none"/>
                <w:lang w:val="en-US"/>
              </w:rPr>
            </w:pPr>
            <w:r>
              <w:rPr>
                <w:rFonts w:hint="eastAsia" w:ascii="仿宋" w:hAnsi="仿宋" w:eastAsia="仿宋" w:cs="仿宋"/>
                <w:i w:val="0"/>
                <w:iCs w:val="0"/>
                <w:color w:val="000000"/>
                <w:kern w:val="0"/>
                <w:sz w:val="21"/>
                <w:szCs w:val="21"/>
                <w:highlight w:val="none"/>
                <w:u w:val="none"/>
                <w:lang w:val="en-US" w:eastAsia="zh-CN" w:bidi="ar"/>
              </w:rPr>
              <w:t>9669.45</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AB286BD">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DE2D1BD">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9783.59</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26D55D7">
            <w:pPr>
              <w:rPr>
                <w:rFonts w:hint="eastAsia" w:ascii="仿宋" w:hAnsi="仿宋" w:eastAsia="仿宋" w:cs="仿宋"/>
                <w:i w:val="0"/>
                <w:iCs w:val="0"/>
                <w:color w:val="000000"/>
                <w:sz w:val="21"/>
                <w:szCs w:val="21"/>
                <w:highlight w:val="none"/>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A0EF500">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114.15</w:t>
            </w:r>
          </w:p>
        </w:tc>
      </w:tr>
      <w:tr w14:paraId="4AAA2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9626730">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其中：房屋（平方米）</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92A28F2">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46865.24</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B4ABC98">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6790.43</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A6EAA16">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46805.24</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BD8C3B0">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6677.03</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542B203">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-60</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99918A">
            <w:pPr>
              <w:keepNext w:val="0"/>
              <w:keepLines w:val="0"/>
              <w:widowControl/>
              <w:suppressLineNumbers w:val="0"/>
              <w:jc w:val="right"/>
              <w:textAlignment w:val="top"/>
              <w:rPr>
                <w:rFonts w:hint="default" w:ascii="仿宋" w:hAnsi="仿宋" w:eastAsia="仿宋" w:cs="仿宋"/>
                <w:i w:val="0"/>
                <w:iCs w:val="0"/>
                <w:color w:val="000000"/>
                <w:sz w:val="21"/>
                <w:szCs w:val="21"/>
                <w:highlight w:val="none"/>
                <w:u w:val="none"/>
                <w:lang w:val="en-US"/>
              </w:rPr>
            </w:pPr>
            <w:r>
              <w:rPr>
                <w:rFonts w:hint="eastAsia" w:ascii="仿宋" w:hAnsi="仿宋" w:eastAsia="仿宋" w:cs="仿宋"/>
                <w:i w:val="0"/>
                <w:iCs w:val="0"/>
                <w:color w:val="000000"/>
                <w:kern w:val="0"/>
                <w:sz w:val="21"/>
                <w:szCs w:val="21"/>
                <w:highlight w:val="none"/>
                <w:u w:val="none"/>
                <w:lang w:val="en-US" w:eastAsia="zh-CN" w:bidi="ar"/>
              </w:rPr>
              <w:t>-113.40</w:t>
            </w:r>
          </w:p>
        </w:tc>
      </w:tr>
      <w:tr w14:paraId="28D72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3BE6B73">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1.办公用房</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878586E">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3135.6</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5B73AA1">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316.34</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E04A161">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3135.6</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2A61A63">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321.72</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88F58A">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B7D5E4F">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5.38</w:t>
            </w:r>
          </w:p>
        </w:tc>
      </w:tr>
      <w:tr w14:paraId="11C29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69B2D58">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2.业务用房</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90F5793">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11095.47</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5F4935">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5848.59</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C1E8F1D">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11035.47</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D69F409">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5727.66</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2347F48">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-60</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F393409">
            <w:pPr>
              <w:keepNext w:val="0"/>
              <w:keepLines w:val="0"/>
              <w:widowControl/>
              <w:suppressLineNumbers w:val="0"/>
              <w:jc w:val="right"/>
              <w:textAlignment w:val="top"/>
              <w:rPr>
                <w:rFonts w:hint="default" w:ascii="仿宋" w:hAnsi="仿宋" w:eastAsia="仿宋" w:cs="仿宋"/>
                <w:i w:val="0"/>
                <w:iCs w:val="0"/>
                <w:color w:val="000000"/>
                <w:sz w:val="21"/>
                <w:szCs w:val="21"/>
                <w:highlight w:val="none"/>
                <w:u w:val="none"/>
                <w:lang w:val="en-US"/>
              </w:rPr>
            </w:pPr>
            <w:r>
              <w:rPr>
                <w:rFonts w:hint="eastAsia" w:ascii="仿宋" w:hAnsi="仿宋" w:eastAsia="仿宋" w:cs="仿宋"/>
                <w:i w:val="0"/>
                <w:iCs w:val="0"/>
                <w:color w:val="000000"/>
                <w:kern w:val="0"/>
                <w:sz w:val="21"/>
                <w:szCs w:val="21"/>
                <w:highlight w:val="none"/>
                <w:u w:val="none"/>
                <w:lang w:val="en-US" w:eastAsia="zh-CN" w:bidi="ar"/>
              </w:rPr>
              <w:t>-120.93</w:t>
            </w:r>
          </w:p>
        </w:tc>
      </w:tr>
      <w:tr w14:paraId="6EE02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395AF81">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3.其他（不含构筑物）</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5573B68">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32634.17</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5280CC4">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625.5</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B52317B">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32634.17</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A14326">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627.65</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B67D452">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4BF85B">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2.15</w:t>
            </w:r>
          </w:p>
        </w:tc>
      </w:tr>
      <w:tr w14:paraId="10DEB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6D55E2">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车辆（台、辆）</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DFEE286">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DE92A1A">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123.78</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CC5CEB0">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C21801">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152.57</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0B8A9FF">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A37FF0">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28.79</w:t>
            </w:r>
          </w:p>
        </w:tc>
      </w:tr>
      <w:tr w14:paraId="286A8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C015C6C">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1.轿车</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CCE080B">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254EFE4">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123.78</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D85F96F">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5240A7">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152.57</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DF50119">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78C2D52">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28.79</w:t>
            </w:r>
          </w:p>
        </w:tc>
      </w:tr>
    </w:tbl>
    <w:p w14:paraId="0103EE9F">
      <w:pPr>
        <w:keepNext w:val="0"/>
        <w:keepLines w:val="0"/>
        <w:pageBreakBefore w:val="0"/>
        <w:widowControl w:val="0"/>
        <w:kinsoku/>
        <w:wordWrap/>
        <w:overflowPunct/>
        <w:topLinePunct w:val="0"/>
        <w:autoSpaceDE/>
        <w:autoSpaceDN/>
        <w:bidi w:val="0"/>
        <w:adjustRightInd/>
        <w:snapToGrid w:val="0"/>
        <w:spacing w:line="600" w:lineRule="exact"/>
        <w:textAlignment w:val="auto"/>
        <w:rPr>
          <w:rFonts w:hint="eastAsia" w:ascii="仿宋" w:hAnsi="仿宋" w:eastAsia="仿宋" w:cs="楷体_GB2312"/>
          <w:b/>
          <w:bCs/>
          <w:sz w:val="32"/>
          <w:szCs w:val="32"/>
          <w:lang w:eastAsia="zh-CN"/>
        </w:rPr>
      </w:pPr>
      <w:bookmarkStart w:id="9" w:name="_Toc31735"/>
      <w:r>
        <w:rPr>
          <w:rFonts w:hint="eastAsia" w:ascii="宋体" w:hAnsi="宋体" w:eastAsia="宋体" w:cs="宋体"/>
          <w:sz w:val="21"/>
          <w:szCs w:val="21"/>
          <w:lang w:val="en-US" w:eastAsia="zh-CN"/>
        </w:rPr>
        <w:t>注：以上数据存在四舍五入。</w:t>
      </w:r>
    </w:p>
    <w:p w14:paraId="70B9CD3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right="0" w:rightChars="0"/>
        <w:textAlignment w:val="auto"/>
        <w:outlineLvl w:val="1"/>
        <w:rPr>
          <w:rFonts w:hint="eastAsia" w:ascii="仿宋_GB2312" w:hAnsi="仿宋_GB2312" w:eastAsia="仿宋_GB2312" w:cs="仿宋_GB2312"/>
          <w:kern w:val="2"/>
          <w:sz w:val="32"/>
          <w:szCs w:val="24"/>
          <w:highlight w:val="none"/>
        </w:rPr>
      </w:pPr>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lang w:eastAsia="zh-CN"/>
        </w:rPr>
        <w:t>）部门收支预决算情况</w:t>
      </w:r>
      <w:bookmarkEnd w:id="9"/>
    </w:p>
    <w:p w14:paraId="78377A2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_GB2312" w:hAnsi="仿宋_GB2312" w:eastAsia="仿宋_GB2312" w:cs="仿宋_GB2312"/>
          <w:kern w:val="2"/>
          <w:sz w:val="32"/>
          <w:szCs w:val="24"/>
          <w:highlight w:val="none"/>
          <w:lang w:val="en-US" w:eastAsia="zh-CN"/>
        </w:rPr>
      </w:pPr>
      <w:r>
        <w:rPr>
          <w:rFonts w:hint="eastAsia" w:ascii="仿宋" w:hAnsi="仿宋" w:eastAsia="仿宋"/>
          <w:sz w:val="32"/>
          <w:szCs w:val="32"/>
          <w:highlight w:val="none"/>
          <w:lang w:val="en-US" w:eastAsia="zh-CN"/>
        </w:rPr>
        <w:t>2022年我部门</w:t>
      </w:r>
      <w:r>
        <w:rPr>
          <w:rFonts w:hint="eastAsia" w:ascii="仿宋_GB2312" w:hAnsi="仿宋_GB2312" w:eastAsia="仿宋_GB2312" w:cs="仿宋_GB2312"/>
          <w:kern w:val="2"/>
          <w:sz w:val="32"/>
          <w:szCs w:val="24"/>
          <w:highlight w:val="none"/>
          <w:lang w:val="en-US" w:eastAsia="zh-CN"/>
        </w:rPr>
        <w:t>年初</w:t>
      </w:r>
      <w:r>
        <w:rPr>
          <w:rFonts w:hint="eastAsia" w:ascii="仿宋_GB2312" w:hAnsi="仿宋_GB2312" w:eastAsia="仿宋_GB2312" w:cs="仿宋_GB2312"/>
          <w:kern w:val="2"/>
          <w:sz w:val="32"/>
          <w:szCs w:val="24"/>
          <w:highlight w:val="none"/>
        </w:rPr>
        <w:t>预算</w:t>
      </w:r>
      <w:r>
        <w:rPr>
          <w:rFonts w:hint="eastAsia" w:ascii="仿宋_GB2312" w:hAnsi="仿宋_GB2312" w:eastAsia="仿宋_GB2312" w:cs="仿宋_GB2312"/>
          <w:kern w:val="2"/>
          <w:sz w:val="32"/>
          <w:szCs w:val="24"/>
          <w:highlight w:val="none"/>
          <w:lang w:val="en-US" w:eastAsia="zh-CN"/>
        </w:rPr>
        <w:t>收入6060.39万元、预算调整收入6632.48万元、年度决算收入6632.48万元、年度支出数6587.27</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eastAsia="zh-CN"/>
        </w:rPr>
        <w:t>、</w:t>
      </w:r>
      <w:r>
        <w:rPr>
          <w:rFonts w:hint="eastAsia" w:ascii="仿宋_GB2312" w:hAnsi="仿宋_GB2312" w:eastAsia="仿宋_GB2312" w:cs="仿宋_GB2312"/>
          <w:kern w:val="2"/>
          <w:sz w:val="32"/>
          <w:szCs w:val="24"/>
          <w:highlight w:val="none"/>
          <w:lang w:val="en-US" w:eastAsia="zh-CN"/>
        </w:rPr>
        <w:t>年度结转结余资金45.21万元。具体情况如下：</w:t>
      </w:r>
    </w:p>
    <w:p w14:paraId="0C3A3BE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default" w:ascii="仿宋_GB2312" w:hAnsi="仿宋_GB2312" w:eastAsia="仿宋_GB2312" w:cs="仿宋_GB2312"/>
          <w:kern w:val="2"/>
          <w:sz w:val="32"/>
          <w:szCs w:val="24"/>
          <w:highlight w:val="none"/>
          <w:lang w:val="en-US" w:eastAsia="zh-CN"/>
        </w:rPr>
      </w:pPr>
      <w:r>
        <w:rPr>
          <w:rFonts w:hint="eastAsia" w:ascii="仿宋_GB2312" w:hAnsi="仿宋_GB2312" w:eastAsia="仿宋_GB2312" w:cs="仿宋_GB2312"/>
          <w:kern w:val="2"/>
          <w:sz w:val="32"/>
          <w:szCs w:val="24"/>
          <w:highlight w:val="none"/>
          <w:lang w:val="en-US" w:eastAsia="zh-CN"/>
        </w:rPr>
        <w:t>1.年初预算6060.39万元均为一般公共预算财政拨款收入，按资金支出性质分类：基本支出预算1969.09万元，其中人员经费1634.28万元、公用经费334.81万元；项目支出预算4091.3万元。</w:t>
      </w:r>
    </w:p>
    <w:p w14:paraId="7BA1221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_GB2312" w:hAnsi="仿宋_GB2312" w:eastAsia="仿宋_GB2312" w:cs="仿宋_GB2312"/>
          <w:kern w:val="2"/>
          <w:sz w:val="32"/>
          <w:szCs w:val="24"/>
          <w:highlight w:val="none"/>
        </w:rPr>
      </w:pPr>
      <w:r>
        <w:rPr>
          <w:rFonts w:hint="eastAsia" w:ascii="仿宋_GB2312" w:hAnsi="仿宋_GB2312" w:eastAsia="仿宋_GB2312" w:cs="仿宋_GB2312"/>
          <w:kern w:val="2"/>
          <w:sz w:val="32"/>
          <w:szCs w:val="24"/>
          <w:highlight w:val="none"/>
          <w:lang w:val="en-US" w:eastAsia="zh-CN"/>
        </w:rPr>
        <w:t>2.预算调整收入（年度决算收入）6632.48万元，包含本年预算调整数6172.03万元，年初结转结余数460.45万元，均为一般公共预算财政拨款收入</w:t>
      </w:r>
      <w:r>
        <w:rPr>
          <w:rFonts w:hint="eastAsia" w:ascii="仿宋_GB2312" w:hAnsi="仿宋_GB2312" w:eastAsia="仿宋_GB2312" w:cs="仿宋_GB2312"/>
          <w:kern w:val="2"/>
          <w:sz w:val="32"/>
          <w:szCs w:val="24"/>
          <w:highlight w:val="none"/>
        </w:rPr>
        <w:t>。</w:t>
      </w:r>
      <w:r>
        <w:rPr>
          <w:rFonts w:hint="eastAsia" w:ascii="仿宋_GB2312" w:hAnsi="仿宋_GB2312" w:eastAsia="仿宋_GB2312" w:cs="仿宋_GB2312"/>
          <w:kern w:val="2"/>
          <w:sz w:val="32"/>
          <w:szCs w:val="24"/>
          <w:highlight w:val="none"/>
          <w:lang w:val="en-US" w:eastAsia="zh-CN"/>
        </w:rPr>
        <w:t>按资金支出性质分类：基本支出预算2771.55万元，其中人员经费2454.60万元、公用经费3169.95万元；项目支出预算3860.93万元。</w:t>
      </w:r>
    </w:p>
    <w:p w14:paraId="1AFC09D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_GB2312" w:hAnsi="仿宋_GB2312" w:eastAsia="仿宋_GB2312" w:cs="仿宋_GB2312"/>
          <w:kern w:val="2"/>
          <w:sz w:val="32"/>
          <w:szCs w:val="24"/>
          <w:highlight w:val="none"/>
        </w:rPr>
      </w:pPr>
      <w:r>
        <w:rPr>
          <w:rFonts w:hint="eastAsia" w:ascii="仿宋_GB2312" w:hAnsi="仿宋_GB2312" w:eastAsia="仿宋_GB2312" w:cs="仿宋_GB2312"/>
          <w:kern w:val="2"/>
          <w:sz w:val="32"/>
          <w:szCs w:val="24"/>
          <w:highlight w:val="none"/>
          <w:lang w:val="en-US" w:eastAsia="zh-CN"/>
        </w:rPr>
        <w:t>3.年度支出数6587.27</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eastAsia="zh-CN"/>
        </w:rPr>
        <w:t>，</w:t>
      </w:r>
      <w:r>
        <w:rPr>
          <w:rFonts w:hint="eastAsia" w:ascii="仿宋_GB2312" w:hAnsi="仿宋_GB2312" w:eastAsia="仿宋_GB2312" w:cs="仿宋_GB2312"/>
          <w:kern w:val="2"/>
          <w:sz w:val="32"/>
          <w:szCs w:val="24"/>
          <w:highlight w:val="none"/>
          <w:lang w:val="en-US" w:eastAsia="zh-CN"/>
        </w:rPr>
        <w:t>按资金支出性质分类：基本支出2726.34万元，其中人员经费2409.39万元、公用经费316.95万元；项目支出3860.93万元。</w:t>
      </w:r>
    </w:p>
    <w:p w14:paraId="59BBE44A">
      <w:pPr>
        <w:keepNext w:val="0"/>
        <w:keepLines w:val="0"/>
        <w:pageBreakBefore w:val="0"/>
        <w:widowControl w:val="0"/>
        <w:kinsoku/>
        <w:wordWrap/>
        <w:overflowPunct/>
        <w:topLinePunct w:val="0"/>
        <w:autoSpaceDE/>
        <w:autoSpaceDN/>
        <w:bidi w:val="0"/>
        <w:spacing w:line="560" w:lineRule="exact"/>
        <w:ind w:left="0" w:firstLine="643" w:firstLineChars="200"/>
        <w:contextualSpacing/>
        <w:jc w:val="both"/>
        <w:textAlignment w:val="auto"/>
        <w:outlineLvl w:val="1"/>
        <w:rPr>
          <w:rFonts w:hint="eastAsia" w:ascii="仿宋" w:hAnsi="仿宋" w:eastAsia="仿宋" w:cs="楷体_GB2312"/>
          <w:b/>
          <w:bCs/>
          <w:sz w:val="32"/>
          <w:szCs w:val="32"/>
          <w:lang w:eastAsia="zh-CN"/>
        </w:rPr>
      </w:pPr>
      <w:bookmarkStart w:id="10" w:name="_Toc26868"/>
      <w:r>
        <w:rPr>
          <w:rFonts w:hint="eastAsia" w:ascii="仿宋" w:hAnsi="仿宋" w:eastAsia="仿宋" w:cs="楷体_GB2312"/>
          <w:b/>
          <w:bCs/>
          <w:sz w:val="32"/>
          <w:szCs w:val="32"/>
          <w:lang w:eastAsia="zh-CN"/>
        </w:rPr>
        <w:t>（三）部门整体支出绩效目标、指标</w:t>
      </w:r>
      <w:bookmarkEnd w:id="10"/>
    </w:p>
    <w:p w14:paraId="6B359A4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 w:hAnsi="仿宋" w:eastAsia="仿宋"/>
          <w:b/>
          <w:bCs/>
          <w:sz w:val="32"/>
          <w:szCs w:val="32"/>
          <w:lang w:val="en-US" w:eastAsia="zh-CN"/>
        </w:rPr>
      </w:pPr>
      <w:r>
        <w:rPr>
          <w:rFonts w:hint="eastAsia" w:ascii="仿宋" w:hAnsi="仿宋" w:eastAsia="仿宋"/>
          <w:b/>
          <w:bCs/>
          <w:sz w:val="32"/>
          <w:szCs w:val="32"/>
          <w:lang w:val="en-US" w:eastAsia="zh-CN"/>
        </w:rPr>
        <w:t>1.整体绩效目标</w:t>
      </w:r>
    </w:p>
    <w:p w14:paraId="0B24A00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在市委、市政府的领导下，认真做好宣传贯彻落实党中央、国务院和省、市党委、政府关于离退休干部工作的方针政策，为我市8家困难事业单位离休干部落实有关待遇，为9家上收管理部门下拨离退休干部经费，召开全市经济社会发展情况报告会，全面落实我市老干部政治待遇、生活待遇；进一步加强老干部活动阵地建设，积极推进市老年大学、活动中心老干部活动阵地建设。干休所结合与辖区结对共建试点情况，积极探讨扩大试点面的可行性工作，探讨从单纯自我服务向自我服务和社会化服务融合，尝试在依托家庭养老的基础上把社会服务机构引进干休所老干部服务范畴，扎实推进老干部工作全面创优。</w:t>
      </w:r>
    </w:p>
    <w:p w14:paraId="6366234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3"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b/>
          <w:bCs/>
          <w:sz w:val="32"/>
          <w:szCs w:val="32"/>
          <w:highlight w:val="none"/>
          <w:lang w:val="en-US" w:eastAsia="zh-CN"/>
        </w:rPr>
        <w:t>2.分项绩效目标</w:t>
      </w:r>
    </w:p>
    <w:p w14:paraId="106DA69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3"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b/>
          <w:bCs/>
          <w:sz w:val="32"/>
          <w:szCs w:val="32"/>
          <w:highlight w:val="none"/>
          <w:lang w:val="en-US" w:eastAsia="zh-CN"/>
        </w:rPr>
        <w:t>（一）全面落实我市离退休干部政治待遇、生活待遇</w:t>
      </w:r>
    </w:p>
    <w:p w14:paraId="680B6C8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绩效目标：落实离退休干部走访慰问、通报情况、参观学习等制度；协调落实困难事业单位、特困离退休干部相关待遇。</w:t>
      </w:r>
    </w:p>
    <w:p w14:paraId="43A7345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绩效指标：市级离退休干部走访慰问率达到95%，组织老干部参观学习活动不少于2次，困难事业单位离休干部统筹外有关待遇落实率达到100%，特困离退休干部及离休干部遗属落实帮扶资金达到50万元。</w:t>
      </w:r>
    </w:p>
    <w:p w14:paraId="0A1F4BB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3" w:firstLineChars="200"/>
        <w:textAlignment w:val="auto"/>
        <w:outlineLvl w:val="9"/>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（二）加强老干部活动阵地建设、组织举办各种形式的老干部活动</w:t>
      </w:r>
    </w:p>
    <w:p w14:paraId="0179F76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积极推进市老年大学（世纪校区）全面发展，狠抓软件建设，预计年底全面完成“5G智慧校园”建设。进一步推进市老干部活动中心老党员驿站建设，充分利用中心的设施资源，拓宽活动交流空间，打造老党员驿站示范和样板。</w:t>
      </w:r>
    </w:p>
    <w:p w14:paraId="606324F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2022年市内老年大学“5G智慧校园”覆盖面积达到100%全覆盖；组织举办第三届银铃之声石家庄市老干部艺术节1次、重阳讲坛10期、空中课堂35期。市老干部活动中心围绕庆祝建党100周年，通过开展一次图片影像展、一次党史书画展，组织一次党史知识竞赛、一次有意义的主题党日，重温一次入党誓词、展播一系列红色电影的“六个一”系列活动，吸引更多老党员、老同志走进驿站。</w:t>
      </w:r>
    </w:p>
    <w:p w14:paraId="634388E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3" w:firstLineChars="200"/>
        <w:textAlignment w:val="auto"/>
        <w:outlineLvl w:val="9"/>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（三）以学习宣传贯彻党的二十大精神为主线，真抓实干、守正创新</w:t>
      </w:r>
    </w:p>
    <w:p w14:paraId="266110B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highlight w:val="yellow"/>
          <w:lang w:val="en-US" w:eastAsia="zh-CN"/>
        </w:rPr>
      </w:pPr>
      <w:r>
        <w:rPr>
          <w:rFonts w:hint="eastAsia" w:ascii="仿宋" w:hAnsi="仿宋" w:eastAsia="仿宋"/>
          <w:sz w:val="32"/>
          <w:szCs w:val="32"/>
          <w:highlight w:val="none"/>
          <w:lang w:val="en-US" w:eastAsia="zh-CN"/>
        </w:rPr>
        <w:t>绩效目标：</w:t>
      </w:r>
      <w:r>
        <w:rPr>
          <w:rFonts w:hint="eastAsia" w:ascii="仿宋_GB2312" w:hAnsi="等线" w:eastAsia="仿宋_GB2312" w:cs="Times New Roman"/>
          <w:color w:val="auto"/>
          <w:sz w:val="32"/>
          <w:szCs w:val="32"/>
        </w:rPr>
        <w:t>学习宣传贯彻党的二十大精神</w:t>
      </w:r>
      <w:r>
        <w:rPr>
          <w:rFonts w:hint="eastAsia" w:ascii="仿宋_GB2312" w:hAnsi="等线" w:eastAsia="仿宋_GB2312" w:cs="Times New Roman"/>
          <w:color w:val="auto"/>
          <w:sz w:val="32"/>
          <w:szCs w:val="32"/>
          <w:lang w:val="en-US" w:eastAsia="zh-CN"/>
        </w:rPr>
        <w:t>作为重中之重</w:t>
      </w:r>
      <w:r>
        <w:rPr>
          <w:rFonts w:hint="eastAsia" w:ascii="仿宋_GB2312" w:hAnsi="等线" w:eastAsia="仿宋_GB2312" w:cs="Times New Roman"/>
          <w:color w:val="auto"/>
          <w:sz w:val="32"/>
          <w:szCs w:val="32"/>
        </w:rPr>
        <w:t>，持续深化政治理论学习，创新基层党组织设置方式和活动方式，主动融入大党建工作格局</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rPr>
        <w:t>积极应对人口老龄化形势，认真落实好老干部各项政治生活待遇</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rPr>
        <w:t>以信息化为抓手，落实“一化带两化促三性”目标</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rPr>
        <w:t>把为党和人民的事业增添正能量作为老干部工作的价值取向</w:t>
      </w:r>
      <w:r>
        <w:rPr>
          <w:rFonts w:hint="eastAsia" w:ascii="仿宋_GB2312" w:hAnsi="等线" w:eastAsia="仿宋_GB2312" w:cs="Times New Roman"/>
          <w:color w:val="auto"/>
          <w:sz w:val="32"/>
          <w:szCs w:val="32"/>
          <w:lang w:eastAsia="zh-CN"/>
        </w:rPr>
        <w:t>。</w:t>
      </w:r>
    </w:p>
    <w:p w14:paraId="2006FB7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w:t>
      </w:r>
      <w:r>
        <w:rPr>
          <w:rFonts w:hint="eastAsia" w:ascii="仿宋_GB2312" w:hAnsi="等线" w:eastAsia="仿宋_GB2312" w:cs="Times New Roman"/>
          <w:color w:val="auto"/>
          <w:sz w:val="32"/>
          <w:szCs w:val="32"/>
          <w:highlight w:val="none"/>
        </w:rPr>
        <w:t>提升基层离退休干部党组织的组织力和覆盖力</w:t>
      </w:r>
      <w:r>
        <w:rPr>
          <w:rFonts w:hint="eastAsia" w:ascii="仿宋_GB2312" w:hAnsi="等线" w:eastAsia="仿宋_GB2312" w:cs="Times New Roman"/>
          <w:color w:val="auto"/>
          <w:sz w:val="32"/>
          <w:szCs w:val="32"/>
          <w:highlight w:val="none"/>
          <w:lang w:eastAsia="zh-CN"/>
        </w:rPr>
        <w:t>；</w:t>
      </w:r>
      <w:r>
        <w:rPr>
          <w:rFonts w:hint="eastAsia" w:ascii="仿宋_GB2312" w:hAnsi="等线" w:eastAsia="仿宋_GB2312" w:cs="Times New Roman"/>
          <w:color w:val="auto"/>
          <w:sz w:val="32"/>
          <w:szCs w:val="32"/>
          <w:highlight w:val="none"/>
        </w:rPr>
        <w:t>认真落实好老干部各项政治生活待遇</w:t>
      </w:r>
      <w:r>
        <w:rPr>
          <w:rFonts w:hint="eastAsia" w:ascii="仿宋_GB2312" w:hAnsi="等线" w:eastAsia="仿宋_GB2312" w:cs="Times New Roman"/>
          <w:color w:val="auto"/>
          <w:sz w:val="32"/>
          <w:szCs w:val="32"/>
          <w:highlight w:val="none"/>
          <w:lang w:val="en-US" w:eastAsia="zh-CN"/>
        </w:rPr>
        <w:t>，</w:t>
      </w:r>
      <w:r>
        <w:rPr>
          <w:rFonts w:hint="eastAsia" w:ascii="仿宋_GB2312" w:hAnsi="等线" w:eastAsia="仿宋_GB2312" w:cs="Times New Roman"/>
          <w:color w:val="auto"/>
          <w:sz w:val="32"/>
          <w:szCs w:val="32"/>
        </w:rPr>
        <w:t>落实“一化带两化促三性”目标</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highlight w:val="none"/>
          <w:lang w:val="en-US" w:eastAsia="zh-CN"/>
        </w:rPr>
        <w:t>探索在条件成熟的县（市、区），市直单位打造典型试点；推广老干部休养所日间料理服务站创建经验，进一步深化休养所转型发展；继续开展</w:t>
      </w:r>
      <w:r>
        <w:rPr>
          <w:rFonts w:hint="eastAsia" w:ascii="仿宋_GB2312" w:hAnsi="仿宋_GB2312" w:eastAsia="仿宋_GB2312" w:cs="仿宋_GB2312"/>
          <w:b w:val="0"/>
          <w:bCs w:val="0"/>
          <w:color w:val="auto"/>
          <w:sz w:val="32"/>
          <w:szCs w:val="32"/>
          <w:highlight w:val="none"/>
          <w:lang w:eastAsia="zh-CN"/>
        </w:rPr>
        <w:t>《冀忆·永恒》</w:t>
      </w:r>
      <w:r>
        <w:rPr>
          <w:rFonts w:hint="eastAsia" w:ascii="仿宋_GB2312" w:hAnsi="仿宋_GB2312" w:eastAsia="仿宋_GB2312" w:cs="仿宋_GB2312"/>
          <w:b w:val="0"/>
          <w:bCs w:val="0"/>
          <w:color w:val="auto"/>
          <w:sz w:val="32"/>
          <w:szCs w:val="32"/>
          <w:highlight w:val="none"/>
          <w:lang w:val="en-US" w:eastAsia="zh-CN"/>
        </w:rPr>
        <w:t>第二部制作，</w:t>
      </w:r>
      <w:r>
        <w:rPr>
          <w:rFonts w:hint="eastAsia" w:ascii="仿宋_GB2312" w:hAnsi="等线" w:eastAsia="仿宋_GB2312" w:cs="Times New Roman"/>
          <w:color w:val="auto"/>
          <w:sz w:val="32"/>
          <w:szCs w:val="32"/>
          <w:highlight w:val="none"/>
        </w:rPr>
        <w:t>不断完善学习活动阵地建设、关工委组织建设、“银发人才库”建设</w:t>
      </w:r>
      <w:r>
        <w:rPr>
          <w:rFonts w:hint="eastAsia" w:ascii="仿宋" w:hAnsi="仿宋" w:eastAsia="仿宋"/>
          <w:sz w:val="32"/>
          <w:szCs w:val="32"/>
          <w:highlight w:val="none"/>
          <w:lang w:val="en-US" w:eastAsia="zh-CN"/>
        </w:rPr>
        <w:t>。</w:t>
      </w:r>
    </w:p>
    <w:p w14:paraId="0C06C9BA">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sz w:val="32"/>
          <w:szCs w:val="32"/>
        </w:rPr>
      </w:pPr>
      <w:bookmarkStart w:id="11" w:name="_Toc10915"/>
      <w:r>
        <w:rPr>
          <w:rFonts w:hint="eastAsia" w:ascii="黑体" w:hAnsi="黑体" w:eastAsia="黑体"/>
          <w:sz w:val="32"/>
          <w:szCs w:val="32"/>
        </w:rPr>
        <w:t>自评工作</w:t>
      </w:r>
      <w:r>
        <w:rPr>
          <w:rFonts w:hint="eastAsia" w:ascii="黑体" w:hAnsi="黑体" w:eastAsia="黑体"/>
          <w:sz w:val="32"/>
          <w:szCs w:val="32"/>
          <w:lang w:eastAsia="zh-CN"/>
        </w:rPr>
        <w:t>开展</w:t>
      </w:r>
      <w:r>
        <w:rPr>
          <w:rFonts w:hint="eastAsia" w:ascii="黑体" w:hAnsi="黑体" w:eastAsia="黑体"/>
          <w:sz w:val="32"/>
          <w:szCs w:val="32"/>
        </w:rPr>
        <w:t>情况</w:t>
      </w:r>
      <w:bookmarkEnd w:id="11"/>
    </w:p>
    <w:p w14:paraId="67E0D22A">
      <w:pPr>
        <w:keepNext w:val="0"/>
        <w:keepLines w:val="0"/>
        <w:pageBreakBefore w:val="0"/>
        <w:widowControl w:val="0"/>
        <w:kinsoku/>
        <w:wordWrap/>
        <w:overflowPunct/>
        <w:topLinePunct w:val="0"/>
        <w:autoSpaceDE/>
        <w:autoSpaceDN/>
        <w:bidi w:val="0"/>
        <w:snapToGrid w:val="0"/>
        <w:spacing w:line="560" w:lineRule="exact"/>
        <w:ind w:left="0" w:firstLine="643" w:firstLineChars="200"/>
        <w:textAlignment w:val="auto"/>
        <w:outlineLvl w:val="1"/>
        <w:rPr>
          <w:rFonts w:hint="eastAsia" w:ascii="仿宋_GB2312" w:hAnsi="仿宋_GB2312" w:eastAsia="仿宋_GB2312" w:cs="仿宋_GB2312"/>
          <w:b/>
          <w:bCs/>
          <w:sz w:val="32"/>
          <w:szCs w:val="32"/>
          <w:lang w:eastAsia="zh-CN"/>
        </w:rPr>
      </w:pPr>
      <w:bookmarkStart w:id="12" w:name="_Toc16847"/>
      <w:r>
        <w:rPr>
          <w:rFonts w:hint="eastAsia" w:ascii="仿宋_GB2312" w:hAnsi="仿宋_GB2312" w:eastAsia="仿宋_GB2312" w:cs="仿宋_GB2312"/>
          <w:b/>
          <w:bCs/>
          <w:sz w:val="32"/>
          <w:szCs w:val="32"/>
          <w:lang w:eastAsia="zh-CN"/>
        </w:rPr>
        <w:t>（一）自评的组织工作</w:t>
      </w:r>
      <w:bookmarkEnd w:id="12"/>
    </w:p>
    <w:p w14:paraId="3364E806">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ascii="仿宋_GB2312" w:hAnsi="仿宋_GB2312" w:eastAsia="仿宋_GB2312" w:cs="仿宋_GB2312"/>
          <w:sz w:val="32"/>
          <w:szCs w:val="32"/>
          <w:highlight w:val="yellow"/>
        </w:rPr>
      </w:pPr>
      <w:r>
        <w:rPr>
          <w:rFonts w:hint="eastAsia" w:ascii="仿宋_GB2312" w:hAnsi="仿宋_GB2312" w:eastAsia="仿宋_GB2312" w:cs="仿宋_GB2312"/>
          <w:color w:val="auto"/>
          <w:kern w:val="0"/>
          <w:sz w:val="32"/>
          <w:szCs w:val="32"/>
          <w:highlight w:val="none"/>
          <w:lang w:val="en-US" w:eastAsia="zh-CN"/>
        </w:rPr>
        <w:t>我部门高度重视此次年度预算绩效评价工作，成立了绩效评价工作组，由副局长张海双任绩效评价组组长，</w:t>
      </w:r>
      <w:r>
        <w:rPr>
          <w:rFonts w:hint="eastAsia" w:ascii="仿宋_GB2312" w:hAnsi="仿宋_GB2312" w:eastAsia="仿宋_GB2312" w:cs="仿宋_GB2312"/>
          <w:sz w:val="32"/>
          <w:szCs w:val="32"/>
          <w:highlight w:val="none"/>
        </w:rPr>
        <w:t>成员包括</w:t>
      </w:r>
      <w:r>
        <w:rPr>
          <w:rFonts w:hint="eastAsia" w:ascii="仿宋_GB2312" w:hAnsi="仿宋_GB2312" w:eastAsia="仿宋_GB2312" w:cs="仿宋_GB2312"/>
          <w:sz w:val="32"/>
          <w:szCs w:val="32"/>
          <w:highlight w:val="none"/>
          <w:lang w:val="en-US" w:eastAsia="zh-CN"/>
        </w:rPr>
        <w:t>王震宁、郭亚茹</w:t>
      </w:r>
      <w:r>
        <w:rPr>
          <w:rFonts w:hint="eastAsia" w:ascii="仿宋_GB2312" w:hAnsi="仿宋_GB2312" w:eastAsia="仿宋_GB2312" w:cs="仿宋_GB2312"/>
          <w:color w:val="auto"/>
          <w:kern w:val="0"/>
          <w:sz w:val="32"/>
          <w:szCs w:val="32"/>
          <w:highlight w:val="none"/>
          <w:lang w:val="en-US" w:eastAsia="zh-CN"/>
        </w:rPr>
        <w:t>、位小玉、田娟、刘若惜。</w:t>
      </w:r>
    </w:p>
    <w:p w14:paraId="6059E9D7">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按照通知要求，评</w:t>
      </w:r>
      <w:bookmarkStart w:id="13" w:name="_Hlk43651802"/>
      <w:r>
        <w:rPr>
          <w:rFonts w:hint="eastAsia" w:ascii="仿宋_GB2312" w:hAnsi="仿宋_GB2312" w:eastAsia="仿宋_GB2312" w:cs="仿宋_GB2312"/>
          <w:sz w:val="32"/>
          <w:szCs w:val="32"/>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3"/>
      <w:r>
        <w:rPr>
          <w:rFonts w:hint="eastAsia" w:ascii="仿宋_GB2312" w:hAnsi="仿宋_GB2312" w:eastAsia="仿宋_GB2312" w:cs="仿宋_GB2312"/>
          <w:sz w:val="32"/>
          <w:szCs w:val="32"/>
        </w:rPr>
        <w:t>。</w:t>
      </w:r>
    </w:p>
    <w:p w14:paraId="3E5A0DEE">
      <w:pPr>
        <w:keepNext w:val="0"/>
        <w:keepLines w:val="0"/>
        <w:pageBreakBefore w:val="0"/>
        <w:widowControl w:val="0"/>
        <w:kinsoku/>
        <w:wordWrap/>
        <w:overflowPunct/>
        <w:topLinePunct w:val="0"/>
        <w:autoSpaceDE/>
        <w:autoSpaceDN/>
        <w:bidi w:val="0"/>
        <w:snapToGrid w:val="0"/>
        <w:spacing w:line="560" w:lineRule="exact"/>
        <w:ind w:left="0" w:firstLine="643" w:firstLineChars="200"/>
        <w:textAlignment w:val="auto"/>
        <w:outlineLvl w:val="1"/>
        <w:rPr>
          <w:rFonts w:hint="eastAsia" w:ascii="仿宋_GB2312" w:hAnsi="仿宋_GB2312" w:eastAsia="仿宋_GB2312" w:cs="仿宋_GB2312"/>
          <w:b/>
          <w:bCs/>
          <w:sz w:val="32"/>
          <w:szCs w:val="32"/>
        </w:rPr>
      </w:pPr>
      <w:bookmarkStart w:id="14" w:name="_Toc11327"/>
      <w:bookmarkStart w:id="15" w:name="_Toc1205"/>
      <w:bookmarkStart w:id="16" w:name="_Toc17683"/>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绩效自评目的</w:t>
      </w:r>
      <w:bookmarkEnd w:id="14"/>
      <w:bookmarkEnd w:id="15"/>
      <w:bookmarkEnd w:id="16"/>
    </w:p>
    <w:p w14:paraId="4B5E6B0D">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bookmarkStart w:id="17" w:name="_Toc19442"/>
      <w:bookmarkStart w:id="18" w:name="_Toc22462"/>
      <w:bookmarkStart w:id="19" w:name="_Toc7758"/>
      <w:r>
        <w:rPr>
          <w:rFonts w:hint="eastAsia" w:ascii="仿宋_GB2312" w:hAnsi="仿宋_GB2312" w:eastAsia="仿宋_GB2312" w:cs="仿宋_GB2312"/>
          <w:sz w:val="32"/>
          <w:szCs w:val="32"/>
        </w:rPr>
        <w:t>本次绩效自评将结合</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年度部门整体支出实际情况，运用科学、规范、合理的评价方法，全面、真实、客观地对</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履行部门职责作出更好的预算管理和资金安排。</w:t>
      </w:r>
    </w:p>
    <w:p w14:paraId="7C538E31">
      <w:pPr>
        <w:keepNext w:val="0"/>
        <w:keepLines w:val="0"/>
        <w:pageBreakBefore w:val="0"/>
        <w:widowControl w:val="0"/>
        <w:kinsoku/>
        <w:wordWrap/>
        <w:overflowPunct/>
        <w:topLinePunct w:val="0"/>
        <w:autoSpaceDE/>
        <w:autoSpaceDN/>
        <w:bidi w:val="0"/>
        <w:snapToGrid w:val="0"/>
        <w:spacing w:line="560" w:lineRule="exact"/>
        <w:ind w:left="0" w:firstLine="643" w:firstLineChars="200"/>
        <w:textAlignment w:val="auto"/>
        <w:outlineLvl w:val="1"/>
        <w:rPr>
          <w:rFonts w:hint="eastAsia" w:ascii="仿宋_GB2312" w:hAnsi="仿宋_GB2312" w:eastAsia="仿宋_GB2312" w:cs="仿宋_GB2312"/>
          <w:sz w:val="32"/>
          <w:szCs w:val="32"/>
        </w:rPr>
      </w:pPr>
      <w:bookmarkStart w:id="20" w:name="_Toc2211"/>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绩效自评内容</w:t>
      </w:r>
      <w:bookmarkEnd w:id="17"/>
      <w:bookmarkEnd w:id="18"/>
      <w:bookmarkEnd w:id="20"/>
    </w:p>
    <w:p w14:paraId="32B394DD">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w:t>
      </w:r>
      <w:r>
        <w:rPr>
          <w:rFonts w:hint="eastAsia" w:ascii="仿宋_GB2312" w:hAnsi="仿宋_GB2312" w:eastAsia="仿宋_GB2312" w:cs="仿宋_GB2312"/>
          <w:sz w:val="32"/>
          <w:szCs w:val="32"/>
          <w:lang w:val="en-US" w:eastAsia="zh-CN"/>
        </w:rPr>
        <w:t>我部门</w:t>
      </w:r>
      <w:r>
        <w:rPr>
          <w:rFonts w:hint="eastAsia" w:ascii="仿宋_GB2312" w:hAnsi="仿宋_GB2312" w:eastAsia="仿宋_GB2312" w:cs="仿宋_GB2312"/>
          <w:sz w:val="32"/>
          <w:szCs w:val="32"/>
        </w:rPr>
        <w:t>部门整体支出绩效自评主要自评内容包括</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绩效目标和预算编制情况；</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val="en-US" w:eastAsia="zh-CN"/>
        </w:rPr>
        <w:t>预决算收支</w:t>
      </w:r>
      <w:r>
        <w:rPr>
          <w:rFonts w:hint="eastAsia" w:ascii="仿宋_GB2312" w:hAnsi="仿宋_GB2312" w:eastAsia="仿宋_GB2312" w:cs="仿宋_GB2312"/>
          <w:sz w:val="32"/>
          <w:szCs w:val="32"/>
        </w:rPr>
        <w:t>情况；</w:t>
      </w:r>
      <w:r>
        <w:rPr>
          <w:rFonts w:hint="eastAsia" w:ascii="仿宋_GB2312" w:hAnsi="仿宋_GB2312" w:eastAsia="仿宋_GB2312" w:cs="仿宋_GB2312"/>
          <w:b/>
          <w:bCs/>
          <w:sz w:val="32"/>
          <w:szCs w:val="32"/>
        </w:rPr>
        <w:t>三是</w:t>
      </w:r>
      <w:r>
        <w:rPr>
          <w:rFonts w:hint="eastAsia" w:ascii="仿宋_GB2312" w:hAnsi="仿宋_GB2312" w:eastAsia="仿宋_GB2312" w:cs="仿宋_GB2312"/>
          <w:sz w:val="32"/>
          <w:szCs w:val="32"/>
        </w:rPr>
        <w:t>部门年度总体绩效目标完成情况；</w:t>
      </w:r>
      <w:r>
        <w:rPr>
          <w:rFonts w:hint="eastAsia" w:ascii="仿宋_GB2312" w:hAnsi="仿宋_GB2312" w:eastAsia="仿宋_GB2312" w:cs="仿宋_GB2312"/>
          <w:b/>
          <w:bCs/>
          <w:sz w:val="32"/>
          <w:szCs w:val="32"/>
        </w:rPr>
        <w:t>四是</w:t>
      </w:r>
      <w:r>
        <w:rPr>
          <w:rFonts w:hint="eastAsia" w:ascii="仿宋_GB2312" w:hAnsi="仿宋_GB2312" w:eastAsia="仿宋_GB2312" w:cs="仿宋_GB2312"/>
          <w:sz w:val="32"/>
          <w:szCs w:val="32"/>
        </w:rPr>
        <w:t>部门年度绩效指标完成情况，包括部门履职投入、履职过程、履职产出及履职效果等。</w:t>
      </w:r>
    </w:p>
    <w:bookmarkEnd w:id="19"/>
    <w:p w14:paraId="4845D0FB">
      <w:pPr>
        <w:keepNext w:val="0"/>
        <w:keepLines w:val="0"/>
        <w:pageBreakBefore w:val="0"/>
        <w:widowControl w:val="0"/>
        <w:numPr>
          <w:ilvl w:val="0"/>
          <w:numId w:val="0"/>
        </w:numPr>
        <w:kinsoku/>
        <w:wordWrap/>
        <w:overflowPunct/>
        <w:topLinePunct w:val="0"/>
        <w:autoSpaceDE/>
        <w:autoSpaceDN/>
        <w:bidi w:val="0"/>
        <w:spacing w:line="560" w:lineRule="exact"/>
        <w:ind w:left="0" w:leftChars="0" w:right="0" w:rightChars="0" w:firstLine="643" w:firstLineChars="200"/>
        <w:textAlignment w:val="auto"/>
        <w:outlineLvl w:val="1"/>
        <w:rPr>
          <w:rFonts w:hint="eastAsia" w:ascii="仿宋_GB2312" w:hAnsi="仿宋_GB2312" w:eastAsia="仿宋_GB2312" w:cs="仿宋_GB2312"/>
          <w:sz w:val="32"/>
          <w:szCs w:val="32"/>
        </w:rPr>
      </w:pPr>
      <w:bookmarkStart w:id="21" w:name="_Toc7882"/>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四</w:t>
      </w:r>
      <w:r>
        <w:rPr>
          <w:rFonts w:hint="eastAsia" w:ascii="仿宋" w:hAnsi="仿宋" w:eastAsia="仿宋" w:cs="楷体_GB2312"/>
          <w:b/>
          <w:bCs/>
          <w:sz w:val="32"/>
          <w:szCs w:val="32"/>
          <w:lang w:eastAsia="zh-CN"/>
        </w:rPr>
        <w:t>）</w:t>
      </w:r>
      <w:r>
        <w:rPr>
          <w:rFonts w:hint="eastAsia" w:ascii="仿宋" w:hAnsi="仿宋" w:eastAsia="仿宋" w:cs="楷体_GB2312"/>
          <w:b/>
          <w:bCs/>
          <w:sz w:val="32"/>
          <w:szCs w:val="32"/>
        </w:rPr>
        <w:t>自评的方法</w:t>
      </w:r>
      <w:bookmarkEnd w:id="21"/>
      <w:bookmarkStart w:id="22" w:name="_Toc25386"/>
    </w:p>
    <w:p w14:paraId="2AFFC692">
      <w:pPr>
        <w:keepNext w:val="0"/>
        <w:keepLines w:val="0"/>
        <w:pageBreakBefore w:val="0"/>
        <w:widowControl w:val="0"/>
        <w:numPr>
          <w:ilvl w:val="0"/>
          <w:numId w:val="0"/>
        </w:numPr>
        <w:kinsoku/>
        <w:wordWrap/>
        <w:overflowPunct/>
        <w:topLinePunct w:val="0"/>
        <w:autoSpaceDE/>
        <w:autoSpaceDN/>
        <w:bidi w:val="0"/>
        <w:spacing w:line="560" w:lineRule="exact"/>
        <w:ind w:left="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科学公正原则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此次绩效自评运用科学合理的方法，按照规范的程序，对我局部门整体预算资金使用绩效进行客观、公正的反映。</w:t>
      </w:r>
    </w:p>
    <w:p w14:paraId="6CC2944E">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统筹兼顾原则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单位自评、部门自评和财政自评应职责明确，各有侧重，相互衔接，绩效自评结果将上报财政部门作为财政自评参考依据。</w:t>
      </w:r>
    </w:p>
    <w:p w14:paraId="4781D7DF">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激励约束原则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此次绩效自评结果与预算安排、政策调整、改进管理实质性挂钩，体现奖优罚劣和激励相容导向，有效安排、低效压减、无效问责。</w:t>
      </w:r>
    </w:p>
    <w:p w14:paraId="211B8346">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公开透明原则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此次绩效自评结果应依法依规在政府门户网站进行公开，并自觉接受社会监督。</w:t>
      </w:r>
    </w:p>
    <w:bookmarkEnd w:id="22"/>
    <w:p w14:paraId="1F1CCA90">
      <w:pPr>
        <w:keepNext w:val="0"/>
        <w:keepLines w:val="0"/>
        <w:pageBreakBefore w:val="0"/>
        <w:widowControl w:val="0"/>
        <w:kinsoku/>
        <w:wordWrap/>
        <w:overflowPunct/>
        <w:topLinePunct w:val="0"/>
        <w:autoSpaceDE/>
        <w:autoSpaceDN/>
        <w:bidi w:val="0"/>
        <w:snapToGrid w:val="0"/>
        <w:spacing w:line="560" w:lineRule="exact"/>
        <w:ind w:left="0" w:firstLine="643" w:firstLineChars="200"/>
        <w:textAlignment w:val="auto"/>
        <w:outlineLvl w:val="1"/>
        <w:rPr>
          <w:rFonts w:hint="eastAsia" w:ascii="仿宋_GB2312" w:hAnsi="仿宋_GB2312" w:eastAsia="仿宋_GB2312" w:cs="仿宋_GB2312"/>
          <w:b/>
          <w:bCs/>
          <w:sz w:val="32"/>
          <w:szCs w:val="32"/>
          <w:lang w:val="en-US" w:eastAsia="zh-CN"/>
        </w:rPr>
      </w:pPr>
      <w:bookmarkStart w:id="23" w:name="_Toc8765"/>
      <w:bookmarkStart w:id="24" w:name="_Toc14749"/>
      <w:bookmarkStart w:id="25" w:name="_Toc7936"/>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五</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w:t>
      </w:r>
      <w:bookmarkEnd w:id="23"/>
      <w:bookmarkEnd w:id="24"/>
      <w:r>
        <w:rPr>
          <w:rFonts w:hint="eastAsia" w:ascii="仿宋_GB2312" w:hAnsi="仿宋_GB2312" w:eastAsia="仿宋_GB2312" w:cs="仿宋_GB2312"/>
          <w:b/>
          <w:bCs/>
          <w:sz w:val="32"/>
          <w:szCs w:val="32"/>
          <w:lang w:val="en-US" w:eastAsia="zh-CN"/>
        </w:rPr>
        <w:t>过程</w:t>
      </w:r>
      <w:bookmarkEnd w:id="25"/>
    </w:p>
    <w:p w14:paraId="335DC94A">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rPr>
      </w:pPr>
      <w:r>
        <w:rPr>
          <w:rFonts w:hint="eastAsia" w:ascii="仿宋_GB2312" w:hAnsi="仿宋_GB2312" w:eastAsia="仿宋_GB2312" w:cs="仿宋_GB2312"/>
          <w:sz w:val="32"/>
          <w:szCs w:val="32"/>
        </w:rPr>
        <w:t>本次绩效自评将资金使用产出及效果与年初指标值相比较，完成相应指标值的；对完成值</w:t>
      </w:r>
      <w:r>
        <w:rPr>
          <w:rFonts w:hint="eastAsia" w:ascii="仿宋_GB2312" w:hAnsi="仿宋_GB2312" w:eastAsia="仿宋_GB2312" w:cs="仿宋_GB2312"/>
          <w:sz w:val="32"/>
          <w:szCs w:val="32"/>
          <w:lang w:eastAsia="zh-CN"/>
        </w:rPr>
        <w:t>低</w:t>
      </w:r>
      <w:r>
        <w:rPr>
          <w:rFonts w:hint="eastAsia" w:ascii="仿宋_GB2312" w:hAnsi="仿宋_GB2312" w:eastAsia="仿宋_GB2312" w:cs="仿宋_GB2312"/>
          <w:sz w:val="32"/>
          <w:szCs w:val="32"/>
        </w:rPr>
        <w:t>于指标值较多的，分析其形成原因，针对评价过程中发现的问题进一步提出相关意见建议，为以后年度</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履行部门职责作出更好的预算管理和资金安排。</w:t>
      </w:r>
    </w:p>
    <w:p w14:paraId="45198C8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0"/>
        <w:rPr>
          <w:rFonts w:hint="eastAsia" w:ascii="黑体" w:hAnsi="黑体" w:eastAsia="黑体"/>
          <w:b/>
          <w:bCs/>
          <w:sz w:val="32"/>
          <w:szCs w:val="32"/>
          <w:lang w:eastAsia="zh-CN"/>
        </w:rPr>
      </w:pPr>
      <w:bookmarkStart w:id="26" w:name="_Toc26322"/>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bookmarkEnd w:id="26"/>
    </w:p>
    <w:p w14:paraId="1BAEBBA5">
      <w:pPr>
        <w:keepNext w:val="0"/>
        <w:keepLines w:val="0"/>
        <w:pageBreakBefore w:val="0"/>
        <w:widowControl w:val="0"/>
        <w:numPr>
          <w:ilvl w:val="0"/>
          <w:numId w:val="2"/>
        </w:numPr>
        <w:kinsoku/>
        <w:wordWrap/>
        <w:overflowPunct/>
        <w:topLinePunct w:val="0"/>
        <w:autoSpaceDE/>
        <w:autoSpaceDN/>
        <w:bidi w:val="0"/>
        <w:spacing w:line="560" w:lineRule="exact"/>
        <w:ind w:left="0" w:leftChars="0" w:right="0" w:firstLine="643" w:firstLineChars="200"/>
        <w:textAlignment w:val="auto"/>
        <w:outlineLvl w:val="1"/>
        <w:rPr>
          <w:rFonts w:ascii="仿宋" w:hAnsi="仿宋" w:eastAsia="仿宋" w:cs="楷体_GB2312"/>
          <w:b/>
          <w:bCs/>
          <w:sz w:val="32"/>
          <w:szCs w:val="32"/>
        </w:rPr>
      </w:pPr>
      <w:bookmarkStart w:id="27" w:name="_Toc17583"/>
      <w:r>
        <w:rPr>
          <w:rFonts w:hint="eastAsia" w:ascii="仿宋" w:hAnsi="仿宋" w:eastAsia="仿宋" w:cs="楷体_GB2312"/>
          <w:b/>
          <w:bCs/>
          <w:sz w:val="32"/>
          <w:szCs w:val="32"/>
          <w:lang w:eastAsia="zh-CN"/>
        </w:rPr>
        <w:t>总体绩效目标实现情况</w:t>
      </w:r>
      <w:bookmarkEnd w:id="27"/>
    </w:p>
    <w:p w14:paraId="23AED8F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根据相关离退休干部工作的方针政策，</w:t>
      </w:r>
      <w:r>
        <w:rPr>
          <w:rFonts w:hint="eastAsia" w:ascii="仿宋" w:hAnsi="仿宋" w:eastAsia="仿宋"/>
          <w:sz w:val="32"/>
          <w:szCs w:val="32"/>
          <w:highlight w:val="none"/>
          <w:lang w:val="en-US" w:eastAsia="zh-CN"/>
        </w:rPr>
        <w:t>为我市8家困难事业单位离休干部落实有关待遇，为9家上收管理部门下拨离退休干部经费，召开全市经济社会发展情况报告会，全面落实我市老干部政治待遇、生活待遇；进一步加强老干部活动阵地建设，积极推进市老年大学、活动中心老干部活动阵地建设。干休所结合与辖区结对共建试点情况，积极探讨扩大试点面的可行性工作，探讨从单纯自我服务向自我服务和社会化服务融合，尝试在依托家庭养老的基础上把社会服务机构引进干休所老干部服务范畴，扎实推进老干部工作全面创优。</w:t>
      </w:r>
      <w:r>
        <w:rPr>
          <w:rFonts w:hint="eastAsia" w:ascii="仿宋_GB2312" w:hAnsi="黑体" w:eastAsia="仿宋_GB2312" w:cs="仿宋_GB2312"/>
          <w:color w:val="auto"/>
          <w:sz w:val="32"/>
          <w:szCs w:val="32"/>
          <w:lang w:eastAsia="zh-CN"/>
        </w:rPr>
        <w:t>深入学习贯彻落实习近平总书记关于老干部工作重要指示精神，贯彻落实全国</w:t>
      </w:r>
      <w:r>
        <w:rPr>
          <w:rFonts w:hint="eastAsia" w:ascii="仿宋_GB2312" w:hAnsi="黑体" w:eastAsia="仿宋_GB2312" w:cs="仿宋_GB2312"/>
          <w:color w:val="auto"/>
          <w:sz w:val="32"/>
          <w:szCs w:val="32"/>
          <w:lang w:val="en-US" w:eastAsia="zh-CN"/>
        </w:rPr>
        <w:t>离退休干部“双先”表彰大会及全国、全</w:t>
      </w:r>
      <w:r>
        <w:rPr>
          <w:rFonts w:hint="eastAsia" w:ascii="仿宋_GB2312" w:hAnsi="黑体" w:eastAsia="仿宋_GB2312" w:cs="仿宋_GB2312"/>
          <w:color w:val="auto"/>
          <w:sz w:val="32"/>
          <w:szCs w:val="32"/>
          <w:lang w:eastAsia="zh-CN"/>
        </w:rPr>
        <w:t>省老干部局长会议精神，在省局的正确指导和市委的坚强领导下，以迎接党的二十大胜利召开和学习宣传贯彻党的二十大精神为主线，统筹疫情防控，全力抓好离退休干部党的建设、发挥作用、服务管理、队伍建设等重点工作，</w:t>
      </w:r>
      <w:r>
        <w:rPr>
          <w:rFonts w:hint="eastAsia" w:ascii="仿宋_GB2312" w:hAnsi="黑体" w:eastAsia="仿宋_GB2312" w:cs="仿宋_GB2312"/>
          <w:color w:val="auto"/>
          <w:sz w:val="32"/>
          <w:szCs w:val="32"/>
          <w:lang w:val="en-US" w:eastAsia="zh-CN"/>
        </w:rPr>
        <w:t>有序完成全年各项目标任务</w:t>
      </w:r>
      <w:r>
        <w:rPr>
          <w:rFonts w:hint="eastAsia" w:ascii="仿宋_GB2312" w:hAnsi="黑体" w:eastAsia="仿宋_GB2312" w:cs="仿宋_GB2312"/>
          <w:color w:val="auto"/>
          <w:sz w:val="32"/>
          <w:szCs w:val="32"/>
          <w:lang w:eastAsia="zh-CN"/>
        </w:rPr>
        <w:t>。</w:t>
      </w:r>
    </w:p>
    <w:p w14:paraId="5EEB1511">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highlight w:val="none"/>
          <w:lang w:val="en-US" w:eastAsia="zh-CN"/>
        </w:rPr>
      </w:pPr>
      <w:r>
        <w:rPr>
          <w:rFonts w:hint="eastAsia" w:ascii="仿宋_GB2312" w:hAnsi="黑体" w:eastAsia="仿宋_GB2312" w:cs="仿宋_GB2312"/>
          <w:color w:val="000000"/>
          <w:sz w:val="32"/>
          <w:szCs w:val="32"/>
          <w:highlight w:val="none"/>
          <w:lang w:val="en-US" w:eastAsia="zh-CN"/>
        </w:rPr>
        <w:t>2022年我部门整体调整预算收入6632.48万元、年度支出数6587.27万元，按资金支出性质分类，基本支出2726.34万元，占调整预算收入的98.34%；项目支出3860.93万元，占预算调整收入的100%。</w:t>
      </w:r>
    </w:p>
    <w:p w14:paraId="48302F34">
      <w:pPr>
        <w:keepNext w:val="0"/>
        <w:keepLines w:val="0"/>
        <w:pageBreakBefore w:val="0"/>
        <w:widowControl w:val="0"/>
        <w:numPr>
          <w:ilvl w:val="0"/>
          <w:numId w:val="2"/>
        </w:numPr>
        <w:kinsoku/>
        <w:wordWrap/>
        <w:overflowPunct/>
        <w:topLinePunct w:val="0"/>
        <w:autoSpaceDE/>
        <w:autoSpaceDN/>
        <w:bidi w:val="0"/>
        <w:spacing w:line="560" w:lineRule="exact"/>
        <w:ind w:left="0" w:leftChars="0" w:right="0" w:firstLine="643" w:firstLineChars="200"/>
        <w:textAlignment w:val="auto"/>
        <w:outlineLvl w:val="1"/>
        <w:rPr>
          <w:rFonts w:hint="eastAsia" w:ascii="仿宋" w:hAnsi="仿宋" w:eastAsia="仿宋" w:cs="楷体_GB2312"/>
          <w:b/>
          <w:bCs/>
          <w:sz w:val="32"/>
          <w:szCs w:val="32"/>
          <w:highlight w:val="none"/>
          <w:lang w:eastAsia="zh-CN"/>
        </w:rPr>
      </w:pPr>
      <w:bookmarkStart w:id="28" w:name="_Toc7947"/>
      <w:r>
        <w:rPr>
          <w:rFonts w:hint="eastAsia" w:ascii="仿宋" w:hAnsi="仿宋" w:eastAsia="仿宋" w:cs="楷体_GB2312"/>
          <w:b/>
          <w:bCs/>
          <w:sz w:val="32"/>
          <w:szCs w:val="32"/>
          <w:highlight w:val="none"/>
          <w:lang w:eastAsia="zh-CN"/>
        </w:rPr>
        <w:t>分项绩效目标实现情况及指标分析</w:t>
      </w:r>
      <w:bookmarkEnd w:id="28"/>
    </w:p>
    <w:p w14:paraId="57B34566">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default" w:ascii="仿宋_GB2312" w:eastAsia="仿宋_GB2312"/>
          <w:sz w:val="32"/>
          <w:szCs w:val="32"/>
          <w:lang w:val="en-US" w:eastAsia="zh-CN"/>
        </w:rPr>
      </w:pPr>
      <w:r>
        <w:rPr>
          <w:rFonts w:hint="eastAsia" w:ascii="仿宋_GB2312" w:eastAsia="仿宋_GB2312"/>
          <w:sz w:val="32"/>
          <w:szCs w:val="32"/>
          <w:lang w:val="en-US" w:eastAsia="zh-CN"/>
        </w:rPr>
        <w:t>（1）全面落实我市离退休干部政治待遇、生活待遇</w:t>
      </w:r>
    </w:p>
    <w:p w14:paraId="2C480597">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default" w:ascii="仿宋" w:hAnsi="仿宋" w:eastAsia="仿宋"/>
          <w:sz w:val="32"/>
          <w:szCs w:val="32"/>
          <w:highlight w:val="yellow"/>
          <w:lang w:val="en-US" w:eastAsia="zh-CN"/>
        </w:rPr>
      </w:pPr>
      <w:r>
        <w:rPr>
          <w:rFonts w:hint="eastAsia" w:ascii="仿宋_GB2312" w:eastAsia="仿宋_GB2312"/>
          <w:sz w:val="32"/>
          <w:szCs w:val="32"/>
          <w:lang w:val="en-US" w:eastAsia="zh-CN"/>
        </w:rPr>
        <w:t>我部门</w:t>
      </w:r>
      <w:r>
        <w:rPr>
          <w:rFonts w:hint="eastAsia" w:ascii="Times New Roman" w:hAnsi="Times New Roman" w:eastAsia="仿宋_GB2312"/>
          <w:color w:val="000000"/>
          <w:sz w:val="32"/>
          <w:szCs w:val="32"/>
        </w:rPr>
        <w:t>充分</w:t>
      </w:r>
      <w:r>
        <w:rPr>
          <w:rFonts w:ascii="Times New Roman" w:hAnsi="Times New Roman" w:eastAsia="仿宋_GB2312"/>
          <w:color w:val="000000"/>
          <w:sz w:val="32"/>
          <w:szCs w:val="32"/>
        </w:rPr>
        <w:t>落实</w:t>
      </w:r>
      <w:r>
        <w:rPr>
          <w:rFonts w:hint="eastAsia" w:ascii="Times New Roman" w:hAnsi="Times New Roman" w:eastAsia="仿宋_GB2312"/>
          <w:color w:val="000000"/>
          <w:sz w:val="32"/>
          <w:szCs w:val="32"/>
          <w:lang w:val="en-US" w:eastAsia="zh-CN"/>
        </w:rPr>
        <w:t>对</w:t>
      </w:r>
      <w:r>
        <w:rPr>
          <w:rFonts w:ascii="Times New Roman" w:hAnsi="Times New Roman" w:eastAsia="仿宋_GB2312"/>
          <w:color w:val="000000"/>
          <w:sz w:val="32"/>
          <w:szCs w:val="32"/>
        </w:rPr>
        <w:t>离退休干部</w:t>
      </w:r>
      <w:r>
        <w:rPr>
          <w:rFonts w:hint="eastAsia" w:ascii="Times New Roman" w:hAnsi="Times New Roman" w:eastAsia="仿宋_GB2312"/>
          <w:color w:val="000000"/>
          <w:sz w:val="32"/>
          <w:szCs w:val="32"/>
        </w:rPr>
        <w:t>各项</w:t>
      </w:r>
      <w:r>
        <w:rPr>
          <w:rFonts w:ascii="Times New Roman" w:hAnsi="Times New Roman" w:eastAsia="仿宋_GB2312"/>
          <w:color w:val="000000"/>
          <w:sz w:val="32"/>
          <w:szCs w:val="32"/>
        </w:rPr>
        <w:t>政治</w:t>
      </w:r>
      <w:r>
        <w:rPr>
          <w:rFonts w:hint="eastAsia" w:ascii="Times New Roman" w:hAnsi="Times New Roman" w:eastAsia="仿宋_GB2312"/>
          <w:color w:val="000000"/>
          <w:sz w:val="32"/>
          <w:szCs w:val="32"/>
        </w:rPr>
        <w:t>、生活</w:t>
      </w:r>
      <w:r>
        <w:rPr>
          <w:rFonts w:ascii="Times New Roman" w:hAnsi="Times New Roman" w:eastAsia="仿宋_GB2312"/>
          <w:color w:val="000000"/>
          <w:sz w:val="32"/>
          <w:szCs w:val="32"/>
        </w:rPr>
        <w:t>待</w:t>
      </w:r>
      <w:r>
        <w:rPr>
          <w:rFonts w:hint="eastAsia" w:ascii="Times New Roman" w:hAnsi="Times New Roman" w:eastAsia="仿宋_GB2312"/>
          <w:color w:val="000000"/>
          <w:sz w:val="32"/>
          <w:szCs w:val="32"/>
          <w:lang w:val="en-US" w:eastAsia="zh-CN"/>
        </w:rPr>
        <w:t>遇</w:t>
      </w:r>
      <w:r>
        <w:rPr>
          <w:rFonts w:hint="eastAsia" w:ascii="Times New Roman" w:hAnsi="Times New Roman" w:eastAsia="仿宋_GB2312"/>
          <w:color w:val="000000"/>
          <w:sz w:val="32"/>
          <w:szCs w:val="32"/>
          <w:lang w:eastAsia="zh-CN"/>
        </w:rPr>
        <w:t>。</w:t>
      </w:r>
      <w:r>
        <w:rPr>
          <w:rFonts w:hint="eastAsia" w:ascii="仿宋_GB2312" w:hAnsi="仿宋_GB2312" w:eastAsia="仿宋_GB2312" w:cs="仿宋_GB2312"/>
          <w:color w:val="auto"/>
          <w:sz w:val="32"/>
          <w:szCs w:val="32"/>
          <w:lang w:eastAsia="zh-CN"/>
        </w:rPr>
        <w:t>充分保障离退休干部各项政治、生活待遇，坚持走访慰问、住院看望、报送医药费、电话慰问、生日祝寿等常态化服务。</w:t>
      </w:r>
      <w:r>
        <w:rPr>
          <w:rFonts w:hint="eastAsia" w:ascii="仿宋_GB2312" w:hAnsi="仿宋_GB2312" w:eastAsia="仿宋_GB2312" w:cs="仿宋_GB2312"/>
          <w:color w:val="auto"/>
          <w:sz w:val="32"/>
          <w:szCs w:val="32"/>
          <w:lang w:val="en-US" w:eastAsia="zh-CN"/>
        </w:rPr>
        <w:t>走访慰问省部级单项待遇离休干部</w:t>
      </w:r>
      <w:r>
        <w:rPr>
          <w:rFonts w:hint="default" w:ascii="Times New Roman" w:hAnsi="Times New Roman" w:eastAsia="仿宋_GB2312" w:cs="Times New Roman"/>
          <w:color w:val="auto"/>
          <w:sz w:val="32"/>
          <w:szCs w:val="32"/>
          <w:lang w:val="en-US" w:eastAsia="zh-CN"/>
        </w:rPr>
        <w:t>21</w:t>
      </w:r>
      <w:r>
        <w:rPr>
          <w:rFonts w:hint="eastAsia" w:ascii="仿宋_GB2312" w:hAnsi="仿宋_GB2312" w:eastAsia="仿宋_GB2312" w:cs="仿宋_GB2312"/>
          <w:color w:val="auto"/>
          <w:sz w:val="32"/>
          <w:szCs w:val="32"/>
          <w:lang w:val="en-US" w:eastAsia="zh-CN"/>
        </w:rPr>
        <w:t>人，百岁老干部</w:t>
      </w:r>
      <w:r>
        <w:rPr>
          <w:rFonts w:hint="eastAsia" w:ascii="Times New Roman" w:hAnsi="Times New Roman" w:eastAsia="仿宋_GB2312" w:cs="Times New Roman"/>
          <w:color w:val="auto"/>
          <w:sz w:val="32"/>
          <w:szCs w:val="32"/>
          <w:lang w:val="en-US" w:eastAsia="zh-CN"/>
        </w:rPr>
        <w:t>22</w:t>
      </w:r>
      <w:r>
        <w:rPr>
          <w:rFonts w:hint="eastAsia" w:ascii="仿宋_GB2312" w:hAnsi="仿宋_GB2312" w:eastAsia="仿宋_GB2312" w:cs="仿宋_GB2312"/>
          <w:color w:val="auto"/>
          <w:sz w:val="32"/>
          <w:szCs w:val="32"/>
          <w:lang w:val="en-US" w:eastAsia="zh-CN"/>
        </w:rPr>
        <w:t>人；</w:t>
      </w:r>
      <w:r>
        <w:rPr>
          <w:rFonts w:hint="eastAsia" w:ascii="仿宋_GB2312" w:hAnsi="仿宋_GB2312" w:eastAsia="仿宋_GB2312" w:cs="仿宋_GB2312"/>
          <w:color w:val="auto"/>
          <w:sz w:val="32"/>
          <w:szCs w:val="32"/>
        </w:rPr>
        <w:t>为改制破产企业离休干部服务管理上收部门拨付经费</w:t>
      </w:r>
      <w:r>
        <w:rPr>
          <w:rFonts w:hint="default" w:ascii="Times New Roman" w:hAnsi="Times New Roman" w:eastAsia="仿宋_GB2312" w:cs="Times New Roman"/>
          <w:color w:val="auto"/>
          <w:sz w:val="32"/>
          <w:szCs w:val="32"/>
        </w:rPr>
        <w:t>91.53</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为</w:t>
      </w:r>
      <w:r>
        <w:rPr>
          <w:rFonts w:hint="eastAsia" w:ascii="Times New Roman" w:hAnsi="Times New Roman" w:eastAsia="仿宋_GB2312" w:cs="Times New Roman"/>
          <w:color w:val="auto"/>
          <w:sz w:val="32"/>
          <w:szCs w:val="32"/>
        </w:rPr>
        <w:t>8</w:t>
      </w:r>
      <w:r>
        <w:rPr>
          <w:rFonts w:hint="eastAsia" w:ascii="仿宋_GB2312" w:hAnsi="仿宋_GB2312" w:eastAsia="仿宋_GB2312" w:cs="仿宋_GB2312"/>
          <w:color w:val="auto"/>
          <w:sz w:val="32"/>
          <w:szCs w:val="32"/>
        </w:rPr>
        <w:t>个主管部门</w:t>
      </w:r>
      <w:r>
        <w:rPr>
          <w:rFonts w:hint="eastAsia" w:ascii="Times New Roman" w:hAnsi="Times New Roman" w:eastAsia="仿宋_GB2312" w:cs="Times New Roman"/>
          <w:color w:val="auto"/>
          <w:sz w:val="32"/>
          <w:szCs w:val="32"/>
        </w:rPr>
        <w:t>399</w:t>
      </w:r>
      <w:r>
        <w:rPr>
          <w:rFonts w:hint="eastAsia" w:ascii="仿宋_GB2312" w:hAnsi="仿宋_GB2312" w:eastAsia="仿宋_GB2312" w:cs="仿宋_GB2312"/>
          <w:color w:val="auto"/>
          <w:sz w:val="32"/>
          <w:szCs w:val="32"/>
        </w:rPr>
        <w:t>名离休干部配备服务人员</w:t>
      </w:r>
      <w:r>
        <w:rPr>
          <w:rFonts w:hint="eastAsia" w:ascii="Times New Roman" w:hAnsi="Times New Roman" w:eastAsia="仿宋_GB2312" w:cs="Times New Roman"/>
          <w:color w:val="auto"/>
          <w:sz w:val="32"/>
          <w:szCs w:val="32"/>
        </w:rPr>
        <w:t>23</w:t>
      </w:r>
      <w:r>
        <w:rPr>
          <w:rFonts w:hint="eastAsia" w:ascii="仿宋_GB2312" w:hAnsi="仿宋_GB2312" w:eastAsia="仿宋_GB2312" w:cs="仿宋_GB2312"/>
          <w:color w:val="auto"/>
          <w:sz w:val="32"/>
          <w:szCs w:val="32"/>
        </w:rPr>
        <w:t>名</w:t>
      </w:r>
      <w:r>
        <w:rPr>
          <w:rFonts w:hint="eastAsia" w:ascii="仿宋_GB2312" w:hAnsi="仿宋_GB2312" w:eastAsia="仿宋_GB2312" w:cs="仿宋_GB2312"/>
          <w:color w:val="auto"/>
          <w:sz w:val="32"/>
          <w:szCs w:val="32"/>
          <w:lang w:eastAsia="zh-CN"/>
        </w:rPr>
        <w:t>。开展特困帮扶</w:t>
      </w:r>
      <w:r>
        <w:rPr>
          <w:rFonts w:hint="eastAsia" w:ascii="仿宋_GB2312" w:hAnsi="仿宋_GB2312" w:eastAsia="仿宋_GB2312" w:cs="仿宋_GB2312"/>
          <w:color w:val="auto"/>
          <w:sz w:val="32"/>
          <w:szCs w:val="32"/>
        </w:rPr>
        <w:t>，对</w:t>
      </w:r>
      <w:r>
        <w:rPr>
          <w:rFonts w:hint="default" w:ascii="Times New Roman" w:hAnsi="Times New Roman" w:eastAsia="仿宋_GB2312" w:cs="Times New Roman"/>
          <w:color w:val="auto"/>
          <w:sz w:val="32"/>
          <w:szCs w:val="32"/>
          <w:lang w:val="en-US" w:eastAsia="zh-CN"/>
        </w:rPr>
        <w:t>183</w:t>
      </w:r>
      <w:r>
        <w:rPr>
          <w:rFonts w:hint="eastAsia" w:ascii="仿宋_GB2312" w:hAnsi="仿宋_GB2312" w:eastAsia="仿宋_GB2312" w:cs="仿宋_GB2312"/>
          <w:color w:val="auto"/>
          <w:sz w:val="32"/>
          <w:szCs w:val="32"/>
          <w:lang w:val="en-US" w:eastAsia="zh-CN"/>
        </w:rPr>
        <w:t>名</w:t>
      </w:r>
      <w:r>
        <w:rPr>
          <w:rFonts w:hint="eastAsia" w:ascii="仿宋_GB2312" w:hAnsi="仿宋_GB2312" w:eastAsia="仿宋_GB2312" w:cs="仿宋_GB2312"/>
          <w:color w:val="auto"/>
          <w:sz w:val="32"/>
          <w:szCs w:val="32"/>
        </w:rPr>
        <w:t>空巢、独居和重病老同志给予更多的关心照顾</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为</w:t>
      </w:r>
      <w:r>
        <w:rPr>
          <w:rFonts w:hint="eastAsia" w:ascii="仿宋_GB2312" w:hAnsi="仿宋_GB2312" w:eastAsia="仿宋_GB2312" w:cs="仿宋_GB2312"/>
          <w:color w:val="auto"/>
          <w:sz w:val="32"/>
          <w:szCs w:val="32"/>
        </w:rPr>
        <w:t>市乡镇企业经贸公司等</w:t>
      </w:r>
      <w:r>
        <w:rPr>
          <w:rFonts w:hint="default" w:ascii="Times New Roman" w:hAnsi="Times New Roman" w:eastAsia="仿宋_GB2312" w:cs="Times New Roman"/>
          <w:color w:val="auto"/>
          <w:sz w:val="32"/>
          <w:szCs w:val="32"/>
          <w:lang w:val="en-US" w:eastAsia="zh-CN"/>
        </w:rPr>
        <w:t>6</w:t>
      </w:r>
      <w:r>
        <w:rPr>
          <w:rFonts w:hint="eastAsia" w:ascii="仿宋_GB2312" w:hAnsi="仿宋_GB2312" w:eastAsia="仿宋_GB2312" w:cs="仿宋_GB2312"/>
          <w:color w:val="auto"/>
          <w:sz w:val="32"/>
          <w:szCs w:val="32"/>
        </w:rPr>
        <w:t>家事业单位</w:t>
      </w:r>
      <w:r>
        <w:rPr>
          <w:rFonts w:hint="default" w:ascii="Times New Roman" w:hAnsi="Times New Roman" w:eastAsia="仿宋_GB2312" w:cs="Times New Roman"/>
          <w:color w:val="auto"/>
          <w:sz w:val="32"/>
          <w:szCs w:val="32"/>
          <w:lang w:val="en-US" w:eastAsia="zh-CN"/>
        </w:rPr>
        <w:t>8</w:t>
      </w:r>
      <w:r>
        <w:rPr>
          <w:rFonts w:hint="eastAsia" w:ascii="仿宋_GB2312" w:hAnsi="仿宋_GB2312" w:eastAsia="仿宋_GB2312" w:cs="仿宋_GB2312"/>
          <w:color w:val="auto"/>
          <w:sz w:val="32"/>
          <w:szCs w:val="32"/>
        </w:rPr>
        <w:t>名离休干部解决了</w:t>
      </w:r>
      <w:r>
        <w:rPr>
          <w:rFonts w:hint="eastAsia" w:ascii="Times New Roman" w:hAnsi="Times New Roman" w:eastAsia="仿宋_GB2312" w:cs="Times New Roman"/>
          <w:color w:val="auto"/>
          <w:sz w:val="32"/>
          <w:szCs w:val="32"/>
          <w:lang w:val="en-US" w:eastAsia="zh-CN"/>
        </w:rPr>
        <w:t>2021</w:t>
      </w:r>
      <w:r>
        <w:rPr>
          <w:rFonts w:hint="eastAsia" w:ascii="仿宋_GB2312" w:hAnsi="仿宋_GB2312" w:eastAsia="仿宋_GB2312" w:cs="仿宋_GB2312"/>
          <w:color w:val="auto"/>
          <w:sz w:val="32"/>
          <w:szCs w:val="32"/>
        </w:rPr>
        <w:t>年度取暖费和一次性抚恤金共计</w:t>
      </w:r>
      <w:r>
        <w:rPr>
          <w:rFonts w:hint="eastAsia" w:ascii="Times New Roman" w:hAnsi="Times New Roman" w:eastAsia="仿宋_GB2312" w:cs="Times New Roman"/>
          <w:color w:val="auto"/>
          <w:sz w:val="32"/>
          <w:szCs w:val="32"/>
          <w:lang w:val="en-US" w:eastAsia="zh-CN"/>
        </w:rPr>
        <w:t>6.7</w:t>
      </w:r>
      <w:r>
        <w:rPr>
          <w:rFonts w:hint="eastAsia" w:ascii="仿宋_GB2312" w:hAnsi="仿宋_GB2312" w:eastAsia="仿宋_GB2312" w:cs="仿宋_GB2312"/>
          <w:color w:val="auto"/>
          <w:sz w:val="32"/>
          <w:szCs w:val="32"/>
          <w:lang w:val="en-US" w:eastAsia="zh-CN"/>
        </w:rPr>
        <w:t>万余</w:t>
      </w:r>
      <w:r>
        <w:rPr>
          <w:rFonts w:hint="eastAsia" w:ascii="仿宋_GB2312" w:hAnsi="仿宋_GB2312" w:eastAsia="仿宋_GB2312" w:cs="仿宋_GB2312"/>
          <w:color w:val="auto"/>
          <w:sz w:val="32"/>
          <w:szCs w:val="32"/>
        </w:rPr>
        <w:t>元</w:t>
      </w:r>
      <w:r>
        <w:rPr>
          <w:rFonts w:hint="eastAsia" w:ascii="仿宋_GB2312" w:hAnsi="仿宋_GB2312" w:eastAsia="仿宋_GB2312" w:cs="仿宋_GB2312"/>
          <w:color w:val="auto"/>
          <w:sz w:val="32"/>
          <w:szCs w:val="32"/>
          <w:lang w:eastAsia="zh-CN"/>
        </w:rPr>
        <w:t>；积极应对人口老龄化，与革新街道合作，</w:t>
      </w:r>
      <w:r>
        <w:rPr>
          <w:rFonts w:hint="eastAsia" w:ascii="仿宋_GB2312" w:hAnsi="仿宋_GB2312" w:eastAsia="仿宋_GB2312" w:cs="仿宋_GB2312"/>
          <w:color w:val="auto"/>
          <w:sz w:val="32"/>
          <w:szCs w:val="32"/>
          <w:lang w:val="en-US" w:eastAsia="zh-CN"/>
        </w:rPr>
        <w:t>将新华路</w:t>
      </w:r>
      <w:r>
        <w:rPr>
          <w:rFonts w:hint="default" w:ascii="Times New Roman" w:hAnsi="Times New Roman" w:eastAsia="仿宋_GB2312" w:cs="Times New Roman"/>
          <w:color w:val="auto"/>
          <w:sz w:val="32"/>
          <w:szCs w:val="32"/>
          <w:lang w:val="en-US" w:eastAsia="zh-CN"/>
        </w:rPr>
        <w:t>211</w:t>
      </w:r>
      <w:r>
        <w:rPr>
          <w:rFonts w:hint="eastAsia" w:ascii="仿宋_GB2312" w:hAnsi="仿宋_GB2312" w:eastAsia="仿宋_GB2312" w:cs="仿宋_GB2312"/>
          <w:color w:val="auto"/>
          <w:sz w:val="32"/>
          <w:szCs w:val="32"/>
          <w:lang w:val="en-US" w:eastAsia="zh-CN"/>
        </w:rPr>
        <w:t>号老干部活动室用房给革新街道无偿使用，建设居家养老服务中心，用于解决老同志就餐问题。</w:t>
      </w:r>
    </w:p>
    <w:p w14:paraId="1EC2876B">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0" w:leftChars="0" w:right="0" w:firstLine="640" w:firstLineChars="200"/>
        <w:jc w:val="both"/>
        <w:textAlignment w:val="auto"/>
        <w:outlineLvl w:val="9"/>
        <w:rPr>
          <w:rFonts w:hint="eastAsia" w:ascii="仿宋" w:hAnsi="仿宋" w:eastAsia="仿宋"/>
          <w:sz w:val="32"/>
          <w:szCs w:val="32"/>
          <w:highlight w:val="none"/>
          <w:lang w:eastAsia="zh-CN"/>
        </w:rPr>
      </w:pPr>
      <w:r>
        <w:rPr>
          <w:rFonts w:hint="eastAsia" w:ascii="仿宋" w:hAnsi="仿宋" w:eastAsia="仿宋"/>
          <w:sz w:val="32"/>
          <w:szCs w:val="32"/>
          <w:highlight w:val="none"/>
          <w:lang w:val="en-US" w:eastAsia="zh-CN"/>
        </w:rPr>
        <w:t>加强老干部活动阵地建设、组织举办各种形式的老干部活动</w:t>
      </w:r>
    </w:p>
    <w:p w14:paraId="11CE55B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jc w:val="both"/>
        <w:textAlignment w:val="auto"/>
        <w:outlineLvl w:val="9"/>
        <w:rPr>
          <w:rFonts w:hint="default" w:ascii="仿宋" w:hAnsi="仿宋" w:eastAsia="仿宋" w:cs="黑体"/>
          <w:b w:val="0"/>
          <w:bCs w:val="0"/>
          <w:kern w:val="2"/>
          <w:sz w:val="32"/>
          <w:szCs w:val="32"/>
          <w:highlight w:val="yellow"/>
          <w:lang w:val="en-US" w:eastAsia="zh-CN" w:bidi="ar-SA"/>
        </w:rPr>
      </w:pPr>
      <w:r>
        <w:rPr>
          <w:rFonts w:hint="default" w:ascii="Times New Roman" w:hAnsi="Times New Roman" w:eastAsia="仿宋_GB2312" w:cs="Times New Roman"/>
          <w:color w:val="auto"/>
          <w:sz w:val="32"/>
          <w:szCs w:val="32"/>
          <w:lang w:val="en-US" w:eastAsia="zh-CN"/>
        </w:rPr>
        <w:t>组织离退休干部收看全国离退休干部专题网上报告会，发放《党的百年奋斗重大成就和历史经验的决议》辅导读本100余册，编发《“老党员驿站”学习资料汇编》200余份，</w:t>
      </w:r>
      <w:r>
        <w:rPr>
          <w:rFonts w:hint="eastAsia" w:ascii="Times New Roman" w:hAnsi="Times New Roman" w:eastAsia="仿宋_GB2312" w:cs="Times New Roman"/>
          <w:color w:val="auto"/>
          <w:sz w:val="32"/>
          <w:szCs w:val="32"/>
          <w:lang w:val="en-US" w:eastAsia="zh-CN"/>
        </w:rPr>
        <w:t>出台</w:t>
      </w:r>
      <w:r>
        <w:rPr>
          <w:rFonts w:hint="default" w:ascii="Times New Roman" w:hAnsi="Times New Roman" w:eastAsia="仿宋_GB2312" w:cs="Times New Roman"/>
          <w:color w:val="auto"/>
          <w:sz w:val="32"/>
          <w:szCs w:val="32"/>
          <w:lang w:val="en-US" w:eastAsia="zh-CN"/>
        </w:rPr>
        <w:t>《关于组织离退休干部深入学习宣传贯彻党的二十大精神的通知》，依托“老党员驿站”</w:t>
      </w:r>
      <w:r>
        <w:rPr>
          <w:rFonts w:hint="eastAsia" w:ascii="Times New Roman" w:hAnsi="Times New Roman" w:eastAsia="仿宋_GB2312" w:cs="Times New Roman"/>
          <w:color w:val="auto"/>
          <w:sz w:val="32"/>
          <w:szCs w:val="32"/>
          <w:lang w:val="en-US" w:eastAsia="zh-CN"/>
        </w:rPr>
        <w:t>、老年大学课前10分钟思政小课堂</w:t>
      </w:r>
      <w:r>
        <w:rPr>
          <w:rFonts w:hint="default" w:ascii="Times New Roman" w:hAnsi="Times New Roman" w:eastAsia="仿宋_GB2312" w:cs="Times New Roman"/>
          <w:color w:val="auto"/>
          <w:sz w:val="32"/>
          <w:szCs w:val="32"/>
          <w:lang w:val="en-US" w:eastAsia="zh-CN"/>
        </w:rPr>
        <w:t>等阵地</w:t>
      </w:r>
      <w:r>
        <w:rPr>
          <w:rFonts w:hint="eastAsia" w:ascii="Times New Roman" w:hAnsi="Times New Roman" w:eastAsia="仿宋_GB2312" w:cs="Times New Roman"/>
          <w:color w:val="auto"/>
          <w:sz w:val="32"/>
          <w:szCs w:val="32"/>
          <w:lang w:val="en-US" w:eastAsia="zh-CN"/>
        </w:rPr>
        <w:t>平台</w:t>
      </w:r>
      <w:r>
        <w:rPr>
          <w:rFonts w:hint="default" w:ascii="Times New Roman" w:hAnsi="Times New Roman" w:eastAsia="仿宋_GB2312" w:cs="Times New Roman"/>
          <w:color w:val="auto"/>
          <w:sz w:val="32"/>
          <w:szCs w:val="32"/>
          <w:lang w:val="en-US" w:eastAsia="zh-CN"/>
        </w:rPr>
        <w:t>开展集中宣讲、专题辅导和</w:t>
      </w:r>
      <w:r>
        <w:rPr>
          <w:rFonts w:hint="eastAsia" w:ascii="Times New Roman" w:hAnsi="Times New Roman" w:eastAsia="仿宋_GB2312" w:cs="Times New Roman"/>
          <w:color w:val="auto"/>
          <w:sz w:val="32"/>
          <w:szCs w:val="32"/>
          <w:lang w:val="en-US" w:eastAsia="zh-CN"/>
        </w:rPr>
        <w:t>思政学习，</w:t>
      </w:r>
      <w:r>
        <w:rPr>
          <w:rFonts w:hint="default" w:ascii="Times New Roman" w:hAnsi="Times New Roman" w:eastAsia="仿宋_GB2312" w:cs="Times New Roman"/>
          <w:color w:val="auto"/>
          <w:sz w:val="32"/>
          <w:szCs w:val="32"/>
          <w:lang w:val="en-US" w:eastAsia="zh-CN"/>
        </w:rPr>
        <w:t>组织离退休干部深入学习贯彻党的二十大精神，教育引导广大老同志坚决捍卫“两个确立”，做到“两个维护”</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组织全市各县（市、区）老干部局长参加中组部老干部局长线上培训班，全面学习贯彻中央、省关于加强新时代离退休干部党的建设工作精神</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发挥市“老党员驿站”示范引领作用，通过组织</w:t>
      </w:r>
      <w:r>
        <w:rPr>
          <w:rFonts w:hint="eastAsia" w:ascii="Times New Roman" w:hAnsi="Times New Roman" w:eastAsia="仿宋_GB2312" w:cs="Times New Roman"/>
          <w:color w:val="auto"/>
          <w:sz w:val="32"/>
          <w:szCs w:val="32"/>
          <w:lang w:val="en-US" w:eastAsia="zh-CN"/>
        </w:rPr>
        <w:t>老</w:t>
      </w:r>
      <w:r>
        <w:rPr>
          <w:rFonts w:hint="default" w:ascii="Times New Roman" w:hAnsi="Times New Roman" w:eastAsia="仿宋_GB2312" w:cs="Times New Roman"/>
          <w:color w:val="auto"/>
          <w:sz w:val="32"/>
          <w:szCs w:val="32"/>
          <w:lang w:val="en-US" w:eastAsia="zh-CN"/>
        </w:rPr>
        <w:t>党员参观驿站、举办专题读书班等多种方式，增强驿站活动的吸引力</w:t>
      </w:r>
      <w:r>
        <w:rPr>
          <w:rFonts w:hint="eastAsia" w:ascii="Times New Roman" w:hAnsi="Times New Roman" w:eastAsia="仿宋_GB2312" w:cs="Times New Roman"/>
          <w:color w:val="auto"/>
          <w:sz w:val="32"/>
          <w:szCs w:val="32"/>
          <w:lang w:val="en-US" w:eastAsia="zh-CN"/>
        </w:rPr>
        <w:t>；</w:t>
      </w:r>
      <w:r>
        <w:rPr>
          <w:rFonts w:hint="eastAsia" w:ascii="仿宋_GB2312" w:hAnsi="仿宋_GB2312" w:eastAsia="仿宋_GB2312" w:cs="仿宋_GB2312"/>
          <w:b w:val="0"/>
          <w:bCs w:val="0"/>
          <w:color w:val="auto"/>
          <w:sz w:val="32"/>
          <w:szCs w:val="32"/>
          <w:lang w:eastAsia="zh-CN"/>
        </w:rPr>
        <w:t>结合我市特色，推出</w:t>
      </w:r>
      <w:r>
        <w:rPr>
          <w:rFonts w:hint="default" w:ascii="Times New Roman" w:hAnsi="Times New Roman" w:eastAsia="仿宋_GB2312" w:cs="Times New Roman"/>
          <w:b w:val="0"/>
          <w:bCs w:val="0"/>
          <w:color w:val="auto"/>
          <w:sz w:val="32"/>
          <w:szCs w:val="32"/>
          <w:lang w:eastAsia="zh-CN"/>
        </w:rPr>
        <w:t>20</w:t>
      </w:r>
      <w:r>
        <w:rPr>
          <w:rFonts w:hint="eastAsia" w:ascii="仿宋_GB2312" w:hAnsi="仿宋_GB2312" w:eastAsia="仿宋_GB2312" w:cs="仿宋_GB2312"/>
          <w:b w:val="0"/>
          <w:bCs w:val="0"/>
          <w:color w:val="auto"/>
          <w:sz w:val="32"/>
          <w:szCs w:val="32"/>
          <w:lang w:eastAsia="zh-CN"/>
        </w:rPr>
        <w:t>集离退休干部口述历史纪录片《冀忆·永恒》，从老干部视角讲述石家庄经济社会发展进程中他们的经历、思考、做法；</w:t>
      </w:r>
      <w:r>
        <w:rPr>
          <w:rFonts w:hint="eastAsia" w:ascii="仿宋_GB2312" w:hAnsi="仿宋_GB2312" w:eastAsia="仿宋_GB2312" w:cs="仿宋_GB2312"/>
          <w:b w:val="0"/>
          <w:bCs w:val="0"/>
          <w:color w:val="auto"/>
          <w:sz w:val="32"/>
          <w:szCs w:val="32"/>
          <w:lang w:val="en-US" w:eastAsia="zh-CN"/>
        </w:rPr>
        <w:t>开展第三届“银龄之声”艺术节，通过线上进行了“永远跟党走”文艺展演。举办“笔墨映初心、献礼二十大”等</w:t>
      </w:r>
      <w:r>
        <w:rPr>
          <w:rFonts w:hint="default" w:ascii="Times New Roman" w:hAnsi="Times New Roman" w:eastAsia="仿宋_GB2312" w:cs="Times New Roman"/>
          <w:b w:val="0"/>
          <w:bCs w:val="0"/>
          <w:color w:val="auto"/>
          <w:sz w:val="32"/>
          <w:szCs w:val="32"/>
          <w:lang w:val="en-US" w:eastAsia="zh-CN"/>
        </w:rPr>
        <w:t>4</w:t>
      </w:r>
      <w:r>
        <w:rPr>
          <w:rFonts w:hint="eastAsia" w:ascii="仿宋_GB2312" w:hAnsi="仿宋_GB2312" w:eastAsia="仿宋_GB2312" w:cs="仿宋_GB2312"/>
          <w:b w:val="0"/>
          <w:bCs w:val="0"/>
          <w:color w:val="auto"/>
          <w:sz w:val="32"/>
          <w:szCs w:val="32"/>
          <w:lang w:val="en-US" w:eastAsia="zh-CN"/>
        </w:rPr>
        <w:t>场次书画摄影展，共展出作品</w:t>
      </w:r>
      <w:r>
        <w:rPr>
          <w:rFonts w:hint="default" w:ascii="Times New Roman" w:hAnsi="Times New Roman" w:eastAsia="仿宋_GB2312" w:cs="Times New Roman"/>
          <w:b w:val="0"/>
          <w:bCs w:val="0"/>
          <w:color w:val="auto"/>
          <w:sz w:val="32"/>
          <w:szCs w:val="32"/>
          <w:lang w:val="en-US" w:eastAsia="zh-CN"/>
        </w:rPr>
        <w:t>487</w:t>
      </w:r>
      <w:r>
        <w:rPr>
          <w:rFonts w:hint="eastAsia" w:ascii="仿宋_GB2312" w:hAnsi="仿宋_GB2312" w:eastAsia="仿宋_GB2312" w:cs="仿宋_GB2312"/>
          <w:b w:val="0"/>
          <w:bCs w:val="0"/>
          <w:color w:val="auto"/>
          <w:sz w:val="32"/>
          <w:szCs w:val="32"/>
          <w:lang w:val="en-US" w:eastAsia="zh-CN"/>
        </w:rPr>
        <w:t>幅，征集“喜迎二十大校园展风采”各类作品</w:t>
      </w:r>
      <w:r>
        <w:rPr>
          <w:rFonts w:hint="eastAsia" w:ascii="Times New Roman" w:hAnsi="Times New Roman" w:eastAsia="仿宋_GB2312" w:cs="Times New Roman"/>
          <w:b w:val="0"/>
          <w:bCs w:val="0"/>
          <w:color w:val="auto"/>
          <w:sz w:val="32"/>
          <w:szCs w:val="32"/>
          <w:lang w:val="en-US" w:eastAsia="zh-CN"/>
        </w:rPr>
        <w:t>1273</w:t>
      </w:r>
      <w:r>
        <w:rPr>
          <w:rFonts w:hint="eastAsia" w:ascii="仿宋_GB2312" w:hAnsi="仿宋_GB2312" w:eastAsia="仿宋_GB2312" w:cs="仿宋_GB2312"/>
          <w:b w:val="0"/>
          <w:bCs w:val="0"/>
          <w:color w:val="auto"/>
          <w:sz w:val="32"/>
          <w:szCs w:val="32"/>
          <w:lang w:val="en-US" w:eastAsia="zh-CN"/>
        </w:rPr>
        <w:t>幅。</w:t>
      </w:r>
    </w:p>
    <w:p w14:paraId="7E457261">
      <w:pPr>
        <w:keepNext w:val="0"/>
        <w:keepLines w:val="0"/>
        <w:pageBreakBefore w:val="0"/>
        <w:widowControl w:val="0"/>
        <w:kinsoku/>
        <w:wordWrap/>
        <w:overflowPunct/>
        <w:topLinePunct w:val="0"/>
        <w:autoSpaceDE/>
        <w:autoSpaceDN/>
        <w:bidi w:val="0"/>
        <w:spacing w:beforeLines="0" w:afterLines="0" w:line="560" w:lineRule="exact"/>
        <w:ind w:left="0" w:firstLine="640" w:firstLineChars="200"/>
        <w:jc w:val="both"/>
        <w:textAlignment w:val="auto"/>
        <w:outlineLvl w:val="9"/>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（3）</w:t>
      </w:r>
      <w:r>
        <w:rPr>
          <w:rFonts w:hint="eastAsia" w:ascii="仿宋_GB2312" w:hAnsi="等线" w:eastAsia="仿宋_GB2312" w:cs="Times New Roman"/>
          <w:color w:val="auto"/>
          <w:sz w:val="32"/>
          <w:szCs w:val="32"/>
        </w:rPr>
        <w:t>以学习宣传贯彻党的二十大精神为主线，真抓实干、守正创新</w:t>
      </w:r>
    </w:p>
    <w:p w14:paraId="34E4660E">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eastAsia" w:ascii="仿宋_GB2312" w:hAnsi="等线" w:eastAsia="仿宋_GB2312" w:cs="Times New Roman"/>
          <w:color w:val="auto"/>
          <w:sz w:val="32"/>
          <w:szCs w:val="32"/>
        </w:rPr>
      </w:pPr>
      <w:r>
        <w:rPr>
          <w:rFonts w:hint="eastAsia" w:ascii="仿宋_GB2312" w:hAnsi="等线" w:eastAsia="仿宋_GB2312" w:cs="Times New Roman"/>
          <w:color w:val="auto"/>
          <w:sz w:val="32"/>
          <w:szCs w:val="32"/>
        </w:rPr>
        <w:t>学习宣传贯彻党的二十大精神</w:t>
      </w:r>
      <w:r>
        <w:rPr>
          <w:rFonts w:hint="eastAsia" w:ascii="仿宋_GB2312" w:hAnsi="等线" w:eastAsia="仿宋_GB2312" w:cs="Times New Roman"/>
          <w:color w:val="auto"/>
          <w:sz w:val="32"/>
          <w:szCs w:val="32"/>
          <w:lang w:val="en-US" w:eastAsia="zh-CN"/>
        </w:rPr>
        <w:t>作为重中之重</w:t>
      </w:r>
      <w:r>
        <w:rPr>
          <w:rFonts w:hint="eastAsia" w:ascii="仿宋_GB2312" w:hAnsi="等线" w:eastAsia="仿宋_GB2312" w:cs="Times New Roman"/>
          <w:color w:val="auto"/>
          <w:sz w:val="32"/>
          <w:szCs w:val="32"/>
        </w:rPr>
        <w:t>，持续深化政治理论学习，引领老同志始终在政治上、思想上、行动上自觉捍卫“两个确立”、做到“两个维护”。创新基层党组织设置方式和活动方式，主动融入大党建工作格局，提升基层离退休干部党组织的组织力和覆盖力</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rPr>
        <w:t>积极应对人口老龄化形势，认真落实好老干部各项政治生活待遇，</w:t>
      </w:r>
      <w:r>
        <w:rPr>
          <w:rFonts w:hint="eastAsia" w:ascii="仿宋_GB2312" w:hAnsi="等线" w:eastAsia="仿宋_GB2312" w:cs="Times New Roman"/>
          <w:color w:val="auto"/>
          <w:sz w:val="32"/>
          <w:szCs w:val="32"/>
          <w:lang w:val="en-US" w:eastAsia="zh-CN"/>
        </w:rPr>
        <w:t>狠抓“一人一策”，探索在条件成熟的县（市、区），市直单位打造典型试点，继而全面推广。</w:t>
      </w:r>
      <w:r>
        <w:rPr>
          <w:rFonts w:hint="eastAsia" w:ascii="仿宋_GB2312" w:hAnsi="等线" w:eastAsia="仿宋_GB2312" w:cs="Times New Roman"/>
          <w:color w:val="auto"/>
          <w:sz w:val="32"/>
          <w:szCs w:val="32"/>
        </w:rPr>
        <w:t>以信息化为抓手，落实“一化带两化促三性”目标。</w:t>
      </w:r>
    </w:p>
    <w:p w14:paraId="171CAD1D">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hAnsi="等线" w:eastAsia="仿宋_GB2312" w:cs="Times New Roman"/>
          <w:color w:val="auto"/>
          <w:sz w:val="32"/>
          <w:szCs w:val="32"/>
          <w:lang w:val="en-US" w:eastAsia="zh-CN"/>
        </w:rPr>
        <w:t>推广老干部休养所日间料理服务站创建经验，进一步深化休养所转型发展；</w:t>
      </w:r>
      <w:r>
        <w:rPr>
          <w:rFonts w:hint="eastAsia" w:ascii="仿宋_GB2312" w:hAnsi="等线" w:eastAsia="仿宋_GB2312" w:cs="Times New Roman"/>
          <w:color w:val="auto"/>
          <w:sz w:val="32"/>
          <w:szCs w:val="32"/>
        </w:rPr>
        <w:t>把为党和人民的事业增添正能量作为老干部工作的价值取向，</w:t>
      </w:r>
      <w:r>
        <w:rPr>
          <w:rFonts w:hint="eastAsia" w:ascii="仿宋_GB2312" w:hAnsi="等线" w:eastAsia="仿宋_GB2312" w:cs="Times New Roman"/>
          <w:color w:val="auto"/>
          <w:sz w:val="32"/>
          <w:szCs w:val="32"/>
          <w:lang w:val="en-US" w:eastAsia="zh-CN"/>
        </w:rPr>
        <w:t>继续开展</w:t>
      </w:r>
      <w:r>
        <w:rPr>
          <w:rFonts w:hint="eastAsia" w:ascii="仿宋_GB2312" w:hAnsi="仿宋_GB2312" w:eastAsia="仿宋_GB2312" w:cs="仿宋_GB2312"/>
          <w:b w:val="0"/>
          <w:bCs w:val="0"/>
          <w:color w:val="auto"/>
          <w:sz w:val="32"/>
          <w:szCs w:val="32"/>
          <w:lang w:eastAsia="zh-CN"/>
        </w:rPr>
        <w:t>《冀忆·永恒》</w:t>
      </w:r>
      <w:r>
        <w:rPr>
          <w:rFonts w:hint="eastAsia" w:ascii="仿宋_GB2312" w:hAnsi="仿宋_GB2312" w:eastAsia="仿宋_GB2312" w:cs="仿宋_GB2312"/>
          <w:b w:val="0"/>
          <w:bCs w:val="0"/>
          <w:color w:val="auto"/>
          <w:sz w:val="32"/>
          <w:szCs w:val="32"/>
          <w:lang w:val="en-US" w:eastAsia="zh-CN"/>
        </w:rPr>
        <w:t>第二部制作，多角度挖掘老干部作为党和国家宝贵财富背后的奋进故事。</w:t>
      </w:r>
      <w:r>
        <w:rPr>
          <w:rFonts w:hint="eastAsia" w:ascii="仿宋_GB2312" w:hAnsi="等线" w:eastAsia="仿宋_GB2312" w:cs="Times New Roman"/>
          <w:color w:val="auto"/>
          <w:sz w:val="32"/>
          <w:szCs w:val="32"/>
        </w:rPr>
        <w:t>不断完善学习活动阵地建设、关工委组织建设、“银发人才库”建设，充分发挥老干部政治优势、经验优势和威望优势，引导广大老干部为建设现代化、国际化美丽省会城市贡献“银发力量”</w:t>
      </w:r>
      <w:r>
        <w:rPr>
          <w:rFonts w:hint="eastAsia" w:ascii="仿宋_GB2312" w:hAnsi="等线" w:eastAsia="仿宋_GB2312" w:cs="Times New Roman"/>
          <w:color w:val="auto"/>
          <w:sz w:val="32"/>
          <w:szCs w:val="32"/>
          <w:lang w:eastAsia="zh-CN"/>
        </w:rPr>
        <w:t>。</w:t>
      </w:r>
      <w:bookmarkStart w:id="29" w:name="_Toc42610961"/>
      <w:bookmarkStart w:id="30" w:name="_Hlk41493160"/>
    </w:p>
    <w:bookmarkEnd w:id="29"/>
    <w:bookmarkEnd w:id="30"/>
    <w:p w14:paraId="5B9BACF1">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outlineLvl w:val="0"/>
        <w:rPr>
          <w:rFonts w:ascii="黑体" w:hAnsi="黑体" w:eastAsia="黑体"/>
          <w:sz w:val="32"/>
          <w:szCs w:val="32"/>
        </w:rPr>
      </w:pPr>
      <w:bookmarkStart w:id="31" w:name="_Toc14412"/>
      <w:bookmarkStart w:id="32" w:name="_Toc70582276"/>
      <w:r>
        <w:rPr>
          <w:rFonts w:hint="eastAsia" w:ascii="黑体" w:hAnsi="黑体" w:eastAsia="黑体"/>
          <w:sz w:val="32"/>
          <w:szCs w:val="32"/>
        </w:rPr>
        <w:t>四、评价结论和评价等级</w:t>
      </w:r>
      <w:bookmarkEnd w:id="31"/>
    </w:p>
    <w:p w14:paraId="6265B9D3">
      <w:pPr>
        <w:keepNext w:val="0"/>
        <w:keepLines w:val="0"/>
        <w:pageBreakBefore w:val="0"/>
        <w:widowControl w:val="0"/>
        <w:kinsoku/>
        <w:wordWrap/>
        <w:overflowPunct/>
        <w:topLinePunct w:val="0"/>
        <w:autoSpaceDE/>
        <w:autoSpaceDN/>
        <w:bidi w:val="0"/>
        <w:adjustRightInd/>
        <w:spacing w:line="560" w:lineRule="exact"/>
        <w:ind w:left="0" w:leftChars="0" w:right="0" w:firstLine="640" w:firstLineChars="200"/>
        <w:textAlignment w:val="auto"/>
        <w:outlineLvl w:val="9"/>
        <w:rPr>
          <w:rFonts w:hint="eastAsia" w:ascii="仿宋" w:hAnsi="仿宋" w:eastAsia="仿宋"/>
          <w:sz w:val="32"/>
          <w:szCs w:val="32"/>
          <w:highlight w:val="none"/>
        </w:rPr>
      </w:pPr>
      <w:r>
        <w:rPr>
          <w:rFonts w:hint="eastAsia" w:ascii="仿宋" w:hAnsi="仿宋" w:eastAsia="仿宋"/>
          <w:sz w:val="32"/>
          <w:szCs w:val="32"/>
          <w:highlight w:val="none"/>
        </w:rPr>
        <w:t>根据</w:t>
      </w:r>
      <w:r>
        <w:rPr>
          <w:rFonts w:hint="eastAsia" w:ascii="仿宋" w:hAnsi="仿宋" w:eastAsia="仿宋"/>
          <w:sz w:val="32"/>
          <w:szCs w:val="32"/>
          <w:highlight w:val="none"/>
          <w:lang w:eastAsia="zh-CN"/>
        </w:rPr>
        <w:t>部门职责定位和各项工作履职情况进行综合评价</w:t>
      </w:r>
      <w:r>
        <w:rPr>
          <w:rFonts w:hint="eastAsia" w:ascii="仿宋" w:hAnsi="仿宋" w:eastAsia="仿宋"/>
          <w:sz w:val="32"/>
          <w:szCs w:val="32"/>
          <w:highlight w:val="none"/>
        </w:rPr>
        <w:t>，给出总得分，满分100分，得出综合绩效评价等级。</w:t>
      </w:r>
      <w:r>
        <w:rPr>
          <w:rFonts w:hint="eastAsia" w:ascii="仿宋" w:hAnsi="仿宋" w:eastAsia="仿宋"/>
          <w:sz w:val="32"/>
          <w:szCs w:val="32"/>
          <w:highlight w:val="none"/>
          <w:lang w:eastAsia="zh-CN"/>
        </w:rPr>
        <w:t>部门整体支出</w:t>
      </w:r>
      <w:r>
        <w:rPr>
          <w:rFonts w:hint="eastAsia" w:ascii="仿宋" w:hAnsi="仿宋" w:eastAsia="仿宋"/>
          <w:sz w:val="32"/>
          <w:szCs w:val="32"/>
          <w:highlight w:val="none"/>
        </w:rPr>
        <w:t>综合绩效评价分为4个等级：得分</w:t>
      </w:r>
      <w:r>
        <w:rPr>
          <w:rFonts w:ascii="仿宋" w:hAnsi="仿宋" w:eastAsia="仿宋" w:cs="Arial"/>
          <w:sz w:val="32"/>
          <w:szCs w:val="32"/>
          <w:highlight w:val="none"/>
        </w:rPr>
        <w:t>≥</w:t>
      </w:r>
      <w:r>
        <w:rPr>
          <w:rFonts w:hint="eastAsia" w:ascii="仿宋" w:hAnsi="仿宋" w:eastAsia="仿宋"/>
          <w:sz w:val="32"/>
          <w:szCs w:val="32"/>
          <w:highlight w:val="none"/>
        </w:rPr>
        <w:t>85分为优秀；75</w:t>
      </w:r>
      <w:r>
        <w:rPr>
          <w:rFonts w:ascii="仿宋" w:hAnsi="仿宋" w:eastAsia="仿宋" w:cs="Arial"/>
          <w:sz w:val="32"/>
          <w:szCs w:val="32"/>
          <w:highlight w:val="none"/>
        </w:rPr>
        <w:t>≤</w:t>
      </w:r>
      <w:r>
        <w:rPr>
          <w:rFonts w:hint="eastAsia" w:ascii="仿宋" w:hAnsi="仿宋" w:eastAsia="仿宋"/>
          <w:sz w:val="32"/>
          <w:szCs w:val="32"/>
          <w:highlight w:val="none"/>
        </w:rPr>
        <w:t>得分＜85分为良好；60</w:t>
      </w:r>
      <w:r>
        <w:rPr>
          <w:rFonts w:ascii="仿宋" w:hAnsi="仿宋" w:eastAsia="仿宋" w:cs="Arial"/>
          <w:sz w:val="32"/>
          <w:szCs w:val="32"/>
          <w:highlight w:val="none"/>
        </w:rPr>
        <w:t>≤</w:t>
      </w:r>
      <w:r>
        <w:rPr>
          <w:rFonts w:hint="eastAsia" w:ascii="仿宋" w:hAnsi="仿宋" w:eastAsia="仿宋"/>
          <w:sz w:val="32"/>
          <w:szCs w:val="32"/>
          <w:highlight w:val="none"/>
        </w:rPr>
        <w:t>得分＜75分为一般；得分＜60分为较差。</w:t>
      </w:r>
    </w:p>
    <w:p w14:paraId="7D0BD605">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sz w:val="32"/>
          <w:szCs w:val="32"/>
          <w:highlight w:val="none"/>
          <w:lang w:val="en-US" w:eastAsia="zh-CN"/>
        </w:rPr>
        <w:t>经过整体评价，</w:t>
      </w:r>
      <w:r>
        <w:rPr>
          <w:rFonts w:hint="eastAsia" w:ascii="仿宋_GB2312" w:hAnsi="仿宋_GB2312" w:eastAsia="仿宋_GB2312" w:cs="仿宋_GB2312"/>
          <w:sz w:val="32"/>
          <w:szCs w:val="32"/>
          <w:lang w:val="en-US" w:eastAsia="zh-CN"/>
        </w:rPr>
        <w:t>我部门</w:t>
      </w:r>
      <w:r>
        <w:rPr>
          <w:rFonts w:hint="eastAsia" w:ascii="仿宋_GB2312" w:hAnsi="仿宋_GB2312" w:eastAsia="仿宋_GB2312" w:cs="仿宋_GB2312"/>
          <w:sz w:val="32"/>
          <w:szCs w:val="32"/>
        </w:rPr>
        <w:t>根据20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年工作计划，</w:t>
      </w:r>
      <w:r>
        <w:rPr>
          <w:rFonts w:hint="eastAsia" w:ascii="仿宋_GB2312" w:hAnsi="黑体" w:eastAsia="仿宋_GB2312" w:cs="仿宋_GB2312"/>
          <w:color w:val="auto"/>
          <w:sz w:val="32"/>
          <w:szCs w:val="32"/>
          <w:lang w:eastAsia="zh-CN"/>
        </w:rPr>
        <w:t>深入学习贯彻落实习近平总书记关于老干部工作重要指示精神，贯彻落实全国</w:t>
      </w:r>
      <w:r>
        <w:rPr>
          <w:rFonts w:hint="eastAsia" w:ascii="仿宋_GB2312" w:hAnsi="黑体" w:eastAsia="仿宋_GB2312" w:cs="仿宋_GB2312"/>
          <w:color w:val="auto"/>
          <w:sz w:val="32"/>
          <w:szCs w:val="32"/>
          <w:lang w:val="en-US" w:eastAsia="zh-CN"/>
        </w:rPr>
        <w:t>离退休干部“双先”表彰大会及全国、全</w:t>
      </w:r>
      <w:r>
        <w:rPr>
          <w:rFonts w:hint="eastAsia" w:ascii="仿宋_GB2312" w:hAnsi="黑体" w:eastAsia="仿宋_GB2312" w:cs="仿宋_GB2312"/>
          <w:color w:val="auto"/>
          <w:sz w:val="32"/>
          <w:szCs w:val="32"/>
          <w:lang w:eastAsia="zh-CN"/>
        </w:rPr>
        <w:t>省老干部局长会议精神，在省局的正确指导和市委的坚强领导下，以迎接党的二十大胜利召开和学习宣传贯彻党的二十大精神为主线，统筹疫情防控，全力抓好离退休干部党的建设、发挥作用、服务管理、队伍建设等重点工作</w:t>
      </w:r>
      <w:r>
        <w:rPr>
          <w:rFonts w:hint="eastAsia" w:ascii="仿宋_GB2312" w:hAnsi="仿宋_GB2312" w:eastAsia="仿宋_GB2312" w:cs="仿宋_GB2312"/>
          <w:sz w:val="32"/>
          <w:szCs w:val="32"/>
          <w:lang w:eastAsia="zh-CN"/>
        </w:rPr>
        <w:t>。</w:t>
      </w:r>
    </w:p>
    <w:p w14:paraId="0BA7B75B">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黑体"/>
          <w:b w:val="0"/>
          <w:bCs w:val="0"/>
          <w:kern w:val="2"/>
          <w:sz w:val="32"/>
          <w:szCs w:val="32"/>
          <w:highlight w:val="none"/>
          <w:lang w:val="en-US" w:eastAsia="zh-CN" w:bidi="ar-SA"/>
        </w:rPr>
      </w:pPr>
      <w:r>
        <w:rPr>
          <w:rFonts w:hint="eastAsia" w:ascii="仿宋" w:hAnsi="仿宋" w:eastAsia="仿宋" w:cs="黑体"/>
          <w:b w:val="0"/>
          <w:bCs w:val="0"/>
          <w:kern w:val="2"/>
          <w:sz w:val="32"/>
          <w:szCs w:val="32"/>
          <w:highlight w:val="none"/>
          <w:lang w:val="en-US" w:eastAsia="zh-CN" w:bidi="ar-SA"/>
        </w:rPr>
        <w:t>我部门2022年度部门整体绩效自评得分95.43分，评价等级为“优”。</w:t>
      </w:r>
    </w:p>
    <w:p w14:paraId="3F4CE6A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lang w:val="en-US" w:eastAsia="zh-CN"/>
        </w:rPr>
      </w:pPr>
      <w:bookmarkStart w:id="33" w:name="_Toc9976"/>
      <w:r>
        <w:rPr>
          <w:rFonts w:hint="eastAsia" w:ascii="黑体" w:hAnsi="黑体" w:eastAsia="黑体" w:cs="黑体"/>
          <w:sz w:val="32"/>
          <w:szCs w:val="32"/>
          <w:lang w:val="en-US" w:eastAsia="zh-CN"/>
        </w:rPr>
        <w:t>五、存在的问题及改进措施</w:t>
      </w:r>
      <w:bookmarkEnd w:id="33"/>
    </w:p>
    <w:p w14:paraId="09EDC476">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1"/>
        <w:rPr>
          <w:rFonts w:hint="default" w:ascii="仿宋" w:hAnsi="仿宋" w:eastAsia="仿宋"/>
          <w:b/>
          <w:bCs/>
          <w:sz w:val="32"/>
          <w:szCs w:val="32"/>
          <w:lang w:val="en-US" w:eastAsia="zh-CN"/>
        </w:rPr>
      </w:pPr>
      <w:bookmarkStart w:id="34" w:name="_Toc20827"/>
      <w:r>
        <w:rPr>
          <w:rFonts w:hint="eastAsia" w:ascii="仿宋" w:hAnsi="仿宋" w:eastAsia="仿宋"/>
          <w:b/>
          <w:bCs/>
          <w:sz w:val="32"/>
          <w:szCs w:val="32"/>
        </w:rPr>
        <w:t>（</w:t>
      </w:r>
      <w:r>
        <w:rPr>
          <w:rFonts w:hint="eastAsia" w:ascii="仿宋" w:hAnsi="仿宋" w:eastAsia="仿宋"/>
          <w:b/>
          <w:bCs/>
          <w:sz w:val="32"/>
          <w:szCs w:val="32"/>
          <w:lang w:val="en-US" w:eastAsia="zh-CN"/>
        </w:rPr>
        <w:t>一</w:t>
      </w:r>
      <w:r>
        <w:rPr>
          <w:rFonts w:hint="eastAsia" w:ascii="仿宋" w:hAnsi="仿宋" w:eastAsia="仿宋"/>
          <w:b/>
          <w:bCs/>
          <w:sz w:val="32"/>
          <w:szCs w:val="32"/>
        </w:rPr>
        <w:t>）</w:t>
      </w:r>
      <w:r>
        <w:rPr>
          <w:rFonts w:hint="eastAsia" w:ascii="仿宋" w:hAnsi="仿宋" w:eastAsia="仿宋"/>
          <w:b/>
          <w:bCs/>
          <w:sz w:val="32"/>
          <w:szCs w:val="32"/>
          <w:lang w:val="en-US" w:eastAsia="zh-CN"/>
        </w:rPr>
        <w:t>存在的问题</w:t>
      </w:r>
      <w:bookmarkEnd w:id="34"/>
    </w:p>
    <w:p w14:paraId="37DC885B">
      <w:pPr>
        <w:pStyle w:val="4"/>
        <w:keepNext w:val="0"/>
        <w:keepLines w:val="0"/>
        <w:pageBreakBefore w:val="0"/>
        <w:widowControl w:val="0"/>
        <w:kinsoku/>
        <w:wordWrap/>
        <w:overflowPunct/>
        <w:topLinePunct w:val="0"/>
        <w:autoSpaceDE/>
        <w:autoSpaceDN/>
        <w:bidi w:val="0"/>
        <w:spacing w:line="560" w:lineRule="exact"/>
        <w:ind w:left="0" w:firstLine="643"/>
        <w:textAlignment w:val="auto"/>
        <w:outlineLvl w:val="2"/>
        <w:rPr>
          <w:rFonts w:ascii="仿宋" w:hAnsi="仿宋" w:eastAsia="仿宋" w:cs="Times New Roman"/>
          <w:sz w:val="32"/>
          <w:szCs w:val="32"/>
        </w:rPr>
      </w:pPr>
      <w:r>
        <w:rPr>
          <w:rFonts w:hint="eastAsia" w:ascii="仿宋" w:hAnsi="仿宋" w:eastAsia="仿宋" w:cs="Times New Roman"/>
          <w:b/>
          <w:bCs/>
          <w:sz w:val="32"/>
          <w:szCs w:val="32"/>
        </w:rPr>
        <w:t>1.个别项目目标和指标设置简化</w:t>
      </w:r>
      <w:bookmarkEnd w:id="32"/>
    </w:p>
    <w:p w14:paraId="3181287C">
      <w:pPr>
        <w:pStyle w:val="4"/>
        <w:keepNext w:val="0"/>
        <w:keepLines w:val="0"/>
        <w:pageBreakBefore w:val="0"/>
        <w:widowControl w:val="0"/>
        <w:kinsoku/>
        <w:wordWrap/>
        <w:overflowPunct/>
        <w:topLinePunct w:val="0"/>
        <w:autoSpaceDE/>
        <w:autoSpaceDN/>
        <w:bidi w:val="0"/>
        <w:spacing w:line="560" w:lineRule="exact"/>
        <w:ind w:left="0" w:firstLine="640"/>
        <w:textAlignment w:val="auto"/>
        <w:rPr>
          <w:rFonts w:ascii="仿宋" w:hAnsi="仿宋" w:eastAsia="仿宋" w:cs="Times New Roman"/>
          <w:bCs/>
          <w:sz w:val="32"/>
          <w:szCs w:val="32"/>
        </w:rPr>
      </w:pPr>
      <w:r>
        <w:rPr>
          <w:rFonts w:hint="eastAsia" w:ascii="仿宋" w:hAnsi="仿宋" w:eastAsia="仿宋" w:cs="Times New Roman"/>
          <w:bCs/>
          <w:sz w:val="32"/>
          <w:szCs w:val="32"/>
          <w:lang w:val="en-US" w:eastAsia="zh-CN"/>
        </w:rPr>
        <w:t>个别</w:t>
      </w:r>
      <w:r>
        <w:rPr>
          <w:rFonts w:hint="eastAsia" w:ascii="仿宋" w:hAnsi="仿宋" w:eastAsia="仿宋" w:cs="Times New Roman"/>
          <w:bCs/>
          <w:sz w:val="32"/>
          <w:szCs w:val="32"/>
        </w:rPr>
        <w:t>绩效目标不够完善，不能完整清晰体现工作活动的产出和效果，依据绩效目标所设置的绩效指标不够细化，不能完整清晰的反映活动目标完成情况。</w:t>
      </w:r>
    </w:p>
    <w:p w14:paraId="07F5FCE2">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1"/>
        <w:rPr>
          <w:rFonts w:ascii="仿宋" w:hAnsi="仿宋" w:eastAsia="仿宋"/>
          <w:b/>
          <w:bCs/>
          <w:sz w:val="32"/>
          <w:szCs w:val="32"/>
        </w:rPr>
      </w:pPr>
      <w:bookmarkStart w:id="35" w:name="_Toc15854"/>
      <w:r>
        <w:rPr>
          <w:rFonts w:hint="eastAsia" w:ascii="仿宋" w:hAnsi="仿宋" w:eastAsia="仿宋"/>
          <w:b/>
          <w:bCs/>
          <w:sz w:val="32"/>
          <w:szCs w:val="32"/>
        </w:rPr>
        <w:t>（二）针对问题提出具体的改进措施或建议</w:t>
      </w:r>
      <w:bookmarkEnd w:id="35"/>
    </w:p>
    <w:p w14:paraId="5F6CAF55">
      <w:pPr>
        <w:pStyle w:val="4"/>
        <w:keepNext w:val="0"/>
        <w:keepLines w:val="0"/>
        <w:pageBreakBefore w:val="0"/>
        <w:widowControl w:val="0"/>
        <w:kinsoku/>
        <w:wordWrap/>
        <w:overflowPunct/>
        <w:topLinePunct w:val="0"/>
        <w:autoSpaceDE/>
        <w:autoSpaceDN/>
        <w:bidi w:val="0"/>
        <w:spacing w:line="560" w:lineRule="exact"/>
        <w:ind w:left="0" w:firstLine="643"/>
        <w:textAlignment w:val="auto"/>
        <w:outlineLvl w:val="2"/>
        <w:rPr>
          <w:rFonts w:ascii="仿宋" w:hAnsi="仿宋" w:eastAsia="仿宋" w:cs="Times New Roman"/>
          <w:b/>
          <w:bCs/>
          <w:sz w:val="32"/>
          <w:szCs w:val="32"/>
        </w:rPr>
      </w:pPr>
      <w:bookmarkStart w:id="36" w:name="_Toc70582283"/>
      <w:r>
        <w:rPr>
          <w:rFonts w:hint="eastAsia" w:ascii="仿宋" w:hAnsi="仿宋" w:eastAsia="仿宋" w:cs="Times New Roman"/>
          <w:b/>
          <w:bCs/>
          <w:sz w:val="32"/>
          <w:szCs w:val="32"/>
        </w:rPr>
        <w:t>1.科学设定绩效目标和指标</w:t>
      </w:r>
      <w:bookmarkEnd w:id="36"/>
    </w:p>
    <w:p w14:paraId="46AF7EAF">
      <w:pPr>
        <w:pStyle w:val="4"/>
        <w:keepNext w:val="0"/>
        <w:keepLines w:val="0"/>
        <w:pageBreakBefore w:val="0"/>
        <w:widowControl w:val="0"/>
        <w:kinsoku/>
        <w:wordWrap/>
        <w:overflowPunct/>
        <w:topLinePunct w:val="0"/>
        <w:autoSpaceDE/>
        <w:autoSpaceDN/>
        <w:bidi w:val="0"/>
        <w:spacing w:line="560" w:lineRule="exact"/>
        <w:ind w:left="0" w:firstLine="640"/>
        <w:textAlignment w:val="auto"/>
        <w:rPr>
          <w:rFonts w:ascii="仿宋" w:hAnsi="仿宋" w:eastAsia="仿宋" w:cs="Times New Roman"/>
          <w:bCs/>
          <w:sz w:val="32"/>
          <w:szCs w:val="32"/>
        </w:rPr>
      </w:pPr>
      <w:r>
        <w:rPr>
          <w:rFonts w:hint="eastAsia" w:ascii="仿宋" w:hAnsi="仿宋" w:eastAsia="仿宋" w:cs="Times New Roman"/>
          <w:bCs/>
          <w:sz w:val="32"/>
          <w:szCs w:val="32"/>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14:paraId="6C0626F9">
      <w:pPr>
        <w:pStyle w:val="4"/>
        <w:keepNext w:val="0"/>
        <w:keepLines w:val="0"/>
        <w:pageBreakBefore w:val="0"/>
        <w:widowControl w:val="0"/>
        <w:kinsoku/>
        <w:wordWrap/>
        <w:overflowPunct/>
        <w:topLinePunct w:val="0"/>
        <w:autoSpaceDE/>
        <w:autoSpaceDN/>
        <w:bidi w:val="0"/>
        <w:spacing w:line="560" w:lineRule="exact"/>
        <w:ind w:left="0" w:firstLine="643"/>
        <w:textAlignment w:val="auto"/>
        <w:outlineLvl w:val="2"/>
        <w:rPr>
          <w:rFonts w:ascii="仿宋" w:hAnsi="仿宋" w:eastAsia="仿宋" w:cs="Times New Roman"/>
          <w:b/>
          <w:bCs/>
          <w:sz w:val="32"/>
          <w:szCs w:val="32"/>
        </w:rPr>
      </w:pPr>
      <w:bookmarkStart w:id="37" w:name="_Toc70582288"/>
      <w:r>
        <w:rPr>
          <w:rFonts w:hint="eastAsia" w:ascii="仿宋" w:hAnsi="仿宋" w:eastAsia="仿宋" w:cs="Times New Roman"/>
          <w:b/>
          <w:bCs/>
          <w:sz w:val="32"/>
          <w:szCs w:val="32"/>
          <w:lang w:val="en-US" w:eastAsia="zh-CN"/>
        </w:rPr>
        <w:t>2</w:t>
      </w:r>
      <w:r>
        <w:rPr>
          <w:rFonts w:hint="eastAsia" w:ascii="仿宋" w:hAnsi="仿宋" w:eastAsia="仿宋" w:cs="Times New Roman"/>
          <w:b/>
          <w:bCs/>
          <w:sz w:val="32"/>
          <w:szCs w:val="32"/>
        </w:rPr>
        <w:t>.提高部门绩效管理意识</w:t>
      </w:r>
      <w:bookmarkEnd w:id="37"/>
    </w:p>
    <w:p w14:paraId="11E5EA7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bookmarkStart w:id="38" w:name="_Toc3280"/>
      <w:bookmarkStart w:id="39" w:name="_Toc1926"/>
      <w:bookmarkStart w:id="40" w:name="_Toc17737"/>
      <w:r>
        <w:rPr>
          <w:rFonts w:hint="eastAsia" w:ascii="仿宋" w:hAnsi="仿宋" w:eastAsia="仿宋" w:cs="Times New Roman"/>
          <w:sz w:val="32"/>
          <w:szCs w:val="32"/>
          <w:lang w:val="en-US" w:eastAsia="zh-CN"/>
        </w:rPr>
        <w:t>部门</w:t>
      </w:r>
      <w:r>
        <w:rPr>
          <w:rFonts w:hint="eastAsia" w:ascii="仿宋" w:hAnsi="仿宋" w:eastAsia="仿宋" w:cs="Times New Roman"/>
          <w:sz w:val="32"/>
          <w:szCs w:val="32"/>
        </w:rPr>
        <w:t>在今后的工作中，应加强对预算绩效管理工作的重视，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bookmarkEnd w:id="38"/>
      <w:bookmarkEnd w:id="39"/>
      <w:bookmarkEnd w:id="40"/>
    </w:p>
    <w:p w14:paraId="102EF4F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rPr>
      </w:pPr>
      <w:bookmarkStart w:id="41" w:name="_Toc2100"/>
      <w:r>
        <w:rPr>
          <w:rFonts w:hint="eastAsia" w:ascii="黑体" w:hAnsi="黑体" w:eastAsia="黑体" w:cs="黑体"/>
          <w:sz w:val="32"/>
          <w:szCs w:val="32"/>
          <w:lang w:val="en-US" w:eastAsia="zh-CN"/>
        </w:rPr>
        <w:t>六</w:t>
      </w:r>
      <w:r>
        <w:rPr>
          <w:rFonts w:hint="eastAsia" w:ascii="黑体" w:hAnsi="黑体" w:eastAsia="黑体" w:cs="黑体"/>
          <w:sz w:val="32"/>
          <w:szCs w:val="32"/>
        </w:rPr>
        <w:t>、</w:t>
      </w:r>
      <w:r>
        <w:rPr>
          <w:rFonts w:hint="eastAsia" w:ascii="黑体" w:hAnsi="黑体" w:eastAsia="黑体" w:cs="黑体"/>
          <w:sz w:val="32"/>
          <w:szCs w:val="32"/>
          <w:highlight w:val="none"/>
        </w:rPr>
        <w:t>评价工作组人员名单</w:t>
      </w:r>
      <w:r>
        <w:rPr>
          <w:rFonts w:hint="eastAsia" w:ascii="黑体" w:hAnsi="黑体" w:eastAsia="黑体" w:cs="黑体"/>
          <w:sz w:val="32"/>
          <w:szCs w:val="32"/>
        </w:rPr>
        <w:t>及签字</w:t>
      </w:r>
      <w:bookmarkEnd w:id="41"/>
    </w:p>
    <w:p w14:paraId="59CB99B8">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eastAsia"/>
          <w:lang w:eastAsia="zh-CN"/>
        </w:rPr>
      </w:pPr>
      <w:r>
        <w:rPr>
          <w:rFonts w:hint="eastAsia" w:ascii="仿宋_GB2312" w:hAnsi="仿宋_GB2312" w:eastAsia="仿宋_GB2312" w:cs="仿宋_GB2312"/>
          <w:sz w:val="32"/>
          <w:szCs w:val="32"/>
        </w:rPr>
        <w:t>组长：</w:t>
      </w:r>
      <w:r>
        <w:rPr>
          <w:rFonts w:hint="eastAsia" w:ascii="仿宋_GB2312" w:hAnsi="仿宋_GB2312" w:eastAsia="仿宋_GB2312" w:cs="仿宋_GB2312"/>
          <w:color w:val="auto"/>
          <w:kern w:val="0"/>
          <w:sz w:val="32"/>
          <w:szCs w:val="32"/>
          <w:highlight w:val="none"/>
          <w:lang w:val="en-US" w:eastAsia="zh-CN"/>
        </w:rPr>
        <w:t xml:space="preserve">张海双 </w:t>
      </w:r>
      <w:r>
        <w:rPr>
          <w:rFonts w:hint="eastAsia" w:ascii="仿宋_GB2312" w:hAnsi="仿宋_GB2312" w:eastAsia="仿宋_GB2312" w:cs="仿宋_GB2312"/>
          <w:sz w:val="32"/>
          <w:szCs w:val="32"/>
        </w:rPr>
        <w:t>副</w:t>
      </w:r>
      <w:r>
        <w:rPr>
          <w:rFonts w:hint="eastAsia" w:ascii="仿宋_GB2312" w:hAnsi="仿宋_GB2312" w:eastAsia="仿宋_GB2312" w:cs="仿宋_GB2312"/>
          <w:sz w:val="32"/>
          <w:szCs w:val="32"/>
          <w:lang w:eastAsia="zh-CN"/>
        </w:rPr>
        <w:t>局长</w:t>
      </w:r>
    </w:p>
    <w:p w14:paraId="26894BC8">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组员：</w:t>
      </w:r>
      <w:r>
        <w:rPr>
          <w:rFonts w:hint="eastAsia" w:ascii="仿宋_GB2312" w:hAnsi="仿宋_GB2312" w:eastAsia="仿宋_GB2312" w:cs="仿宋_GB2312"/>
          <w:sz w:val="32"/>
          <w:szCs w:val="32"/>
          <w:lang w:val="en-US" w:eastAsia="zh-CN"/>
        </w:rPr>
        <w:t>王震宁 财务科科长</w:t>
      </w:r>
    </w:p>
    <w:p w14:paraId="4EBDA183">
      <w:pPr>
        <w:keepNext w:val="0"/>
        <w:keepLines w:val="0"/>
        <w:pageBreakBefore w:val="0"/>
        <w:widowControl w:val="0"/>
        <w:kinsoku/>
        <w:wordWrap/>
        <w:overflowPunct/>
        <w:topLinePunct w:val="0"/>
        <w:autoSpaceDE/>
        <w:autoSpaceDN/>
        <w:bidi w:val="0"/>
        <w:spacing w:line="560" w:lineRule="exact"/>
        <w:ind w:left="0" w:firstLine="640"/>
        <w:jc w:val="left"/>
        <w:textAlignment w:val="auto"/>
        <w:rPr>
          <w:rFonts w:hint="default"/>
          <w:lang w:val="en-US" w:eastAsia="zh-CN"/>
        </w:rPr>
      </w:pPr>
      <w:r>
        <w:rPr>
          <w:rFonts w:hint="eastAsia" w:ascii="仿宋_GB2312" w:hAnsi="仿宋_GB2312" w:eastAsia="仿宋_GB2312" w:cs="仿宋_GB2312"/>
          <w:sz w:val="32"/>
          <w:szCs w:val="32"/>
        </w:rPr>
        <w:t>组员：</w:t>
      </w:r>
      <w:r>
        <w:rPr>
          <w:rFonts w:hint="eastAsia" w:ascii="仿宋_GB2312" w:hAnsi="仿宋_GB2312" w:eastAsia="仿宋_GB2312" w:cs="仿宋_GB2312"/>
          <w:sz w:val="32"/>
          <w:szCs w:val="32"/>
          <w:lang w:val="en-US" w:eastAsia="zh-CN"/>
        </w:rPr>
        <w:t>郭亚茹 三级主任科员</w:t>
      </w:r>
    </w:p>
    <w:p w14:paraId="10D1A99F">
      <w:pPr>
        <w:keepNext w:val="0"/>
        <w:keepLines w:val="0"/>
        <w:pageBreakBefore w:val="0"/>
        <w:widowControl w:val="0"/>
        <w:kinsoku/>
        <w:wordWrap/>
        <w:overflowPunct/>
        <w:topLinePunct w:val="0"/>
        <w:autoSpaceDE/>
        <w:autoSpaceDN/>
        <w:bidi w:val="0"/>
        <w:spacing w:line="560" w:lineRule="exact"/>
        <w:ind w:left="0"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组员：</w:t>
      </w:r>
      <w:r>
        <w:rPr>
          <w:rFonts w:hint="eastAsia" w:ascii="仿宋_GB2312" w:hAnsi="仿宋_GB2312" w:eastAsia="仿宋_GB2312" w:cs="仿宋_GB2312"/>
          <w:color w:val="auto"/>
          <w:kern w:val="0"/>
          <w:sz w:val="32"/>
          <w:szCs w:val="32"/>
          <w:lang w:val="en-US" w:eastAsia="zh-CN"/>
        </w:rPr>
        <w:t xml:space="preserve">位小玉 </w:t>
      </w:r>
      <w:r>
        <w:rPr>
          <w:rFonts w:hint="eastAsia" w:ascii="仿宋_GB2312" w:hAnsi="仿宋_GB2312" w:eastAsia="仿宋_GB2312" w:cs="仿宋_GB2312"/>
          <w:sz w:val="32"/>
          <w:szCs w:val="32"/>
          <w:lang w:val="en-US" w:eastAsia="zh-CN"/>
        </w:rPr>
        <w:t>副主任</w:t>
      </w:r>
    </w:p>
    <w:p w14:paraId="6235677E">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组员：田  娟 三级主任科员</w:t>
      </w:r>
    </w:p>
    <w:p w14:paraId="46F66A87">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组员：刘若惜 四级主任科员</w:t>
      </w:r>
    </w:p>
    <w:p w14:paraId="2CF686A3">
      <w:pPr>
        <w:pStyle w:val="2"/>
        <w:pageBreakBefore w:val="0"/>
        <w:widowControl w:val="0"/>
        <w:kinsoku/>
        <w:wordWrap/>
        <w:overflowPunct/>
        <w:topLinePunct w:val="0"/>
        <w:autoSpaceDE/>
        <w:autoSpaceDN/>
        <w:bidi w:val="0"/>
        <w:spacing w:before="0" w:after="0" w:line="560" w:lineRule="exact"/>
        <w:ind w:left="0"/>
        <w:textAlignment w:val="auto"/>
        <w:rPr>
          <w:rFonts w:hint="eastAsia" w:ascii="仿宋_GB2312" w:hAnsi="仿宋_GB2312" w:eastAsia="仿宋_GB2312" w:cs="仿宋_GB2312"/>
          <w:sz w:val="32"/>
          <w:szCs w:val="32"/>
          <w:lang w:val="en-US" w:eastAsia="zh-CN"/>
        </w:rPr>
      </w:pPr>
    </w:p>
    <w:p w14:paraId="56F15C62">
      <w:pPr>
        <w:pageBreakBefore w:val="0"/>
        <w:widowControl w:val="0"/>
        <w:kinsoku/>
        <w:wordWrap/>
        <w:overflowPunct/>
        <w:topLinePunct w:val="0"/>
        <w:autoSpaceDE/>
        <w:autoSpaceDN/>
        <w:bidi w:val="0"/>
        <w:spacing w:line="560" w:lineRule="exact"/>
        <w:ind w:left="0"/>
        <w:textAlignment w:val="auto"/>
        <w:rPr>
          <w:rFonts w:hint="eastAsia"/>
          <w:lang w:val="en-US" w:eastAsia="zh-CN"/>
        </w:rPr>
      </w:pPr>
    </w:p>
    <w:p w14:paraId="7EB01685">
      <w:pPr>
        <w:pageBreakBefore w:val="0"/>
        <w:widowControl w:val="0"/>
        <w:kinsoku/>
        <w:wordWrap/>
        <w:overflowPunct/>
        <w:topLinePunct w:val="0"/>
        <w:autoSpaceDE/>
        <w:autoSpaceDN/>
        <w:bidi w:val="0"/>
        <w:spacing w:line="560" w:lineRule="exact"/>
        <w:ind w:left="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中共石家庄市委老干部局</w:t>
      </w:r>
    </w:p>
    <w:p w14:paraId="429BEAB7">
      <w:pPr>
        <w:pStyle w:val="2"/>
        <w:pageBreakBefore w:val="0"/>
        <w:widowControl w:val="0"/>
        <w:kinsoku/>
        <w:wordWrap/>
        <w:overflowPunct/>
        <w:topLinePunct w:val="0"/>
        <w:autoSpaceDE/>
        <w:autoSpaceDN/>
        <w:bidi w:val="0"/>
        <w:spacing w:before="0" w:after="0" w:line="560" w:lineRule="exact"/>
        <w:ind w:left="0"/>
        <w:jc w:val="center"/>
        <w:textAlignment w:val="auto"/>
        <w:rPr>
          <w:rFonts w:hint="default"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 xml:space="preserve">                                           2023年4月13日</w:t>
      </w:r>
    </w:p>
    <w:sectPr>
      <w:footerReference r:id="rId5" w:type="default"/>
      <w:pgSz w:w="11906" w:h="16838"/>
      <w:pgMar w:top="1440" w:right="1474" w:bottom="1440" w:left="1587" w:header="851" w:footer="992" w:gutter="0"/>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方正小标宋简体">
    <w:altName w:val="黑体"/>
    <w:panose1 w:val="02000000000000000000"/>
    <w:charset w:val="86"/>
    <w:family w:val="auto"/>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CC607C">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7637E5">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9F0F6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14:paraId="569F0F6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192DC0">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BF1BF2"/>
    <w:multiLevelType w:val="singleLevel"/>
    <w:tmpl w:val="8DBF1BF2"/>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22BF65C"/>
    <w:multiLevelType w:val="singleLevel"/>
    <w:tmpl w:val="622BF65C"/>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U1MDlkYzFkZmE0ZDg1Y2Q4MGQ0MmUyODFhOTU5ZTYifQ=="/>
  </w:docVars>
  <w:rsids>
    <w:rsidRoot w:val="02B751D2"/>
    <w:rsid w:val="02B751D2"/>
    <w:rsid w:val="07A11279"/>
    <w:rsid w:val="07E860AB"/>
    <w:rsid w:val="0A9F23E7"/>
    <w:rsid w:val="0BAD28E2"/>
    <w:rsid w:val="0DF76096"/>
    <w:rsid w:val="0E8965E3"/>
    <w:rsid w:val="0EAB315E"/>
    <w:rsid w:val="122C70F7"/>
    <w:rsid w:val="171E462E"/>
    <w:rsid w:val="17A74689"/>
    <w:rsid w:val="18FC0A05"/>
    <w:rsid w:val="20E406FC"/>
    <w:rsid w:val="2346744C"/>
    <w:rsid w:val="239A6ADF"/>
    <w:rsid w:val="24B6538B"/>
    <w:rsid w:val="27F356C9"/>
    <w:rsid w:val="28DB745F"/>
    <w:rsid w:val="2A832351"/>
    <w:rsid w:val="2A894493"/>
    <w:rsid w:val="2B254A40"/>
    <w:rsid w:val="2BBE0234"/>
    <w:rsid w:val="2D1672DA"/>
    <w:rsid w:val="2DC21DC5"/>
    <w:rsid w:val="300761B5"/>
    <w:rsid w:val="318850D4"/>
    <w:rsid w:val="33B07D04"/>
    <w:rsid w:val="33D04F65"/>
    <w:rsid w:val="34585CCF"/>
    <w:rsid w:val="37E62B54"/>
    <w:rsid w:val="386258B8"/>
    <w:rsid w:val="3C8B7826"/>
    <w:rsid w:val="3CA31014"/>
    <w:rsid w:val="41524DB6"/>
    <w:rsid w:val="419A2271"/>
    <w:rsid w:val="45866D3D"/>
    <w:rsid w:val="4803505C"/>
    <w:rsid w:val="4C0F5D7E"/>
    <w:rsid w:val="4C4119E8"/>
    <w:rsid w:val="4D3A32CE"/>
    <w:rsid w:val="4E8F70C4"/>
    <w:rsid w:val="523C1897"/>
    <w:rsid w:val="57680B68"/>
    <w:rsid w:val="57D96A02"/>
    <w:rsid w:val="5B7C1B93"/>
    <w:rsid w:val="5D4D6CDC"/>
    <w:rsid w:val="5E5D5A48"/>
    <w:rsid w:val="5F5C5326"/>
    <w:rsid w:val="60194385"/>
    <w:rsid w:val="613A51F3"/>
    <w:rsid w:val="62E93354"/>
    <w:rsid w:val="672C7CD4"/>
    <w:rsid w:val="6D85566E"/>
    <w:rsid w:val="6E570C95"/>
    <w:rsid w:val="6F835C05"/>
    <w:rsid w:val="71B903B6"/>
    <w:rsid w:val="78E201F2"/>
    <w:rsid w:val="78E66C78"/>
    <w:rsid w:val="7D6A4031"/>
    <w:rsid w:val="7D7B250F"/>
    <w:rsid w:val="7E8D6E52"/>
    <w:rsid w:val="7F277C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3"/>
    <w:basedOn w:val="1"/>
    <w:next w:val="1"/>
    <w:unhideWhenUsed/>
    <w:qFormat/>
    <w:uiPriority w:val="0"/>
    <w:pPr>
      <w:keepNext/>
      <w:keepLines/>
      <w:spacing w:beforeLines="0" w:beforeAutospacing="0" w:afterLines="0" w:afterAutospacing="0" w:line="360" w:lineRule="auto"/>
      <w:ind w:firstLine="883" w:firstLineChars="200"/>
      <w:jc w:val="left"/>
      <w:outlineLvl w:val="2"/>
    </w:pPr>
    <w:rPr>
      <w:rFonts w:eastAsia="仿宋_GB2312"/>
      <w:sz w:val="32"/>
    </w:rPr>
  </w:style>
  <w:style w:type="paragraph" w:styleId="2">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4">
    <w:name w:val="Normal Indent"/>
    <w:basedOn w:val="1"/>
    <w:autoRedefine/>
    <w:unhideWhenUsed/>
    <w:qFormat/>
    <w:uiPriority w:val="99"/>
    <w:pPr>
      <w:ind w:firstLine="420" w:firstLineChars="200"/>
    </w:p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autoRedefine/>
    <w:qFormat/>
    <w:uiPriority w:val="0"/>
  </w:style>
  <w:style w:type="paragraph" w:styleId="8">
    <w:name w:val="toc 2"/>
    <w:basedOn w:val="1"/>
    <w:next w:val="1"/>
    <w:autoRedefine/>
    <w:qFormat/>
    <w:uiPriority w:val="0"/>
    <w:pPr>
      <w:ind w:left="420" w:leftChars="200"/>
    </w:pPr>
  </w:style>
  <w:style w:type="paragraph" w:customStyle="1" w:styleId="11">
    <w:name w:val="WPSOffice手动目录 1"/>
    <w:autoRedefine/>
    <w:qFormat/>
    <w:uiPriority w:val="0"/>
    <w:pPr>
      <w:ind w:leftChars="0"/>
    </w:pPr>
    <w:rPr>
      <w:rFonts w:ascii="Times New Roman" w:hAnsi="Times New Roman" w:eastAsia="宋体" w:cs="Times New Roman"/>
      <w:sz w:val="20"/>
      <w:szCs w:val="20"/>
    </w:rPr>
  </w:style>
  <w:style w:type="paragraph" w:customStyle="1" w:styleId="12">
    <w:name w:val="WPSOffice手动目录 2"/>
    <w:autoRedefine/>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1453</Words>
  <Characters>1557</Characters>
  <Lines>0</Lines>
  <Paragraphs>0</Paragraphs>
  <TotalTime>1</TotalTime>
  <ScaleCrop>false</ScaleCrop>
  <LinksUpToDate>false</LinksUpToDate>
  <CharactersWithSpaces>1611</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2022-03-11T05:06:00Z</dcterms:created>
  <dc:creator>你是我的神经病1417941470</dc:creator>
  <cp:lastModifiedBy>蓁蓁</cp:lastModifiedBy>
  <cp:lastPrinted>2022-03-28T02:02:00Z</cp:lastPrinted>
  <dcterms:modified xsi:type="dcterms:W3CDTF">2025-06-06T07:03:25Z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74DD13F8141F42E0BE8401C0E99A0A65_13</vt:lpwstr>
  </property>
  <property fmtid="{D5CDD505-2E9C-101B-9397-08002B2CF9AE}" pid="4" name="KSOTemplateDocerSaveRecord">
    <vt:lpwstr>eyJoZGlkIjoiMjI1YzNkZjBmYzA5MjU5Y2NhMDAzMGI5MzRiODdmOTYiLCJ1c2VySWQiOiIyMzU3NzQ3MjgifQ==</vt:lpwstr>
  </property>
</Properties>
</file>