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新乐市人民检察院</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val="en-US" w:eastAsia="zh-CN"/>
        </w:rPr>
        <w:t>新乐市人民检察院</w:t>
      </w:r>
      <w:r>
        <w:rPr>
          <w:rFonts w:hint="eastAsia" w:ascii="仿宋" w:hAnsi="仿宋" w:eastAsia="仿宋"/>
          <w:sz w:val="32"/>
          <w:szCs w:val="32"/>
        </w:rPr>
        <w:t>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snapToGrid w:val="0"/>
        <w:spacing w:line="520" w:lineRule="exact"/>
        <w:ind w:firstLine="960" w:firstLineChars="300"/>
        <w:jc w:val="both"/>
        <w:rPr>
          <w:rFonts w:hint="eastAsia" w:ascii="仿宋_GB2312" w:hAnsi="仿宋" w:eastAsia="仿宋_GB2312"/>
          <w:sz w:val="32"/>
          <w:szCs w:val="32"/>
        </w:rPr>
      </w:pPr>
      <w:r>
        <w:rPr>
          <w:rFonts w:hint="eastAsia" w:ascii="仿宋_GB2312" w:hAnsi="仿宋" w:eastAsia="仿宋_GB2312"/>
          <w:sz w:val="32"/>
          <w:szCs w:val="32"/>
          <w:lang w:val="en-US" w:eastAsia="zh-CN"/>
        </w:rPr>
        <w:t>1、</w:t>
      </w:r>
      <w:r>
        <w:rPr>
          <w:rFonts w:hint="eastAsia" w:ascii="仿宋_GB2312" w:hAnsi="仿宋" w:eastAsia="仿宋_GB2312"/>
          <w:sz w:val="32"/>
          <w:szCs w:val="32"/>
        </w:rPr>
        <w:t>主要职能。</w:t>
      </w:r>
    </w:p>
    <w:p>
      <w:pPr>
        <w:snapToGrid w:val="0"/>
        <w:spacing w:line="52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（1）深入贯彻习近平新时代中国特色社会主义思想，深入贯彻党的路线方针和决策部署，坚持党对检察工作的绝对领导，坚决维护习近平总书记的核心地位，坚决维护党中央权威和集中统一领导。</w:t>
      </w:r>
    </w:p>
    <w:p>
      <w:pPr>
        <w:numPr>
          <w:ilvl w:val="0"/>
          <w:numId w:val="0"/>
        </w:numPr>
        <w:ind w:firstLine="320" w:firstLineChars="100"/>
        <w:rPr>
          <w:rFonts w:hint="eastAsia" w:ascii="仿宋" w:hAnsi="仿宋" w:eastAsia="仿宋"/>
          <w:sz w:val="32"/>
          <w:szCs w:val="32"/>
          <w:lang w:val="en-US" w:eastAsia="zh-CN"/>
        </w:rPr>
      </w:pPr>
      <w:r>
        <w:rPr>
          <w:rFonts w:hint="eastAsia" w:ascii="仿宋" w:hAnsi="仿宋" w:eastAsia="仿宋"/>
          <w:sz w:val="32"/>
          <w:szCs w:val="32"/>
          <w:lang w:val="en-US" w:eastAsia="zh-CN"/>
        </w:rPr>
        <w:t>（2）依法向市人民代表大会及常务委员会提出议案。</w:t>
      </w:r>
    </w:p>
    <w:p>
      <w:pPr>
        <w:numPr>
          <w:ilvl w:val="0"/>
          <w:numId w:val="0"/>
        </w:numPr>
        <w:ind w:firstLine="320" w:firstLineChars="100"/>
        <w:rPr>
          <w:rFonts w:hint="eastAsia" w:ascii="仿宋" w:hAnsi="仿宋" w:eastAsia="仿宋"/>
          <w:sz w:val="32"/>
          <w:szCs w:val="32"/>
          <w:lang w:val="en-US" w:eastAsia="zh-CN"/>
        </w:rPr>
      </w:pPr>
      <w:r>
        <w:rPr>
          <w:rFonts w:hint="eastAsia" w:ascii="仿宋" w:hAnsi="仿宋" w:eastAsia="仿宋"/>
          <w:sz w:val="32"/>
          <w:szCs w:val="32"/>
          <w:lang w:val="en-US" w:eastAsia="zh-CN"/>
        </w:rPr>
        <w:t>（3）贯彻落实检察工作方针、总体规划，研究制定检察工作计划并组织实施。</w:t>
      </w:r>
    </w:p>
    <w:p>
      <w:pPr>
        <w:numPr>
          <w:ilvl w:val="0"/>
          <w:numId w:val="0"/>
        </w:numPr>
        <w:ind w:firstLine="320" w:firstLineChars="100"/>
        <w:rPr>
          <w:rFonts w:hint="eastAsia" w:ascii="仿宋" w:hAnsi="仿宋" w:eastAsia="仿宋"/>
          <w:sz w:val="32"/>
          <w:szCs w:val="32"/>
          <w:lang w:val="en-US" w:eastAsia="zh-CN"/>
        </w:rPr>
      </w:pPr>
      <w:r>
        <w:rPr>
          <w:rFonts w:hint="eastAsia" w:ascii="仿宋" w:hAnsi="仿宋" w:eastAsia="仿宋"/>
          <w:sz w:val="32"/>
          <w:szCs w:val="32"/>
          <w:lang w:val="en-US" w:eastAsia="zh-CN"/>
        </w:rPr>
        <w:t>（4）依照法律规定对直接受理的刑事案件行使侦查权。</w:t>
      </w:r>
    </w:p>
    <w:p>
      <w:pPr>
        <w:numPr>
          <w:ilvl w:val="0"/>
          <w:numId w:val="0"/>
        </w:numPr>
        <w:ind w:firstLine="320" w:firstLineChars="100"/>
        <w:rPr>
          <w:rFonts w:hint="eastAsia" w:ascii="仿宋" w:hAnsi="仿宋" w:eastAsia="仿宋"/>
          <w:sz w:val="32"/>
          <w:szCs w:val="32"/>
          <w:lang w:val="en-US" w:eastAsia="zh-CN"/>
        </w:rPr>
      </w:pPr>
      <w:r>
        <w:rPr>
          <w:rFonts w:hint="eastAsia" w:ascii="仿宋" w:hAnsi="仿宋" w:eastAsia="仿宋"/>
          <w:sz w:val="32"/>
          <w:szCs w:val="32"/>
          <w:lang w:val="en-US" w:eastAsia="zh-CN"/>
        </w:rPr>
        <w:t>（5）负责对管辖的各类刑事案件依法审查批准逮捕、决定逮捕、提起公诉。</w:t>
      </w:r>
    </w:p>
    <w:p>
      <w:pPr>
        <w:numPr>
          <w:ilvl w:val="0"/>
          <w:numId w:val="0"/>
        </w:numPr>
        <w:ind w:firstLine="320" w:firstLineChars="100"/>
        <w:rPr>
          <w:rFonts w:hint="eastAsia" w:ascii="仿宋" w:hAnsi="仿宋" w:eastAsia="仿宋"/>
          <w:sz w:val="32"/>
          <w:szCs w:val="32"/>
          <w:lang w:val="en-US" w:eastAsia="zh-CN"/>
        </w:rPr>
      </w:pPr>
      <w:r>
        <w:rPr>
          <w:rFonts w:hint="eastAsia" w:ascii="仿宋" w:hAnsi="仿宋" w:eastAsia="仿宋"/>
          <w:sz w:val="32"/>
          <w:szCs w:val="32"/>
          <w:lang w:val="en-US" w:eastAsia="zh-CN"/>
        </w:rPr>
        <w:t>（6）负责应由本院承办的刑事、民事、行政诉讼活动及刑事、民事、行政判决和裁定等生效法律文书执行的法律监督工作。</w:t>
      </w:r>
    </w:p>
    <w:p>
      <w:pPr>
        <w:numPr>
          <w:ilvl w:val="0"/>
          <w:numId w:val="0"/>
        </w:numPr>
        <w:ind w:firstLine="320" w:firstLineChars="100"/>
        <w:rPr>
          <w:rFonts w:hint="eastAsia" w:ascii="仿宋" w:hAnsi="仿宋" w:eastAsia="仿宋"/>
          <w:sz w:val="32"/>
          <w:szCs w:val="32"/>
          <w:lang w:val="en-US" w:eastAsia="zh-CN"/>
        </w:rPr>
      </w:pPr>
      <w:r>
        <w:rPr>
          <w:rFonts w:hint="eastAsia" w:ascii="仿宋" w:hAnsi="仿宋" w:eastAsia="仿宋"/>
          <w:sz w:val="32"/>
          <w:szCs w:val="32"/>
          <w:lang w:val="en-US" w:eastAsia="zh-CN"/>
        </w:rPr>
        <w:t>（7）负责应由本院承办的提起公益诉讼工作。</w:t>
      </w:r>
    </w:p>
    <w:p>
      <w:pPr>
        <w:numPr>
          <w:ilvl w:val="0"/>
          <w:numId w:val="0"/>
        </w:numPr>
        <w:ind w:firstLine="320" w:firstLineChars="100"/>
        <w:rPr>
          <w:rFonts w:hint="eastAsia" w:ascii="仿宋" w:hAnsi="仿宋" w:eastAsia="仿宋"/>
          <w:sz w:val="32"/>
          <w:szCs w:val="32"/>
          <w:lang w:val="en-US" w:eastAsia="zh-CN"/>
        </w:rPr>
      </w:pPr>
      <w:r>
        <w:rPr>
          <w:rFonts w:hint="eastAsia" w:ascii="仿宋" w:hAnsi="仿宋" w:eastAsia="仿宋"/>
          <w:sz w:val="32"/>
          <w:szCs w:val="32"/>
          <w:lang w:val="en-US" w:eastAsia="zh-CN"/>
        </w:rPr>
        <w:t>（8）依法受理核准追诉案件，审查是否上报。</w:t>
      </w:r>
    </w:p>
    <w:p>
      <w:pPr>
        <w:numPr>
          <w:ilvl w:val="0"/>
          <w:numId w:val="0"/>
        </w:numPr>
        <w:ind w:firstLine="320" w:firstLineChars="100"/>
        <w:rPr>
          <w:rFonts w:hint="eastAsia" w:ascii="仿宋" w:hAnsi="仿宋" w:eastAsia="仿宋"/>
          <w:sz w:val="32"/>
          <w:szCs w:val="32"/>
          <w:lang w:val="en-US" w:eastAsia="zh-CN"/>
        </w:rPr>
      </w:pPr>
      <w:r>
        <w:rPr>
          <w:rFonts w:hint="eastAsia" w:ascii="仿宋" w:hAnsi="仿宋" w:eastAsia="仿宋"/>
          <w:sz w:val="32"/>
          <w:szCs w:val="32"/>
          <w:lang w:val="en-US" w:eastAsia="zh-CN"/>
        </w:rPr>
        <w:t>（9）负责应由本院承办的对看守所、社区矫正等执法活动的法律监督工作。</w:t>
      </w:r>
    </w:p>
    <w:p>
      <w:pPr>
        <w:numPr>
          <w:ilvl w:val="0"/>
          <w:numId w:val="0"/>
        </w:numPr>
        <w:ind w:firstLine="320" w:firstLineChars="100"/>
        <w:rPr>
          <w:rFonts w:hint="eastAsia" w:ascii="仿宋" w:hAnsi="仿宋" w:eastAsia="仿宋"/>
          <w:sz w:val="32"/>
          <w:szCs w:val="32"/>
          <w:lang w:val="en-US" w:eastAsia="zh-CN"/>
        </w:rPr>
      </w:pPr>
      <w:r>
        <w:rPr>
          <w:rFonts w:hint="eastAsia" w:ascii="仿宋" w:hAnsi="仿宋" w:eastAsia="仿宋"/>
          <w:sz w:val="32"/>
          <w:szCs w:val="32"/>
          <w:lang w:val="en-US" w:eastAsia="zh-CN"/>
        </w:rPr>
        <w:t>（10）受理向本院的控告起诉。</w:t>
      </w:r>
    </w:p>
    <w:p>
      <w:pPr>
        <w:numPr>
          <w:ilvl w:val="0"/>
          <w:numId w:val="0"/>
        </w:numPr>
        <w:ind w:firstLine="320" w:firstLineChars="100"/>
        <w:rPr>
          <w:rFonts w:hint="eastAsia" w:ascii="仿宋" w:hAnsi="仿宋" w:eastAsia="仿宋"/>
          <w:sz w:val="32"/>
          <w:szCs w:val="32"/>
          <w:lang w:val="en-US" w:eastAsia="zh-CN"/>
        </w:rPr>
      </w:pPr>
      <w:r>
        <w:rPr>
          <w:rFonts w:hint="eastAsia" w:ascii="仿宋" w:hAnsi="仿宋" w:eastAsia="仿宋"/>
          <w:sz w:val="32"/>
          <w:szCs w:val="32"/>
          <w:lang w:val="en-US" w:eastAsia="zh-CN"/>
        </w:rPr>
        <w:t>（11）组织检察工作中法律政策具体应用问题的研究；组织开展检察理论研究工作。</w:t>
      </w:r>
    </w:p>
    <w:p>
      <w:pPr>
        <w:numPr>
          <w:ilvl w:val="0"/>
          <w:numId w:val="0"/>
        </w:numPr>
        <w:ind w:firstLine="320" w:firstLineChars="100"/>
        <w:rPr>
          <w:rFonts w:hint="eastAsia" w:ascii="仿宋" w:hAnsi="仿宋" w:eastAsia="仿宋"/>
          <w:sz w:val="32"/>
          <w:szCs w:val="32"/>
          <w:lang w:val="en-US" w:eastAsia="zh-CN"/>
        </w:rPr>
      </w:pPr>
      <w:r>
        <w:rPr>
          <w:rFonts w:hint="eastAsia" w:ascii="仿宋" w:hAnsi="仿宋" w:eastAsia="仿宋"/>
          <w:sz w:val="32"/>
          <w:szCs w:val="32"/>
          <w:lang w:val="en-US" w:eastAsia="zh-CN"/>
        </w:rPr>
        <w:t>（12）负责检察人员思想政治教育和业务培训工作；按照权限管理检察官和其他工资人员。</w:t>
      </w:r>
    </w:p>
    <w:p>
      <w:pPr>
        <w:numPr>
          <w:ilvl w:val="0"/>
          <w:numId w:val="0"/>
        </w:numPr>
        <w:ind w:firstLine="320" w:firstLineChars="100"/>
        <w:rPr>
          <w:rFonts w:hint="eastAsia" w:ascii="仿宋" w:hAnsi="仿宋" w:eastAsia="仿宋"/>
          <w:sz w:val="32"/>
          <w:szCs w:val="32"/>
          <w:lang w:val="en-US" w:eastAsia="zh-CN"/>
        </w:rPr>
      </w:pPr>
      <w:r>
        <w:rPr>
          <w:rFonts w:hint="eastAsia" w:ascii="仿宋" w:hAnsi="仿宋" w:eastAsia="仿宋"/>
          <w:sz w:val="32"/>
          <w:szCs w:val="32"/>
          <w:lang w:val="en-US" w:eastAsia="zh-CN"/>
        </w:rPr>
        <w:t>（13）负责本院检务督察工作。</w:t>
      </w:r>
    </w:p>
    <w:p>
      <w:pPr>
        <w:numPr>
          <w:ilvl w:val="0"/>
          <w:numId w:val="0"/>
        </w:numPr>
        <w:ind w:firstLine="320" w:firstLineChars="100"/>
        <w:rPr>
          <w:rFonts w:hint="eastAsia" w:ascii="仿宋" w:hAnsi="仿宋" w:eastAsia="仿宋"/>
          <w:sz w:val="32"/>
          <w:szCs w:val="32"/>
          <w:lang w:val="en-US" w:eastAsia="zh-CN"/>
        </w:rPr>
      </w:pPr>
      <w:r>
        <w:rPr>
          <w:rFonts w:hint="eastAsia" w:ascii="仿宋" w:hAnsi="仿宋" w:eastAsia="仿宋"/>
          <w:sz w:val="32"/>
          <w:szCs w:val="32"/>
          <w:lang w:val="en-US" w:eastAsia="zh-CN"/>
        </w:rPr>
        <w:t>（14）负责本院检务保障以及检察技术、信息化建设工作。</w:t>
      </w:r>
    </w:p>
    <w:p>
      <w:pPr>
        <w:numPr>
          <w:ilvl w:val="0"/>
          <w:numId w:val="0"/>
        </w:numPr>
        <w:rPr>
          <w:rFonts w:hint="eastAsia" w:ascii="仿宋" w:hAnsi="仿宋" w:eastAsia="仿宋"/>
          <w:sz w:val="32"/>
          <w:szCs w:val="32"/>
          <w:lang w:val="en-US" w:eastAsia="zh-CN"/>
        </w:rPr>
      </w:pPr>
      <w:r>
        <w:rPr>
          <w:rFonts w:hint="eastAsia" w:ascii="仿宋" w:hAnsi="仿宋" w:eastAsia="仿宋"/>
          <w:sz w:val="32"/>
          <w:szCs w:val="32"/>
          <w:lang w:val="en-US" w:eastAsia="zh-CN"/>
        </w:rPr>
        <w:t>完成其他应当由本院负责的工作。</w:t>
      </w:r>
    </w:p>
    <w:p>
      <w:pPr>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2．</w:t>
      </w:r>
      <w:r>
        <w:rPr>
          <w:rFonts w:hint="eastAsia" w:ascii="仿宋_GB2312" w:hAnsi="仿宋" w:eastAsia="仿宋_GB2312" w:cs="仿宋"/>
          <w:sz w:val="32"/>
          <w:szCs w:val="32"/>
        </w:rPr>
        <w:t>组织机构及人员情况</w:t>
      </w:r>
    </w:p>
    <w:p>
      <w:pPr>
        <w:spacing w:line="560" w:lineRule="exact"/>
        <w:ind w:firstLine="640" w:firstLineChars="200"/>
        <w:rPr>
          <w:rFonts w:hint="eastAsia" w:ascii="仿宋" w:hAnsi="仿宋" w:eastAsia="仿宋"/>
          <w:sz w:val="32"/>
          <w:szCs w:val="32"/>
          <w:lang w:val="en-US" w:eastAsia="zh-CN"/>
        </w:rPr>
      </w:pPr>
      <w:r>
        <w:rPr>
          <w:rFonts w:hint="eastAsia" w:ascii="仿宋_GB2312" w:hAnsi="仿宋" w:eastAsia="仿宋_GB2312" w:cs="仿宋"/>
          <w:sz w:val="32"/>
          <w:szCs w:val="32"/>
          <w:lang w:val="en-US" w:eastAsia="zh-CN"/>
        </w:rPr>
        <w:t>新乐</w:t>
      </w:r>
      <w:r>
        <w:rPr>
          <w:rFonts w:hint="eastAsia" w:ascii="仿宋_GB2312" w:hAnsi="仿宋" w:eastAsia="仿宋_GB2312" w:cs="仿宋"/>
          <w:sz w:val="32"/>
          <w:szCs w:val="32"/>
        </w:rPr>
        <w:t>市人民检察院纳入202</w:t>
      </w:r>
      <w:r>
        <w:rPr>
          <w:rFonts w:hint="eastAsia" w:ascii="仿宋_GB2312" w:hAnsi="仿宋" w:eastAsia="仿宋_GB2312" w:cs="仿宋"/>
          <w:sz w:val="32"/>
          <w:szCs w:val="32"/>
          <w:lang w:val="en-US" w:eastAsia="zh-CN"/>
        </w:rPr>
        <w:t>3</w:t>
      </w:r>
      <w:r>
        <w:rPr>
          <w:rFonts w:hint="eastAsia" w:ascii="仿宋_GB2312" w:hAnsi="仿宋" w:eastAsia="仿宋_GB2312" w:cs="仿宋"/>
          <w:sz w:val="32"/>
          <w:szCs w:val="32"/>
        </w:rPr>
        <w:t>年度本部门预算汇编范围的独立核算单位共 1 个，为行政党委，经费形式为市级财政拨款。</w:t>
      </w:r>
    </w:p>
    <w:p>
      <w:pPr>
        <w:ind w:firstLine="640" w:firstLineChars="200"/>
        <w:rPr>
          <w:rFonts w:hint="eastAsia" w:ascii="仿宋" w:hAnsi="仿宋" w:eastAsia="仿宋"/>
          <w:sz w:val="32"/>
          <w:szCs w:val="32"/>
          <w:lang w:val="en-US" w:eastAsia="zh-CN"/>
        </w:rPr>
      </w:pPr>
      <w:r>
        <w:rPr>
          <w:rFonts w:hint="eastAsia" w:ascii="仿宋" w:hAnsi="仿宋" w:eastAsia="仿宋"/>
          <w:sz w:val="32"/>
          <w:szCs w:val="32"/>
        </w:rPr>
        <w:t>新乐市人民检察院内设</w:t>
      </w:r>
      <w:r>
        <w:rPr>
          <w:rFonts w:hint="eastAsia" w:ascii="仿宋" w:hAnsi="仿宋" w:eastAsia="仿宋"/>
          <w:sz w:val="32"/>
          <w:szCs w:val="32"/>
          <w:lang w:eastAsia="zh-CN"/>
        </w:rPr>
        <w:t>五</w:t>
      </w:r>
      <w:r>
        <w:rPr>
          <w:rFonts w:hint="eastAsia" w:ascii="仿宋" w:hAnsi="仿宋" w:eastAsia="仿宋"/>
          <w:sz w:val="32"/>
          <w:szCs w:val="32"/>
        </w:rPr>
        <w:t>个职能部门：办公室、政治处（内设</w:t>
      </w:r>
      <w:r>
        <w:rPr>
          <w:rFonts w:hint="eastAsia" w:ascii="仿宋" w:hAnsi="仿宋" w:eastAsia="仿宋"/>
          <w:sz w:val="32"/>
          <w:szCs w:val="32"/>
          <w:lang w:eastAsia="zh-CN"/>
        </w:rPr>
        <w:t>司法警察大</w:t>
      </w:r>
      <w:r>
        <w:rPr>
          <w:rFonts w:hint="eastAsia" w:ascii="仿宋" w:hAnsi="仿宋" w:eastAsia="仿宋"/>
          <w:sz w:val="32"/>
          <w:szCs w:val="32"/>
        </w:rPr>
        <w:t>队）、</w:t>
      </w:r>
      <w:r>
        <w:rPr>
          <w:rFonts w:hint="eastAsia" w:ascii="仿宋" w:hAnsi="仿宋" w:eastAsia="仿宋"/>
          <w:sz w:val="32"/>
          <w:szCs w:val="32"/>
          <w:lang w:eastAsia="zh-CN"/>
        </w:rPr>
        <w:t>第一检察部、第二检察部、第三检察部。</w:t>
      </w:r>
    </w:p>
    <w:p>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（1）人员情况。新乐市人民检察院编制36人，截至</w:t>
      </w:r>
      <w:bookmarkStart w:id="2" w:name="_GoBack"/>
      <w:bookmarkEnd w:id="2"/>
      <w:r>
        <w:rPr>
          <w:rFonts w:hint="eastAsia" w:ascii="仿宋" w:hAnsi="仿宋" w:eastAsia="仿宋"/>
          <w:sz w:val="32"/>
          <w:szCs w:val="32"/>
          <w:lang w:val="en-US" w:eastAsia="zh-CN"/>
        </w:rPr>
        <w:t>2023年12月31日，实有在编34人，退休人员33人，聘任制书记员13人，劳务派遣人员22人。</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（2）部门构成。新乐市人民检察院现有内设机构5个，员额检察官13人。</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（3）车辆情况。新乐市人民检察院现有车辆10辆，其中机要通讯应急用车1辆，执法执勤用车4辆，特种专业技术用车5辆。</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我院202</w:t>
      </w:r>
      <w:r>
        <w:rPr>
          <w:rFonts w:hint="eastAsia" w:ascii="仿宋_GB2312" w:hAnsi="仿宋" w:eastAsia="仿宋_GB2312" w:cs="仿宋"/>
          <w:sz w:val="32"/>
          <w:szCs w:val="32"/>
          <w:lang w:val="en-US" w:eastAsia="zh-CN"/>
        </w:rPr>
        <w:t>3</w:t>
      </w:r>
      <w:r>
        <w:rPr>
          <w:rFonts w:hint="eastAsia" w:ascii="仿宋_GB2312" w:hAnsi="仿宋" w:eastAsia="仿宋_GB2312" w:cs="仿宋"/>
          <w:sz w:val="32"/>
          <w:szCs w:val="32"/>
        </w:rPr>
        <w:t>年预算为</w:t>
      </w:r>
      <w:r>
        <w:rPr>
          <w:rFonts w:hint="eastAsia" w:ascii="仿宋_GB2312" w:hAnsi="仿宋" w:eastAsia="仿宋_GB2312" w:cs="仿宋"/>
          <w:sz w:val="32"/>
          <w:szCs w:val="32"/>
          <w:lang w:val="en-US" w:eastAsia="zh-CN"/>
        </w:rPr>
        <w:t>1314.52</w:t>
      </w:r>
      <w:r>
        <w:rPr>
          <w:rFonts w:hint="eastAsia" w:ascii="仿宋_GB2312" w:hAnsi="仿宋" w:eastAsia="仿宋_GB2312" w:cs="仿宋"/>
          <w:sz w:val="32"/>
          <w:szCs w:val="32"/>
        </w:rPr>
        <w:t>万元，其中财政拨款</w:t>
      </w:r>
      <w:r>
        <w:rPr>
          <w:rFonts w:hint="eastAsia" w:ascii="仿宋_GB2312" w:hAnsi="仿宋" w:eastAsia="仿宋_GB2312" w:cs="仿宋"/>
          <w:sz w:val="32"/>
          <w:szCs w:val="32"/>
          <w:lang w:val="en-US" w:eastAsia="zh-CN"/>
        </w:rPr>
        <w:t>1314.52</w:t>
      </w:r>
      <w:r>
        <w:rPr>
          <w:rFonts w:hint="eastAsia" w:ascii="仿宋_GB2312" w:hAnsi="仿宋" w:eastAsia="仿宋_GB2312" w:cs="仿宋"/>
          <w:sz w:val="32"/>
          <w:szCs w:val="32"/>
        </w:rPr>
        <w:t>万元，占总预算的100%。整体预算中，人员经费预算</w:t>
      </w:r>
      <w:r>
        <w:rPr>
          <w:rFonts w:hint="eastAsia" w:ascii="仿宋_GB2312" w:hAnsi="仿宋" w:eastAsia="仿宋_GB2312" w:cs="仿宋"/>
          <w:sz w:val="32"/>
          <w:szCs w:val="32"/>
          <w:lang w:val="en-US" w:eastAsia="zh-CN"/>
        </w:rPr>
        <w:t>721</w:t>
      </w:r>
      <w:r>
        <w:rPr>
          <w:rFonts w:hint="eastAsia" w:ascii="仿宋_GB2312" w:hAnsi="仿宋" w:eastAsia="仿宋_GB2312" w:cs="仿宋"/>
          <w:sz w:val="32"/>
          <w:szCs w:val="32"/>
        </w:rPr>
        <w:t>万元，日常公用经费预算</w:t>
      </w:r>
      <w:r>
        <w:rPr>
          <w:rFonts w:hint="eastAsia" w:ascii="仿宋_GB2312" w:hAnsi="仿宋" w:eastAsia="仿宋_GB2312" w:cs="仿宋"/>
          <w:sz w:val="32"/>
          <w:szCs w:val="32"/>
          <w:lang w:val="en-US" w:eastAsia="zh-CN"/>
        </w:rPr>
        <w:t>278.52</w:t>
      </w:r>
      <w:r>
        <w:rPr>
          <w:rFonts w:hint="eastAsia" w:ascii="仿宋_GB2312" w:hAnsi="仿宋" w:eastAsia="仿宋_GB2312" w:cs="仿宋"/>
          <w:sz w:val="32"/>
          <w:szCs w:val="32"/>
        </w:rPr>
        <w:t>万元（包含“三公经费”预算</w:t>
      </w:r>
      <w:r>
        <w:rPr>
          <w:rFonts w:hint="eastAsia" w:ascii="仿宋_GB2312" w:hAnsi="仿宋" w:eastAsia="仿宋_GB2312" w:cs="仿宋"/>
          <w:sz w:val="32"/>
          <w:szCs w:val="32"/>
          <w:lang w:val="en-US" w:eastAsia="zh-CN"/>
        </w:rPr>
        <w:t>35</w:t>
      </w:r>
      <w:r>
        <w:rPr>
          <w:rFonts w:hint="eastAsia" w:ascii="仿宋_GB2312" w:hAnsi="仿宋" w:eastAsia="仿宋_GB2312" w:cs="仿宋"/>
          <w:sz w:val="32"/>
          <w:szCs w:val="32"/>
        </w:rPr>
        <w:t>万元），项目经费预算</w:t>
      </w:r>
      <w:r>
        <w:rPr>
          <w:rFonts w:hint="eastAsia" w:ascii="仿宋_GB2312" w:hAnsi="仿宋" w:eastAsia="仿宋_GB2312" w:cs="仿宋"/>
          <w:sz w:val="32"/>
          <w:szCs w:val="32"/>
          <w:lang w:val="en-US" w:eastAsia="zh-CN"/>
        </w:rPr>
        <w:t>315</w:t>
      </w:r>
      <w:r>
        <w:rPr>
          <w:rFonts w:hint="eastAsia" w:ascii="仿宋_GB2312" w:hAnsi="仿宋" w:eastAsia="仿宋_GB2312" w:cs="仿宋"/>
          <w:sz w:val="32"/>
          <w:szCs w:val="32"/>
        </w:rPr>
        <w:t>万元。</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我院202</w:t>
      </w:r>
      <w:r>
        <w:rPr>
          <w:rFonts w:hint="eastAsia" w:ascii="仿宋_GB2312" w:hAnsi="仿宋" w:eastAsia="仿宋_GB2312" w:cs="仿宋"/>
          <w:sz w:val="32"/>
          <w:szCs w:val="32"/>
          <w:lang w:val="en-US" w:eastAsia="zh-CN"/>
        </w:rPr>
        <w:t>3</w:t>
      </w:r>
      <w:r>
        <w:rPr>
          <w:rFonts w:hint="eastAsia" w:ascii="仿宋_GB2312" w:hAnsi="仿宋" w:eastAsia="仿宋_GB2312" w:cs="仿宋"/>
          <w:sz w:val="32"/>
          <w:szCs w:val="32"/>
        </w:rPr>
        <w:t>年度实际收入</w:t>
      </w:r>
      <w:r>
        <w:rPr>
          <w:rFonts w:hint="eastAsia" w:ascii="仿宋" w:hAnsi="仿宋" w:eastAsia="仿宋" w:cs="Arial"/>
          <w:color w:val="000000"/>
          <w:kern w:val="0"/>
          <w:sz w:val="32"/>
          <w:szCs w:val="32"/>
          <w:lang w:val="en-US" w:eastAsia="zh-CN"/>
        </w:rPr>
        <w:t>1280.24</w:t>
      </w:r>
      <w:r>
        <w:rPr>
          <w:rFonts w:hint="eastAsia" w:ascii="仿宋_GB2312" w:hAnsi="仿宋" w:eastAsia="仿宋_GB2312" w:cs="仿宋"/>
          <w:sz w:val="32"/>
          <w:szCs w:val="32"/>
        </w:rPr>
        <w:t>万元，其中财政拨款收入</w:t>
      </w:r>
      <w:r>
        <w:rPr>
          <w:rFonts w:hint="eastAsia" w:ascii="仿宋" w:hAnsi="仿宋" w:eastAsia="仿宋" w:cs="Arial"/>
          <w:color w:val="000000"/>
          <w:kern w:val="0"/>
          <w:sz w:val="32"/>
          <w:szCs w:val="32"/>
          <w:lang w:val="en-US" w:eastAsia="zh-CN"/>
        </w:rPr>
        <w:t>1280.24</w:t>
      </w:r>
      <w:r>
        <w:rPr>
          <w:rFonts w:hint="eastAsia" w:ascii="仿宋_GB2312" w:hAnsi="仿宋" w:eastAsia="仿宋_GB2312" w:cs="仿宋"/>
          <w:sz w:val="32"/>
          <w:szCs w:val="32"/>
        </w:rPr>
        <w:t>万元，占总预算的9</w:t>
      </w:r>
      <w:r>
        <w:rPr>
          <w:rFonts w:hint="eastAsia" w:ascii="仿宋_GB2312" w:hAnsi="仿宋" w:eastAsia="仿宋_GB2312" w:cs="仿宋"/>
          <w:sz w:val="32"/>
          <w:szCs w:val="32"/>
          <w:lang w:val="en-US" w:eastAsia="zh-CN"/>
        </w:rPr>
        <w:t>7.39</w:t>
      </w:r>
      <w:r>
        <w:rPr>
          <w:rFonts w:hint="eastAsia" w:ascii="仿宋_GB2312" w:hAnsi="仿宋" w:eastAsia="仿宋_GB2312" w:cs="仿宋"/>
          <w:sz w:val="32"/>
          <w:szCs w:val="32"/>
        </w:rPr>
        <w:t>%。</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我院202</w:t>
      </w:r>
      <w:r>
        <w:rPr>
          <w:rFonts w:hint="eastAsia" w:ascii="仿宋_GB2312" w:hAnsi="仿宋" w:eastAsia="仿宋_GB2312" w:cs="仿宋"/>
          <w:sz w:val="32"/>
          <w:szCs w:val="32"/>
          <w:lang w:val="en-US" w:eastAsia="zh-CN"/>
        </w:rPr>
        <w:t>3</w:t>
      </w:r>
      <w:r>
        <w:rPr>
          <w:rFonts w:hint="eastAsia" w:ascii="仿宋_GB2312" w:hAnsi="仿宋" w:eastAsia="仿宋_GB2312" w:cs="仿宋"/>
          <w:sz w:val="32"/>
          <w:szCs w:val="32"/>
        </w:rPr>
        <w:t>年整体支出为</w:t>
      </w:r>
      <w:r>
        <w:rPr>
          <w:rFonts w:hint="eastAsia" w:ascii="仿宋" w:hAnsi="仿宋" w:eastAsia="仿宋" w:cs="Arial"/>
          <w:color w:val="000000"/>
          <w:kern w:val="0"/>
          <w:sz w:val="32"/>
          <w:szCs w:val="32"/>
          <w:lang w:val="en-US" w:eastAsia="zh-CN"/>
        </w:rPr>
        <w:t>1280.24</w:t>
      </w:r>
      <w:r>
        <w:rPr>
          <w:rFonts w:hint="eastAsia" w:ascii="仿宋_GB2312" w:hAnsi="仿宋" w:eastAsia="仿宋_GB2312" w:cs="仿宋"/>
          <w:sz w:val="32"/>
          <w:szCs w:val="32"/>
        </w:rPr>
        <w:t>万元。</w:t>
      </w:r>
    </w:p>
    <w:p>
      <w:pPr>
        <w:spacing w:line="560" w:lineRule="exact"/>
        <w:ind w:firstLine="640"/>
        <w:rPr>
          <w:rFonts w:ascii="仿宋" w:hAnsi="仿宋" w:eastAsia="仿宋"/>
          <w:sz w:val="32"/>
          <w:szCs w:val="32"/>
        </w:rPr>
      </w:pPr>
      <w:r>
        <w:rPr>
          <w:rFonts w:hint="eastAsia" w:ascii="仿宋_GB2312" w:hAnsi="仿宋" w:eastAsia="仿宋_GB2312" w:cs="仿宋"/>
          <w:sz w:val="32"/>
          <w:szCs w:val="32"/>
        </w:rPr>
        <w:t>1.基本支出情况</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基本支出是保障机构正常运转、完成日常工作任务而发生的支出，包括人员经费支出和日常公用经费（含“三公经费”）支出。</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202</w:t>
      </w:r>
      <w:r>
        <w:rPr>
          <w:rFonts w:hint="eastAsia" w:ascii="仿宋_GB2312" w:hAnsi="仿宋" w:eastAsia="仿宋_GB2312" w:cs="仿宋"/>
          <w:sz w:val="32"/>
          <w:szCs w:val="32"/>
          <w:lang w:val="en-US" w:eastAsia="zh-CN"/>
        </w:rPr>
        <w:t>3</w:t>
      </w:r>
      <w:r>
        <w:rPr>
          <w:rFonts w:hint="eastAsia" w:ascii="仿宋_GB2312" w:hAnsi="仿宋" w:eastAsia="仿宋_GB2312" w:cs="仿宋"/>
          <w:sz w:val="32"/>
          <w:szCs w:val="32"/>
        </w:rPr>
        <w:t>年度本院基本支出</w:t>
      </w:r>
      <w:r>
        <w:rPr>
          <w:rFonts w:hint="eastAsia" w:ascii="仿宋_GB2312" w:hAnsi="仿宋" w:eastAsia="仿宋_GB2312" w:cs="仿宋"/>
          <w:sz w:val="32"/>
          <w:szCs w:val="32"/>
          <w:lang w:val="en-US" w:eastAsia="zh-CN"/>
        </w:rPr>
        <w:t>915.45</w:t>
      </w:r>
      <w:r>
        <w:rPr>
          <w:rFonts w:hint="eastAsia" w:ascii="仿宋_GB2312" w:hAnsi="仿宋" w:eastAsia="仿宋_GB2312" w:cs="仿宋"/>
          <w:sz w:val="32"/>
          <w:szCs w:val="32"/>
        </w:rPr>
        <w:t>万元，人员经费支出</w:t>
      </w:r>
      <w:r>
        <w:rPr>
          <w:rFonts w:hint="eastAsia" w:ascii="仿宋_GB2312" w:hAnsi="仿宋" w:eastAsia="仿宋_GB2312" w:cs="仿宋"/>
          <w:sz w:val="32"/>
          <w:szCs w:val="32"/>
          <w:lang w:val="en-US" w:eastAsia="zh-CN"/>
        </w:rPr>
        <w:t>643.48</w:t>
      </w:r>
      <w:r>
        <w:rPr>
          <w:rFonts w:hint="eastAsia" w:ascii="仿宋_GB2312" w:hAnsi="仿宋" w:eastAsia="仿宋_GB2312" w:cs="仿宋"/>
          <w:sz w:val="32"/>
          <w:szCs w:val="32"/>
        </w:rPr>
        <w:t>万元,占基本支出比例</w:t>
      </w:r>
      <w:r>
        <w:rPr>
          <w:rFonts w:hint="eastAsia" w:ascii="仿宋_GB2312" w:hAnsi="仿宋" w:eastAsia="仿宋_GB2312" w:cs="仿宋"/>
          <w:sz w:val="32"/>
          <w:szCs w:val="32"/>
          <w:lang w:val="en-US" w:eastAsia="zh-CN"/>
        </w:rPr>
        <w:t>70.29</w:t>
      </w:r>
      <w:r>
        <w:rPr>
          <w:rFonts w:hint="eastAsia" w:ascii="仿宋_GB2312" w:hAnsi="仿宋" w:eastAsia="仿宋_GB2312" w:cs="仿宋"/>
          <w:sz w:val="32"/>
          <w:szCs w:val="32"/>
        </w:rPr>
        <w:t xml:space="preserve"> %，日常公用经费支出</w:t>
      </w:r>
      <w:r>
        <w:rPr>
          <w:rFonts w:hint="eastAsia" w:ascii="仿宋_GB2312" w:hAnsi="仿宋" w:eastAsia="仿宋_GB2312" w:cs="仿宋"/>
          <w:sz w:val="32"/>
          <w:szCs w:val="32"/>
          <w:lang w:val="en-US" w:eastAsia="zh-CN"/>
        </w:rPr>
        <w:t>271.97</w:t>
      </w:r>
      <w:r>
        <w:rPr>
          <w:rFonts w:hint="eastAsia" w:ascii="仿宋_GB2312" w:hAnsi="仿宋" w:eastAsia="仿宋_GB2312" w:cs="仿宋"/>
          <w:sz w:val="32"/>
          <w:szCs w:val="32"/>
        </w:rPr>
        <w:t>万元，占基本支出比例</w:t>
      </w:r>
      <w:r>
        <w:rPr>
          <w:rFonts w:hint="eastAsia" w:ascii="仿宋_GB2312" w:hAnsi="仿宋" w:eastAsia="仿宋_GB2312" w:cs="仿宋"/>
          <w:sz w:val="32"/>
          <w:szCs w:val="32"/>
          <w:lang w:val="en-US" w:eastAsia="zh-CN"/>
        </w:rPr>
        <w:t>29.71</w:t>
      </w:r>
      <w:r>
        <w:rPr>
          <w:rFonts w:hint="eastAsia" w:ascii="仿宋_GB2312" w:hAnsi="仿宋" w:eastAsia="仿宋_GB2312" w:cs="仿宋"/>
          <w:sz w:val="32"/>
          <w:szCs w:val="32"/>
        </w:rPr>
        <w:t>%。其中，“三公”经费支出为</w:t>
      </w:r>
      <w:r>
        <w:rPr>
          <w:rFonts w:hint="eastAsia" w:ascii="仿宋_GB2312" w:hAnsi="仿宋" w:eastAsia="仿宋_GB2312" w:cs="仿宋"/>
          <w:sz w:val="32"/>
          <w:szCs w:val="32"/>
          <w:lang w:val="en-US" w:eastAsia="zh-CN"/>
        </w:rPr>
        <w:t>28.75</w:t>
      </w:r>
      <w:r>
        <w:rPr>
          <w:rFonts w:hint="eastAsia" w:ascii="仿宋_GB2312" w:hAnsi="仿宋" w:eastAsia="仿宋_GB2312" w:cs="仿宋"/>
          <w:sz w:val="32"/>
          <w:szCs w:val="32"/>
        </w:rPr>
        <w:t>万元，占日常公用经费支出比例为</w:t>
      </w:r>
      <w:r>
        <w:rPr>
          <w:rFonts w:hint="eastAsia" w:ascii="仿宋_GB2312" w:hAnsi="仿宋" w:eastAsia="仿宋_GB2312" w:cs="仿宋"/>
          <w:sz w:val="32"/>
          <w:szCs w:val="32"/>
          <w:lang w:val="en-US" w:eastAsia="zh-CN"/>
        </w:rPr>
        <w:t>10.57</w:t>
      </w:r>
      <w:r>
        <w:rPr>
          <w:rFonts w:hint="eastAsia" w:ascii="仿宋_GB2312" w:hAnsi="仿宋" w:eastAsia="仿宋_GB2312" w:cs="仿宋"/>
          <w:sz w:val="32"/>
          <w:szCs w:val="32"/>
        </w:rPr>
        <w:t>%。</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spacing w:line="560" w:lineRule="exact"/>
        <w:ind w:firstLine="640" w:firstLineChars="200"/>
        <w:rPr>
          <w:rFonts w:hint="eastAsia" w:ascii="仿宋_GB2312" w:hAnsi="仿宋" w:eastAsia="仿宋_GB2312" w:cs="仿宋"/>
          <w:sz w:val="32"/>
          <w:szCs w:val="32"/>
        </w:rPr>
      </w:pPr>
      <w:bookmarkStart w:id="0" w:name="_Toc63775777"/>
      <w:r>
        <w:rPr>
          <w:rFonts w:hint="eastAsia" w:ascii="仿宋_GB2312" w:hAnsi="仿宋" w:eastAsia="仿宋_GB2312" w:cs="仿宋"/>
          <w:sz w:val="32"/>
          <w:szCs w:val="32"/>
        </w:rPr>
        <w:t>1、总体绩效目</w:t>
      </w:r>
      <w:bookmarkEnd w:id="0"/>
      <w:r>
        <w:rPr>
          <w:rFonts w:hint="eastAsia" w:ascii="仿宋_GB2312" w:hAnsi="仿宋" w:eastAsia="仿宋_GB2312" w:cs="仿宋"/>
          <w:sz w:val="32"/>
          <w:szCs w:val="32"/>
        </w:rPr>
        <w:t>标</w:t>
      </w:r>
    </w:p>
    <w:p>
      <w:pPr>
        <w:spacing w:line="560" w:lineRule="exact"/>
        <w:ind w:firstLine="640" w:firstLineChars="200"/>
        <w:jc w:val="left"/>
        <w:rPr>
          <w:rFonts w:hint="eastAsia" w:ascii="仿宋_GB2312" w:hAnsi="仿宋" w:eastAsia="仿宋_GB2312" w:cs="仿宋"/>
          <w:sz w:val="32"/>
          <w:szCs w:val="32"/>
        </w:rPr>
      </w:pPr>
      <w:r>
        <w:rPr>
          <w:rFonts w:hint="eastAsia" w:ascii="仿宋_GB2312" w:hAnsi="仿宋" w:eastAsia="仿宋_GB2312" w:cs="仿宋"/>
          <w:sz w:val="32"/>
          <w:szCs w:val="32"/>
        </w:rPr>
        <w:t>坚持以习近平新时代中国特色社会主义思想特别是习近平法治思想为指导，全面贯彻党的十九大和十九届二中、三中、四中、五中全会精神，认真落实省委九届十一次全会和市委十届十次全会精神和上级检察机关各项决策部署，坚持“讲政治、顾大局、谋发展、重自强”，聚焦“六稳”“六保”要求，积极服务经济社会发展大局；依法维护社会稳定，助力更高水平的平安石家庄建设，全面加强法律监督，推进“四大检察”“十大业务”全面均衡充分发展，不断加强检察队伍正规化专业化职业化建设，努力为全面建设“现代省会、经济强市”作出新的更大贡献。</w:t>
      </w:r>
    </w:p>
    <w:p>
      <w:pPr>
        <w:spacing w:line="560" w:lineRule="exact"/>
        <w:ind w:firstLine="640" w:firstLineChars="200"/>
        <w:rPr>
          <w:rFonts w:hint="eastAsia" w:ascii="仿宋_GB2312" w:hAnsi="仿宋" w:eastAsia="仿宋_GB2312" w:cs="仿宋"/>
          <w:sz w:val="32"/>
          <w:szCs w:val="32"/>
        </w:rPr>
      </w:pPr>
      <w:bookmarkStart w:id="1" w:name="_Toc63775778"/>
      <w:r>
        <w:rPr>
          <w:rFonts w:hint="eastAsia" w:ascii="仿宋_GB2312" w:hAnsi="仿宋" w:eastAsia="仿宋_GB2312" w:cs="仿宋"/>
          <w:sz w:val="32"/>
          <w:szCs w:val="32"/>
        </w:rPr>
        <w:t>2、分项绩效目标</w:t>
      </w:r>
      <w:bookmarkEnd w:id="1"/>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（1）推进“四大检察”“十大业务”全面均衡充分发展</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绩效目标：聚焦主责主业，强化法律监督，通过经费的使用促进刑事、民事、行政、公益诉讼等各项检察办案的顺利进行，保障服务经济社会发展等中心工作的顺利开展，助力打赢疫情防控阻击战，保持严打高压态势，持续做好扫黑除恶工作。加强检察权运行监督制约机制建设，努力提升办案质效和检察公信力，深化检务公开。</w:t>
      </w:r>
    </w:p>
    <w:p>
      <w:pPr>
        <w:spacing w:line="560" w:lineRule="exact"/>
        <w:ind w:firstLine="640" w:firstLineChars="200"/>
        <w:rPr>
          <w:rFonts w:hint="eastAsia"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sz w:val="32"/>
          <w:szCs w:val="32"/>
        </w:rPr>
        <w:t>绩效指标：</w:t>
      </w:r>
      <w:r>
        <w:rPr>
          <w:rFonts w:hint="eastAsia" w:ascii="仿宋_GB2312" w:hAnsi="仿宋" w:eastAsia="仿宋_GB2312" w:cs="仿宋"/>
          <w:sz w:val="32"/>
          <w:szCs w:val="32"/>
          <w:lang w:val="en-US" w:eastAsia="zh-CN"/>
        </w:rPr>
        <w:t>以高质量的监督办案，助推法治政府建设，共办理各类行政监督案件14件。加强行政审判程序违法监督，发出检察建议2件，均得到采纳。年度内</w:t>
      </w:r>
      <w:r>
        <w:rPr>
          <w:rFonts w:hint="eastAsia" w:ascii="仿宋_GB2312" w:hAnsi="仿宋" w:eastAsia="仿宋_GB2312" w:cs="仿宋"/>
          <w:color w:val="000000" w:themeColor="text1"/>
          <w:sz w:val="32"/>
          <w:szCs w:val="32"/>
          <w14:textFill>
            <w14:solidFill>
              <w14:schemeClr w14:val="tx1"/>
            </w14:solidFill>
          </w14:textFill>
        </w:rPr>
        <w:t>审结的案件占受理案件的比例达到90%以上，检察建议被采纳案件占全部检察建议案件的</w:t>
      </w:r>
      <w:r>
        <w:rPr>
          <w:rFonts w:hint="eastAsia" w:ascii="仿宋_GB2312" w:hAnsi="仿宋" w:eastAsia="仿宋_GB2312" w:cs="仿宋"/>
          <w:color w:val="000000" w:themeColor="text1"/>
          <w:sz w:val="32"/>
          <w:szCs w:val="32"/>
          <w:lang w:val="en-US" w:eastAsia="zh-CN"/>
          <w14:textFill>
            <w14:solidFill>
              <w14:schemeClr w14:val="tx1"/>
            </w14:solidFill>
          </w14:textFill>
        </w:rPr>
        <w:t>85</w:t>
      </w:r>
      <w:r>
        <w:rPr>
          <w:rFonts w:hint="eastAsia" w:ascii="仿宋_GB2312" w:hAnsi="仿宋" w:eastAsia="仿宋_GB2312" w:cs="仿宋"/>
          <w:color w:val="000000" w:themeColor="text1"/>
          <w:sz w:val="32"/>
          <w:szCs w:val="32"/>
          <w14:textFill>
            <w14:solidFill>
              <w14:schemeClr w14:val="tx1"/>
            </w14:solidFill>
          </w14:textFill>
        </w:rPr>
        <w:t>%以上，通过办理案件，稳定社会环境，收到良好的社会效果。加强与人大代表、政协委员和社会各界的常态化联系，主动通报检察工作情况，及时赠阅期刊，全年订阅期刊数量不少于</w:t>
      </w:r>
      <w:r>
        <w:rPr>
          <w:rFonts w:hint="eastAsia" w:ascii="仿宋_GB2312" w:hAnsi="仿宋" w:eastAsia="仿宋_GB2312" w:cs="仿宋"/>
          <w:color w:val="000000" w:themeColor="text1"/>
          <w:sz w:val="32"/>
          <w:szCs w:val="32"/>
          <w:lang w:val="en-US" w:eastAsia="zh-CN"/>
          <w14:textFill>
            <w14:solidFill>
              <w14:schemeClr w14:val="tx1"/>
            </w14:solidFill>
          </w14:textFill>
        </w:rPr>
        <w:t xml:space="preserve">100   </w:t>
      </w:r>
      <w:r>
        <w:rPr>
          <w:rFonts w:hint="eastAsia" w:ascii="仿宋_GB2312" w:hAnsi="仿宋" w:eastAsia="仿宋_GB2312" w:cs="仿宋"/>
          <w:color w:val="000000" w:themeColor="text1"/>
          <w:sz w:val="32"/>
          <w:szCs w:val="32"/>
          <w14:textFill>
            <w14:solidFill>
              <w14:schemeClr w14:val="tx1"/>
            </w14:solidFill>
          </w14:textFill>
        </w:rPr>
        <w:t>份，加强立案侦查案件的监督。积极参与市域社会治理现代化，针对案件反映出的倾向性问题和管理漏洞，及时提出检察建议，监督案件完成率不低于9</w:t>
      </w:r>
      <w:r>
        <w:rPr>
          <w:rFonts w:hint="eastAsia" w:ascii="仿宋_GB2312" w:hAnsi="仿宋" w:eastAsia="仿宋_GB2312" w:cs="仿宋"/>
          <w:color w:val="000000" w:themeColor="text1"/>
          <w:sz w:val="32"/>
          <w:szCs w:val="32"/>
          <w:lang w:val="en-US" w:eastAsia="zh-CN"/>
          <w14:textFill>
            <w14:solidFill>
              <w14:schemeClr w14:val="tx1"/>
            </w14:solidFill>
          </w14:textFill>
        </w:rPr>
        <w:t>0</w:t>
      </w:r>
      <w:r>
        <w:rPr>
          <w:rFonts w:hint="eastAsia" w:ascii="仿宋_GB2312" w:hAnsi="仿宋" w:eastAsia="仿宋_GB2312" w:cs="仿宋"/>
          <w:color w:val="000000" w:themeColor="text1"/>
          <w:sz w:val="32"/>
          <w:szCs w:val="32"/>
          <w14:textFill>
            <w14:solidFill>
              <w14:schemeClr w14:val="tx1"/>
            </w14:solidFill>
          </w14:textFill>
        </w:rPr>
        <w:t>%，通过项目实施促进社会稳定水平明显提高。</w:t>
      </w:r>
    </w:p>
    <w:p>
      <w:pPr>
        <w:spacing w:line="560" w:lineRule="exact"/>
        <w:ind w:firstLine="640" w:firstLineChars="200"/>
        <w:rPr>
          <w:rFonts w:hint="eastAsia" w:ascii="仿宋_GB2312" w:hAnsi="仿宋" w:eastAsia="仿宋_GB2312" w:cs="仿宋"/>
          <w:sz w:val="32"/>
          <w:szCs w:val="32"/>
        </w:rPr>
      </w:pP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（2）不断强化政治学习，提高政治站位</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绩效目标：旗帜鲜明讲政治，始终坚持党对检察工作的绝对领导，始终坚持“从政治上看”各项检察工作，切实把政治层面的要求逐项分解映射到每一项具体检察实践，坚决做到忠诚捍卫“两个确立”，增强“四个意识”、坚定“四个自信”、做到“两个维护”。</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绩效指标：加强干警的党性修养和政治理论素养，提高干警综合素质，严守党的政治纪律和政治规矩，把学习教育贯穿始终，保障各类学习教育活动顺利开展，不断提高全市检察干警的政治素质、业务素质、职业道德素质。全年组织开展党建活动的数量不少于</w:t>
      </w:r>
      <w:r>
        <w:rPr>
          <w:rFonts w:hint="eastAsia" w:ascii="仿宋_GB2312" w:hAnsi="仿宋" w:eastAsia="仿宋_GB2312" w:cs="仿宋"/>
          <w:sz w:val="32"/>
          <w:szCs w:val="32"/>
          <w:lang w:val="en-US" w:eastAsia="zh-CN"/>
        </w:rPr>
        <w:t>3</w:t>
      </w:r>
      <w:r>
        <w:rPr>
          <w:rFonts w:hint="eastAsia" w:ascii="仿宋_GB2312" w:hAnsi="仿宋" w:eastAsia="仿宋_GB2312" w:cs="仿宋"/>
          <w:sz w:val="32"/>
          <w:szCs w:val="32"/>
        </w:rPr>
        <w:t>次，及时合理保障各项活动，党务公开覆盖率不小于90%，专题活动推进效果良好。</w:t>
      </w:r>
    </w:p>
    <w:p>
      <w:pPr>
        <w:pStyle w:val="7"/>
        <w:rPr>
          <w:rFonts w:hint="eastAsia" w:ascii="仿宋" w:hAnsi="仿宋" w:eastAsia="仿宋" w:cs="黑体"/>
          <w:kern w:val="2"/>
          <w:sz w:val="32"/>
          <w:szCs w:val="32"/>
          <w:lang w:val="en-US" w:eastAsia="zh-CN" w:bidi="ar-SA"/>
        </w:rPr>
      </w:pPr>
      <w:r>
        <w:rPr>
          <w:rFonts w:hint="eastAsia" w:ascii="仿宋_GB2312" w:hAnsi="仿宋" w:eastAsia="仿宋_GB2312" w:cs="仿宋"/>
          <w:sz w:val="32"/>
          <w:szCs w:val="32"/>
        </w:rPr>
        <w:t>（</w:t>
      </w:r>
      <w:r>
        <w:rPr>
          <w:rFonts w:hint="eastAsia" w:ascii="仿宋_GB2312" w:hAnsi="仿宋" w:eastAsia="仿宋_GB2312" w:cs="仿宋"/>
          <w:sz w:val="32"/>
          <w:szCs w:val="32"/>
          <w:lang w:val="en-US" w:eastAsia="zh-CN"/>
        </w:rPr>
        <w:t>3</w:t>
      </w:r>
      <w:r>
        <w:rPr>
          <w:rFonts w:hint="eastAsia" w:ascii="仿宋_GB2312" w:hAnsi="仿宋" w:eastAsia="仿宋_GB2312" w:cs="仿宋"/>
          <w:sz w:val="32"/>
          <w:szCs w:val="32"/>
        </w:rPr>
        <w:t>）</w:t>
      </w:r>
      <w:r>
        <w:rPr>
          <w:rFonts w:hint="eastAsia" w:ascii="仿宋" w:hAnsi="仿宋" w:eastAsia="仿宋" w:cs="黑体"/>
          <w:kern w:val="2"/>
          <w:sz w:val="32"/>
          <w:szCs w:val="32"/>
          <w:lang w:val="en-US" w:eastAsia="zh-CN" w:bidi="ar-SA"/>
        </w:rPr>
        <w:t>司法救助和国家赔偿</w:t>
      </w:r>
    </w:p>
    <w:p>
      <w:pPr>
        <w:pStyle w:val="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绩效目标：完成涉法涉诉类案件的息诉罢访工作，依法办理国家赔偿案件。</w:t>
      </w:r>
    </w:p>
    <w:p>
      <w:pPr>
        <w:pStyle w:val="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绩效指标：改革涉诉信访工作，推动涉诉信访问题在法治轨道内解决；落实司法为民措施，保护被侵权人合法利益，促进国家机关依法行使职权。</w:t>
      </w:r>
    </w:p>
    <w:p>
      <w:pPr>
        <w:pStyle w:val="7"/>
        <w:rPr>
          <w:rFonts w:hint="eastAsia" w:ascii="仿宋" w:hAnsi="仿宋" w:eastAsia="仿宋" w:cs="黑体"/>
          <w:kern w:val="2"/>
          <w:sz w:val="32"/>
          <w:szCs w:val="32"/>
          <w:lang w:val="en-US" w:eastAsia="zh-CN" w:bidi="ar-SA"/>
        </w:rPr>
      </w:pPr>
      <w:r>
        <w:rPr>
          <w:rFonts w:hint="eastAsia" w:ascii="仿宋_GB2312" w:hAnsi="仿宋" w:eastAsia="仿宋_GB2312" w:cs="仿宋"/>
          <w:sz w:val="32"/>
          <w:szCs w:val="32"/>
        </w:rPr>
        <w:t>（</w:t>
      </w:r>
      <w:r>
        <w:rPr>
          <w:rFonts w:hint="eastAsia" w:ascii="仿宋_GB2312" w:hAnsi="仿宋" w:eastAsia="仿宋_GB2312" w:cs="仿宋"/>
          <w:sz w:val="32"/>
          <w:szCs w:val="32"/>
          <w:lang w:val="en-US" w:eastAsia="zh-CN"/>
        </w:rPr>
        <w:t>4</w:t>
      </w:r>
      <w:r>
        <w:rPr>
          <w:rFonts w:hint="eastAsia" w:ascii="仿宋_GB2312" w:hAnsi="仿宋" w:eastAsia="仿宋_GB2312" w:cs="仿宋"/>
          <w:sz w:val="32"/>
          <w:szCs w:val="32"/>
        </w:rPr>
        <w:t>）</w:t>
      </w:r>
      <w:r>
        <w:rPr>
          <w:rFonts w:hint="eastAsia" w:ascii="仿宋" w:hAnsi="仿宋" w:eastAsia="仿宋" w:cs="黑体"/>
          <w:kern w:val="2"/>
          <w:sz w:val="32"/>
          <w:szCs w:val="32"/>
          <w:lang w:val="en-US" w:eastAsia="zh-CN" w:bidi="ar-SA"/>
        </w:rPr>
        <w:t>检察院事务管理</w:t>
      </w:r>
    </w:p>
    <w:p>
      <w:pPr>
        <w:pStyle w:val="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绩效目标：系统综合业务管理和综合事务管理。</w:t>
      </w:r>
    </w:p>
    <w:p>
      <w:pPr>
        <w:pStyle w:val="7"/>
        <w:rPr>
          <w:rFonts w:hint="eastAsia" w:ascii="黑体" w:hAnsi="黑体" w:eastAsia="黑体"/>
          <w:sz w:val="32"/>
          <w:szCs w:val="32"/>
        </w:rPr>
      </w:pPr>
      <w:r>
        <w:rPr>
          <w:rFonts w:hint="eastAsia" w:ascii="仿宋" w:hAnsi="仿宋" w:eastAsia="仿宋" w:cs="黑体"/>
          <w:kern w:val="2"/>
          <w:sz w:val="32"/>
          <w:szCs w:val="32"/>
          <w:lang w:val="en-US" w:eastAsia="zh-CN" w:bidi="ar-SA"/>
        </w:rPr>
        <w:t>绩效指标：提高队伍素质和执法能力，高质高效完成各项工作。</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napToGrid w:val="0"/>
        <w:spacing w:line="560" w:lineRule="exact"/>
        <w:ind w:firstLine="640" w:firstLineChars="200"/>
        <w:jc w:val="left"/>
        <w:rPr>
          <w:rFonts w:ascii="楷体" w:hAnsi="楷体" w:eastAsia="楷体" w:cs="楷体"/>
          <w:sz w:val="32"/>
          <w:szCs w:val="32"/>
        </w:rPr>
      </w:pPr>
      <w:r>
        <w:rPr>
          <w:rFonts w:hint="eastAsia" w:ascii="楷体_GB2312" w:hAnsi="楷体_GB2312" w:eastAsia="楷体_GB2312" w:cs="楷体_GB2312"/>
          <w:sz w:val="32"/>
          <w:szCs w:val="32"/>
        </w:rPr>
        <w:t>（一）自评的组织工作</w:t>
      </w:r>
    </w:p>
    <w:p>
      <w:pPr>
        <w:snapToGrid w:val="0"/>
        <w:spacing w:line="560" w:lineRule="exact"/>
        <w:ind w:firstLine="640" w:firstLineChars="200"/>
        <w:rPr>
          <w:rFonts w:hint="eastAsia" w:ascii="仿宋" w:hAnsi="仿宋" w:eastAsia="仿宋" w:cs="仿宋"/>
          <w:sz w:val="32"/>
          <w:szCs w:val="32"/>
        </w:rPr>
      </w:pPr>
      <w:r>
        <w:rPr>
          <w:rFonts w:hint="eastAsia" w:ascii="仿宋_GB2312" w:hAnsi="仿宋" w:eastAsia="仿宋_GB2312" w:cs="仿宋"/>
          <w:sz w:val="32"/>
          <w:szCs w:val="32"/>
        </w:rPr>
        <w:t>为保证绩效评价工作顺利开展，我院成立了绩效评价工作小组，主管</w:t>
      </w:r>
      <w:r>
        <w:rPr>
          <w:rFonts w:hint="eastAsia" w:ascii="仿宋_GB2312" w:hAnsi="仿宋" w:eastAsia="仿宋_GB2312" w:cs="仿宋"/>
          <w:sz w:val="32"/>
          <w:szCs w:val="32"/>
          <w:lang w:val="en-US" w:eastAsia="zh-CN"/>
        </w:rPr>
        <w:t>办公室</w:t>
      </w:r>
      <w:r>
        <w:rPr>
          <w:rFonts w:hint="eastAsia" w:ascii="仿宋_GB2312" w:hAnsi="仿宋" w:eastAsia="仿宋_GB2312" w:cs="仿宋"/>
          <w:sz w:val="32"/>
          <w:szCs w:val="32"/>
        </w:rPr>
        <w:t>院领导任组长，</w:t>
      </w:r>
      <w:r>
        <w:rPr>
          <w:rFonts w:hint="eastAsia" w:ascii="仿宋_GB2312" w:hAnsi="仿宋" w:eastAsia="仿宋_GB2312" w:cs="仿宋"/>
          <w:sz w:val="32"/>
          <w:szCs w:val="32"/>
          <w:lang w:val="en-US" w:eastAsia="zh-CN"/>
        </w:rPr>
        <w:t>办公室</w:t>
      </w:r>
      <w:r>
        <w:rPr>
          <w:rFonts w:hint="eastAsia" w:ascii="仿宋_GB2312" w:hAnsi="仿宋" w:eastAsia="仿宋_GB2312" w:cs="仿宋"/>
          <w:sz w:val="32"/>
          <w:szCs w:val="32"/>
        </w:rPr>
        <w:t xml:space="preserve">主任为副组长，下设立专门绩效管理办公室，具体负责绩效评价的组织管理工作和实施工作。    </w:t>
      </w:r>
      <w:r>
        <w:rPr>
          <w:rFonts w:hint="eastAsia" w:ascii="仿宋" w:hAnsi="仿宋" w:eastAsia="仿宋" w:cs="仿宋"/>
          <w:sz w:val="32"/>
          <w:szCs w:val="32"/>
        </w:rPr>
        <w:t xml:space="preserve">  </w:t>
      </w:r>
    </w:p>
    <w:p>
      <w:pPr>
        <w:spacing w:line="56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（二）自评的方法和过程</w:t>
      </w:r>
    </w:p>
    <w:p>
      <w:pPr>
        <w:snapToGrid w:val="0"/>
        <w:spacing w:line="560" w:lineRule="exact"/>
        <w:ind w:firstLine="640" w:firstLineChars="200"/>
        <w:rPr>
          <w:rFonts w:hint="eastAsia" w:ascii="仿宋" w:hAnsi="仿宋" w:eastAsia="仿宋" w:cs="仿宋"/>
          <w:sz w:val="32"/>
          <w:szCs w:val="32"/>
        </w:rPr>
      </w:pPr>
      <w:r>
        <w:rPr>
          <w:rFonts w:hint="eastAsia" w:ascii="仿宋_GB2312" w:hAnsi="仿宋" w:eastAsia="仿宋_GB2312" w:cs="仿宋"/>
          <w:sz w:val="32"/>
          <w:szCs w:val="32"/>
        </w:rPr>
        <w:t>1.评价方法</w:t>
      </w:r>
    </w:p>
    <w:p>
      <w:pPr>
        <w:snapToGrid w:val="0"/>
        <w:spacing w:line="560" w:lineRule="exact"/>
        <w:ind w:firstLine="640" w:firstLineChars="200"/>
        <w:rPr>
          <w:rFonts w:ascii="仿宋" w:hAnsi="仿宋" w:eastAsia="仿宋" w:cs="仿宋"/>
          <w:sz w:val="32"/>
          <w:szCs w:val="32"/>
        </w:rPr>
      </w:pPr>
      <w:r>
        <w:rPr>
          <w:rFonts w:hint="eastAsia" w:ascii="仿宋_GB2312" w:hAnsi="仿宋" w:eastAsia="仿宋_GB2312" w:cs="仿宋"/>
          <w:sz w:val="32"/>
          <w:szCs w:val="32"/>
        </w:rPr>
        <w:t>根据相关资料及项目特点，采取定量分析与定性分析相结合，运用因素分析法、比较分析法、现场核查法、访谈等方法开展评价工作。从预算编制、预算执行、绩效目标完成情况、绩效目标设置质量等方面进行了综合评价。</w:t>
      </w:r>
    </w:p>
    <w:p>
      <w:pPr>
        <w:snapToGrid w:val="0"/>
        <w:spacing w:line="560" w:lineRule="exact"/>
        <w:ind w:firstLine="640" w:firstLineChars="200"/>
        <w:rPr>
          <w:rFonts w:hint="eastAsia" w:ascii="仿宋" w:hAnsi="仿宋" w:eastAsia="仿宋" w:cs="仿宋"/>
          <w:sz w:val="32"/>
          <w:szCs w:val="32"/>
        </w:rPr>
      </w:pPr>
      <w:r>
        <w:rPr>
          <w:rFonts w:hint="eastAsia" w:ascii="仿宋_GB2312" w:hAnsi="仿宋" w:eastAsia="仿宋_GB2312" w:cs="仿宋"/>
          <w:sz w:val="32"/>
          <w:szCs w:val="32"/>
        </w:rPr>
        <w:t>2.实施过程</w:t>
      </w:r>
    </w:p>
    <w:p>
      <w:pPr>
        <w:snapToGrid w:val="0"/>
        <w:spacing w:line="560" w:lineRule="exact"/>
        <w:ind w:firstLine="640" w:firstLineChars="200"/>
        <w:rPr>
          <w:rFonts w:ascii="仿宋" w:hAnsi="仿宋" w:eastAsia="仿宋" w:cs="仿宋"/>
          <w:sz w:val="32"/>
          <w:szCs w:val="32"/>
        </w:rPr>
      </w:pPr>
      <w:r>
        <w:rPr>
          <w:rFonts w:hint="eastAsia" w:ascii="仿宋_GB2312" w:hAnsi="仿宋" w:eastAsia="仿宋_GB2312" w:cs="仿宋"/>
          <w:sz w:val="32"/>
          <w:szCs w:val="32"/>
        </w:rPr>
        <w:t>本次绩效评价工作过程包括前期准备、组织实施、撰写评价报告三个阶段。</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(1)前期准备</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一是按照绩效评价工作要求，明确绩效评价的内容和范围，初步制定绩效评价工作方案。二是召开座谈会，对工作方案进行反复讨论并广泛征求相关部门和有关人员意见。三是对我院各预算项目单独进行打分自评，在资料搜集、信息核实、现场调研、访谈沟通等工作的基础上，得出绩效数据，准确计量和评判各项目实施后产生的经济效益、生态效益、社会效益和可持续影响，为最终形成评价结论奠定基础。</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(2)组织实施</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评价工作小组对项目绩效目标的相关佐证材料进行收集、梳理。第一，对相关资料进行查阅、核实、分析，确保所提供数据和资料真实、可靠。第二，将项目资料按照评价体系指标分类，形成资料清单。第三，逐一梳理各文件内容，对存在的问题予以说明。第四，与相关人员进行沟通，对照核实资料清单，确保项目资料完整性，保证项目资料、实施流程、存在的问题及重点信息同时展现。</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小组成员根据项目实际情况，建立绩效评价指标体系，并通过分析收集的数据、资料，对项目的实施进行评分，形成项目绩效评分表。</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(3)撰写绩效评价报告</w:t>
      </w:r>
    </w:p>
    <w:p>
      <w:pPr>
        <w:spacing w:line="560" w:lineRule="exact"/>
        <w:ind w:firstLine="640" w:firstLineChars="200"/>
        <w:rPr>
          <w:rFonts w:ascii="楷体" w:hAnsi="楷体" w:eastAsia="楷体" w:cs="楷体_GB2312"/>
          <w:bCs/>
          <w:sz w:val="32"/>
          <w:szCs w:val="32"/>
        </w:rPr>
      </w:pPr>
      <w:r>
        <w:rPr>
          <w:rFonts w:hint="eastAsia" w:ascii="仿宋_GB2312" w:hAnsi="仿宋" w:eastAsia="仿宋_GB2312" w:cs="仿宋"/>
          <w:sz w:val="32"/>
          <w:szCs w:val="32"/>
        </w:rPr>
        <w:t xml:space="preserve">根据项目绩效评价结果，撰写绩效评价报告，并形成绩效评价档案。   </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1"/>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通过行使检察权，对侦查机关的侦查活动、人民法院的审判活动、看守所等机关执行刑罚的活动，依法实行法律监督，维护司法公正。有效提高批捕、批准立案、批捕准确率；全面审结案件事实，核实证据，依法提起公诉、出庭提出审查意见，提高公诉案件审结率、出庭意见采纳率；对确有错误的刑事、民事判决裁定提起抗诉建议；积极开展公益诉讼；受理来信来访、举报、刑事申诉、国家赔偿、司法救助工作，受理民事监督案件，办理管辖的信访案件、举报案件、刑事申诉案件、国家赔偿、司法救助以及上级机关交办、转办、督办案件。构建依法有序信访秩序，及时依法解决群众诉求。提高执法水平和办案质量、提升检察机关法律监督能力。为检察机关工作顺利开展提供检务保障，努力建设公正、高效、权威的检察权运行机制。</w:t>
      </w:r>
    </w:p>
    <w:p>
      <w:pPr>
        <w:spacing w:line="560" w:lineRule="exact"/>
        <w:ind w:firstLine="640" w:firstLineChars="200"/>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lang w:eastAsia="zh-CN"/>
        </w:rPr>
        <w:t>本次纳入绩效评价的预算项目共</w:t>
      </w:r>
      <w:r>
        <w:rPr>
          <w:rFonts w:hint="eastAsia" w:ascii="仿宋" w:hAnsi="仿宋" w:eastAsia="仿宋"/>
          <w:sz w:val="32"/>
          <w:szCs w:val="32"/>
          <w:lang w:val="en-US" w:eastAsia="zh-CN"/>
        </w:rPr>
        <w:t>12个，各项目绩效目标、一级绩效指标、二级绩效指标及评价标准从项目库中提取，又根据项目特点和实际情况进行了完善，形成了新乐市人民检察院2023年度预算项目绩效自评表，年初设定的绩效指标基本都已达到预期值</w:t>
      </w:r>
      <w:r>
        <w:rPr>
          <w:rFonts w:hint="eastAsia" w:ascii="仿宋" w:hAnsi="仿宋" w:eastAsia="仿宋"/>
          <w:sz w:val="32"/>
          <w:szCs w:val="32"/>
        </w:rPr>
        <w:t>。</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具体参见绩效自评表。</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202</w:t>
      </w:r>
      <w:r>
        <w:rPr>
          <w:rFonts w:hint="eastAsia" w:ascii="仿宋_GB2312" w:hAnsi="仿宋" w:eastAsia="仿宋_GB2312" w:cs="仿宋"/>
          <w:sz w:val="32"/>
          <w:szCs w:val="32"/>
          <w:lang w:val="en-US" w:eastAsia="zh-CN"/>
        </w:rPr>
        <w:t>3</w:t>
      </w:r>
      <w:r>
        <w:rPr>
          <w:rFonts w:hint="eastAsia" w:ascii="仿宋_GB2312" w:hAnsi="仿宋" w:eastAsia="仿宋_GB2312" w:cs="仿宋"/>
          <w:sz w:val="32"/>
          <w:szCs w:val="32"/>
        </w:rPr>
        <w:t>年我院积极履职，通过加强预算收支管理，不断梳理内部管理流程，建立健全内部管理制度，部门整体支出管理水平得到提升。经自评，</w:t>
      </w:r>
      <w:r>
        <w:rPr>
          <w:rFonts w:hint="eastAsia" w:ascii="仿宋_GB2312" w:hAnsi="仿宋" w:eastAsia="仿宋_GB2312" w:cs="仿宋"/>
          <w:sz w:val="32"/>
          <w:szCs w:val="32"/>
          <w:lang w:val="en-US" w:eastAsia="zh-CN"/>
        </w:rPr>
        <w:t>12</w:t>
      </w:r>
      <w:r>
        <w:rPr>
          <w:rFonts w:hint="eastAsia" w:ascii="仿宋_GB2312" w:hAnsi="仿宋" w:eastAsia="仿宋_GB2312" w:cs="仿宋"/>
          <w:sz w:val="32"/>
          <w:szCs w:val="32"/>
        </w:rPr>
        <w:t>个项目自评得分均在90分以上，202</w:t>
      </w:r>
      <w:r>
        <w:rPr>
          <w:rFonts w:hint="eastAsia" w:ascii="仿宋_GB2312" w:hAnsi="仿宋" w:eastAsia="仿宋_GB2312" w:cs="仿宋"/>
          <w:sz w:val="32"/>
          <w:szCs w:val="32"/>
          <w:lang w:val="en-US" w:eastAsia="zh-CN"/>
        </w:rPr>
        <w:t>3</w:t>
      </w:r>
      <w:r>
        <w:rPr>
          <w:rFonts w:hint="eastAsia" w:ascii="仿宋_GB2312" w:hAnsi="仿宋" w:eastAsia="仿宋_GB2312" w:cs="仿宋"/>
          <w:sz w:val="32"/>
          <w:szCs w:val="32"/>
        </w:rPr>
        <w:t>年我院较好的完成了年度工作目标，综合评价等级为“优秀”。</w:t>
      </w:r>
    </w:p>
    <w:p>
      <w:pPr>
        <w:spacing w:line="560" w:lineRule="exact"/>
        <w:ind w:firstLine="640" w:firstLineChars="200"/>
        <w:rPr>
          <w:rFonts w:hint="eastAsia"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（一）存在的主要问题</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从自评情况看，有关项目总体立项规范，绩效目标明确，预算编制较为合理，预算执行及时，有效，资金及时到位，各项管理制度健全并且能有效执行，绩效目标得到较好实现，部门履职水平不断提高，但也存在部分项目产出指标低于预期、项目实施进展慢等问题。</w:t>
      </w:r>
    </w:p>
    <w:p>
      <w:pPr>
        <w:spacing w:line="560" w:lineRule="exact"/>
        <w:ind w:left="630"/>
        <w:rPr>
          <w:rFonts w:ascii="楷体" w:hAnsi="楷体" w:eastAsia="楷体" w:cs="楷体"/>
          <w:sz w:val="32"/>
          <w:szCs w:val="32"/>
        </w:rPr>
      </w:pPr>
      <w:r>
        <w:rPr>
          <w:rFonts w:hint="eastAsia" w:ascii="楷体_GB2312" w:hAnsi="楷体_GB2312" w:eastAsia="楷体_GB2312" w:cs="楷体_GB2312"/>
          <w:sz w:val="32"/>
          <w:szCs w:val="32"/>
        </w:rPr>
        <w:t>（二）针对问题提出具体的改进措施或建议</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1.强化绩效目标管理工作。充分挖掘项目实施的价值和意义，根据项目实际情况设置完善的绩效目标，做到绩效目标针对项目特点清晰明确且细化，有量化的绩效指标且能清晰反映绩效可实现程度，绩效目标依据充分。做好绩效监控管理工作，建立监控制度，确保绩效目标如期实现。</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2.多措并举提升预算执行率。建议市检察院相关部门年初应制定较为详细的资金使用明细和计划，有效保障下一年度的资金使用和项目实施，采取项目事前评估或其他方式对项目执行过程中可能发生的问题进行预测，有的放矢的采取相关措施保障计划顺利实施。</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w:t>
      </w:r>
    </w:p>
    <w:p>
      <w:pPr>
        <w:spacing w:line="560" w:lineRule="exact"/>
        <w:ind w:firstLine="640" w:firstLineChars="200"/>
        <w:rPr>
          <w:rFonts w:hint="eastAsia" w:ascii="仿宋_GB2312" w:hAnsi="仿宋" w:eastAsia="仿宋_GB2312" w:cs="仿宋"/>
          <w:sz w:val="32"/>
          <w:szCs w:val="32"/>
          <w:lang w:val="en-US" w:eastAsia="zh-CN"/>
        </w:rPr>
      </w:pPr>
      <w:r>
        <w:rPr>
          <w:rFonts w:hint="eastAsia" w:ascii="仿宋_GB2312" w:hAnsi="仿宋" w:eastAsia="仿宋_GB2312" w:cs="仿宋"/>
          <w:sz w:val="32"/>
          <w:szCs w:val="32"/>
          <w:lang w:val="en-US" w:eastAsia="zh-CN"/>
        </w:rPr>
        <w:t>朱军辉 副检察长</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林冠霖</w:t>
      </w:r>
      <w:r>
        <w:rPr>
          <w:rFonts w:hint="eastAsia" w:ascii="仿宋_GB2312" w:hAnsi="仿宋" w:eastAsia="仿宋_GB2312" w:cs="仿宋"/>
          <w:sz w:val="32"/>
          <w:szCs w:val="32"/>
        </w:rPr>
        <w:t xml:space="preserve"> </w:t>
      </w:r>
      <w:r>
        <w:rPr>
          <w:rFonts w:hint="eastAsia" w:ascii="仿宋_GB2312" w:hAnsi="仿宋" w:eastAsia="仿宋_GB2312" w:cs="仿宋"/>
          <w:sz w:val="32"/>
          <w:szCs w:val="32"/>
          <w:lang w:val="en-US" w:eastAsia="zh-CN"/>
        </w:rPr>
        <w:t>办公室副</w:t>
      </w:r>
      <w:r>
        <w:rPr>
          <w:rFonts w:hint="eastAsia" w:ascii="仿宋_GB2312" w:hAnsi="仿宋" w:eastAsia="仿宋_GB2312" w:cs="仿宋"/>
          <w:sz w:val="32"/>
          <w:szCs w:val="32"/>
        </w:rPr>
        <w:t>主任</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安雪伟</w:t>
      </w:r>
      <w:r>
        <w:rPr>
          <w:rFonts w:hint="eastAsia" w:ascii="仿宋_GB2312" w:hAnsi="仿宋" w:eastAsia="仿宋_GB2312" w:cs="仿宋"/>
          <w:sz w:val="32"/>
          <w:szCs w:val="32"/>
        </w:rPr>
        <w:t xml:space="preserve"> </w:t>
      </w:r>
      <w:r>
        <w:rPr>
          <w:rFonts w:hint="eastAsia" w:ascii="仿宋_GB2312" w:hAnsi="仿宋" w:eastAsia="仿宋_GB2312" w:cs="仿宋"/>
          <w:sz w:val="32"/>
          <w:szCs w:val="32"/>
          <w:lang w:val="en-US" w:eastAsia="zh-CN"/>
        </w:rPr>
        <w:t>办公室</w:t>
      </w:r>
      <w:r>
        <w:rPr>
          <w:rFonts w:hint="eastAsia" w:ascii="仿宋_GB2312" w:hAnsi="仿宋" w:eastAsia="仿宋_GB2312" w:cs="仿宋"/>
          <w:sz w:val="32"/>
          <w:szCs w:val="32"/>
        </w:rPr>
        <w:t>干警</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赵  云</w:t>
      </w:r>
      <w:r>
        <w:rPr>
          <w:rFonts w:hint="eastAsia" w:ascii="仿宋_GB2312" w:hAnsi="仿宋" w:eastAsia="仿宋_GB2312" w:cs="仿宋"/>
          <w:sz w:val="32"/>
          <w:szCs w:val="32"/>
        </w:rPr>
        <w:t xml:space="preserve"> </w:t>
      </w:r>
      <w:r>
        <w:rPr>
          <w:rFonts w:hint="eastAsia" w:ascii="仿宋_GB2312" w:hAnsi="仿宋" w:eastAsia="仿宋_GB2312" w:cs="仿宋"/>
          <w:sz w:val="32"/>
          <w:szCs w:val="32"/>
          <w:lang w:val="en-US" w:eastAsia="zh-CN"/>
        </w:rPr>
        <w:t>办公室</w:t>
      </w:r>
      <w:r>
        <w:rPr>
          <w:rFonts w:hint="eastAsia" w:ascii="仿宋_GB2312" w:hAnsi="仿宋" w:eastAsia="仿宋_GB2312" w:cs="仿宋"/>
          <w:sz w:val="32"/>
          <w:szCs w:val="32"/>
        </w:rPr>
        <w:t>干警</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刘  珊</w:t>
      </w:r>
      <w:r>
        <w:rPr>
          <w:rFonts w:hint="eastAsia" w:ascii="仿宋_GB2312" w:hAnsi="仿宋" w:eastAsia="仿宋_GB2312" w:cs="仿宋"/>
          <w:sz w:val="32"/>
          <w:szCs w:val="32"/>
        </w:rPr>
        <w:t xml:space="preserve"> </w:t>
      </w:r>
      <w:r>
        <w:rPr>
          <w:rFonts w:hint="eastAsia" w:ascii="仿宋_GB2312" w:hAnsi="仿宋" w:eastAsia="仿宋_GB2312" w:cs="仿宋"/>
          <w:sz w:val="32"/>
          <w:szCs w:val="32"/>
          <w:lang w:val="en-US" w:eastAsia="zh-CN"/>
        </w:rPr>
        <w:t>办公室会计</w:t>
      </w:r>
    </w:p>
    <w:p>
      <w:pPr>
        <w:adjustRightInd w:val="0"/>
        <w:snapToGrid w:val="0"/>
        <w:spacing w:line="560" w:lineRule="exact"/>
        <w:ind w:firstLine="640" w:firstLineChars="200"/>
        <w:rPr>
          <w:rFonts w:hint="eastAsia" w:ascii="仿宋_GB2312" w:hAnsi="黑体" w:eastAsia="仿宋_GB2312"/>
          <w:sz w:val="32"/>
          <w:szCs w:val="32"/>
        </w:rPr>
      </w:pPr>
      <w:r>
        <w:rPr>
          <w:rFonts w:hint="eastAsia" w:ascii="仿宋_GB2312" w:hAnsi="黑体" w:eastAsia="仿宋_GB2312"/>
          <w:sz w:val="32"/>
          <w:szCs w:val="32"/>
          <w:lang w:val="en-US" w:eastAsia="zh-CN"/>
        </w:rPr>
        <w:t xml:space="preserve">吴炳楠 </w:t>
      </w:r>
      <w:r>
        <w:rPr>
          <w:rFonts w:hint="eastAsia" w:ascii="仿宋_GB2312" w:hAnsi="仿宋" w:eastAsia="仿宋_GB2312" w:cs="仿宋"/>
          <w:sz w:val="32"/>
          <w:szCs w:val="32"/>
          <w:lang w:val="en-US" w:eastAsia="zh-CN"/>
        </w:rPr>
        <w:t>办公室出纳</w:t>
      </w:r>
    </w:p>
    <w:p>
      <w:pPr>
        <w:adjustRightInd w:val="0"/>
        <w:snapToGrid w:val="0"/>
        <w:spacing w:line="560" w:lineRule="exact"/>
        <w:ind w:firstLine="640" w:firstLineChars="200"/>
        <w:rPr>
          <w:rFonts w:hint="eastAsia" w:ascii="仿宋_GB2312" w:hAnsi="黑体" w:eastAsia="仿宋_GB2312"/>
          <w:sz w:val="32"/>
          <w:szCs w:val="32"/>
        </w:rPr>
      </w:pPr>
    </w:p>
    <w:p>
      <w:pPr>
        <w:adjustRightInd w:val="0"/>
        <w:snapToGrid w:val="0"/>
        <w:spacing w:line="560" w:lineRule="exact"/>
        <w:ind w:firstLine="640" w:firstLineChars="200"/>
        <w:rPr>
          <w:rFonts w:hint="eastAsia" w:ascii="仿宋_GB2312" w:hAnsi="黑体" w:eastAsia="仿宋_GB2312"/>
          <w:sz w:val="32"/>
          <w:szCs w:val="32"/>
        </w:rPr>
      </w:pPr>
    </w:p>
    <w:p>
      <w:pPr>
        <w:adjustRightInd w:val="0"/>
        <w:snapToGrid w:val="0"/>
        <w:spacing w:line="560" w:lineRule="exact"/>
        <w:ind w:firstLine="640" w:firstLineChars="200"/>
        <w:jc w:val="right"/>
        <w:rPr>
          <w:rFonts w:hint="eastAsia" w:ascii="仿宋_GB2312" w:hAnsi="黑体" w:eastAsia="仿宋_GB2312"/>
          <w:sz w:val="32"/>
          <w:szCs w:val="32"/>
        </w:rPr>
      </w:pPr>
      <w:r>
        <w:rPr>
          <w:rFonts w:hint="eastAsia" w:ascii="仿宋_GB2312" w:hAnsi="黑体" w:eastAsia="仿宋_GB2312"/>
          <w:sz w:val="32"/>
          <w:szCs w:val="32"/>
          <w:lang w:val="en-US" w:eastAsia="zh-CN"/>
        </w:rPr>
        <w:t>新乐</w:t>
      </w:r>
      <w:r>
        <w:rPr>
          <w:rFonts w:hint="eastAsia" w:ascii="仿宋_GB2312" w:hAnsi="黑体" w:eastAsia="仿宋_GB2312"/>
          <w:sz w:val="32"/>
          <w:szCs w:val="32"/>
        </w:rPr>
        <w:t>市人民检察院</w:t>
      </w:r>
    </w:p>
    <w:p>
      <w:pPr>
        <w:wordWrap w:val="0"/>
        <w:adjustRightInd w:val="0"/>
        <w:snapToGrid w:val="0"/>
        <w:spacing w:line="560" w:lineRule="exact"/>
        <w:ind w:firstLine="640" w:firstLineChars="200"/>
        <w:jc w:val="right"/>
        <w:rPr>
          <w:rFonts w:ascii="仿宋_GB2312" w:hAnsi="仿宋" w:eastAsia="仿宋_GB2312"/>
        </w:rPr>
      </w:pPr>
      <w:r>
        <w:rPr>
          <w:rFonts w:ascii="仿宋_GB2312" w:hAnsi="黑体" w:eastAsia="仿宋_GB2312"/>
          <w:sz w:val="32"/>
          <w:szCs w:val="32"/>
        </w:rPr>
        <w:t>202</w:t>
      </w:r>
      <w:r>
        <w:rPr>
          <w:rFonts w:hint="eastAsia" w:ascii="仿宋_GB2312" w:hAnsi="黑体" w:eastAsia="仿宋_GB2312"/>
          <w:sz w:val="32"/>
          <w:szCs w:val="32"/>
          <w:lang w:val="en-US" w:eastAsia="zh-CN"/>
        </w:rPr>
        <w:t>4</w:t>
      </w:r>
      <w:r>
        <w:rPr>
          <w:rFonts w:ascii="仿宋_GB2312" w:hAnsi="黑体" w:eastAsia="仿宋_GB2312"/>
          <w:sz w:val="32"/>
          <w:szCs w:val="32"/>
        </w:rPr>
        <w:t>年</w:t>
      </w:r>
      <w:r>
        <w:rPr>
          <w:rFonts w:hint="eastAsia" w:ascii="仿宋_GB2312" w:hAnsi="黑体" w:eastAsia="仿宋_GB2312"/>
          <w:sz w:val="32"/>
          <w:szCs w:val="32"/>
        </w:rPr>
        <w:t>4</w:t>
      </w:r>
      <w:r>
        <w:rPr>
          <w:rFonts w:ascii="仿宋_GB2312" w:hAnsi="黑体" w:eastAsia="仿宋_GB2312"/>
          <w:sz w:val="32"/>
          <w:szCs w:val="32"/>
        </w:rPr>
        <w:t>月</w:t>
      </w:r>
      <w:r>
        <w:rPr>
          <w:rFonts w:hint="eastAsia" w:ascii="仿宋_GB2312" w:hAnsi="黑体" w:eastAsia="仿宋_GB2312"/>
          <w:sz w:val="32"/>
          <w:szCs w:val="32"/>
          <w:lang w:val="en-US" w:eastAsia="zh-CN"/>
        </w:rPr>
        <w:t>2</w:t>
      </w:r>
      <w:r>
        <w:rPr>
          <w:rFonts w:ascii="仿宋_GB2312" w:hAnsi="黑体" w:eastAsia="仿宋_GB2312"/>
          <w:sz w:val="32"/>
          <w:szCs w:val="32"/>
        </w:rPr>
        <w:t>日</w:t>
      </w:r>
      <w:r>
        <w:rPr>
          <w:rFonts w:hint="eastAsia" w:ascii="仿宋_GB2312" w:hAnsi="黑体" w:eastAsia="仿宋_GB2312"/>
          <w:sz w:val="32"/>
          <w:szCs w:val="32"/>
        </w:rPr>
        <w:t xml:space="preserve"> </w:t>
      </w: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FangSong_GB2312">
    <w:altName w:val="仿宋"/>
    <w:panose1 w:val="02010609060101010101"/>
    <w:charset w:val="86"/>
    <w:family w:val="modern"/>
    <w:pitch w:val="default"/>
    <w:sig w:usb0="00000000" w:usb1="00000000" w:usb2="00000016" w:usb3="00000000" w:csb0="00040001" w:csb1="00000000"/>
  </w:font>
  <w:font w:name="方正仿宋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BCdjLkrgEAAFgD&#10;AAAOAAAAAAAAAAEAIAAAAB4BAABkcnMvZTJvRG9jLnhtbFBLBQYAAAAABgAGAFkBAAA+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7"/>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3F11506"/>
    <w:rsid w:val="046F331E"/>
    <w:rsid w:val="07956271"/>
    <w:rsid w:val="07FC45FC"/>
    <w:rsid w:val="09721397"/>
    <w:rsid w:val="0BB63BED"/>
    <w:rsid w:val="0D9B0E83"/>
    <w:rsid w:val="0EB97A43"/>
    <w:rsid w:val="0EBD2122"/>
    <w:rsid w:val="0F214EAE"/>
    <w:rsid w:val="118C220A"/>
    <w:rsid w:val="11B71E6A"/>
    <w:rsid w:val="18E20E29"/>
    <w:rsid w:val="1A3A2003"/>
    <w:rsid w:val="1AAF0063"/>
    <w:rsid w:val="1BE140DE"/>
    <w:rsid w:val="1E90668E"/>
    <w:rsid w:val="223E5269"/>
    <w:rsid w:val="235A4C37"/>
    <w:rsid w:val="248C197D"/>
    <w:rsid w:val="252959AF"/>
    <w:rsid w:val="277A6671"/>
    <w:rsid w:val="284D5C42"/>
    <w:rsid w:val="28FF12A3"/>
    <w:rsid w:val="292D35B7"/>
    <w:rsid w:val="2DF14F49"/>
    <w:rsid w:val="2E535F33"/>
    <w:rsid w:val="33EB6CFF"/>
    <w:rsid w:val="35A12947"/>
    <w:rsid w:val="37387040"/>
    <w:rsid w:val="39775AB6"/>
    <w:rsid w:val="3B625C0A"/>
    <w:rsid w:val="3CED0D40"/>
    <w:rsid w:val="3CEE1963"/>
    <w:rsid w:val="41EF2C76"/>
    <w:rsid w:val="421E57E0"/>
    <w:rsid w:val="436B78D3"/>
    <w:rsid w:val="49907377"/>
    <w:rsid w:val="49C56185"/>
    <w:rsid w:val="4C9C27FE"/>
    <w:rsid w:val="4D0640CC"/>
    <w:rsid w:val="4D7116C5"/>
    <w:rsid w:val="4E6405BD"/>
    <w:rsid w:val="512260B4"/>
    <w:rsid w:val="52BD6ACB"/>
    <w:rsid w:val="55537534"/>
    <w:rsid w:val="561A74F1"/>
    <w:rsid w:val="597244E8"/>
    <w:rsid w:val="59913B73"/>
    <w:rsid w:val="5EB71C30"/>
    <w:rsid w:val="5ECF7D63"/>
    <w:rsid w:val="5F8C634D"/>
    <w:rsid w:val="62FF4AF7"/>
    <w:rsid w:val="666B49EA"/>
    <w:rsid w:val="66AF0CE5"/>
    <w:rsid w:val="67336F50"/>
    <w:rsid w:val="676234AE"/>
    <w:rsid w:val="6AC537CF"/>
    <w:rsid w:val="6E5B14A6"/>
    <w:rsid w:val="6FFA64BB"/>
    <w:rsid w:val="70267FAA"/>
    <w:rsid w:val="711B255E"/>
    <w:rsid w:val="783C382A"/>
    <w:rsid w:val="789A3DDF"/>
    <w:rsid w:val="798E66CF"/>
    <w:rsid w:val="7BB51E06"/>
    <w:rsid w:val="7C387F7C"/>
    <w:rsid w:val="7D0E5A79"/>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customStyle="1" w:styleId="6">
    <w:name w:val="fontstyle31"/>
    <w:basedOn w:val="4"/>
    <w:qFormat/>
    <w:uiPriority w:val="0"/>
    <w:rPr>
      <w:rFonts w:hint="default" w:ascii="FangSong_GB2312" w:hAnsi="FangSong_GB2312"/>
      <w:color w:val="000000"/>
      <w:sz w:val="24"/>
      <w:szCs w:val="24"/>
    </w:rPr>
  </w:style>
  <w:style w:type="paragraph" w:customStyle="1" w:styleId="7">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ScaleCrop>false</ScaleCrop>
  <LinksUpToDate>false</LinksUpToDate>
  <CharactersWithSpaces>669</CharactersWithSpaces>
  <Application>WPS Office_10.1.0.7224_F1E327BC-269C-435d-A152-05C5408002CA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刘珊</cp:lastModifiedBy>
  <cp:lastPrinted>2024-03-06T07:40:00Z</cp:lastPrinted>
  <dcterms:modified xsi:type="dcterms:W3CDTF">2025-05-19T03:34:18Z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2052-10.1.0.7224</vt:lpwstr>
  </property>
  <property fmtid="{D5CDD505-2E9C-101B-9397-08002B2CF9AE}" pid="3" name="ICV">
    <vt:lpwstr>96934721B1514D3FBAA28020338CE855_12</vt:lpwstr>
  </property>
</Properties>
</file>