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0" w:lineRule="exact"/>
        <w:jc w:val="center"/>
        <w:textAlignment w:val="auto"/>
        <w:rPr>
          <w:rFonts w:hint="default" w:ascii="Times New Roman" w:hAnsi="Times New Roman" w:cs="Times New Roman"/>
          <w:b/>
          <w:bCs/>
          <w:sz w:val="44"/>
          <w:szCs w:val="44"/>
        </w:rPr>
      </w:pPr>
    </w:p>
    <w:p>
      <w:pPr>
        <w:pStyle w:val="2"/>
        <w:rPr>
          <w:rFonts w:hint="default" w:ascii="Times New Roman" w:hAnsi="Times New Roman" w:cs="Times New Roman"/>
          <w:b/>
          <w:bCs/>
          <w:sz w:val="44"/>
          <w:szCs w:val="44"/>
        </w:rPr>
      </w:pPr>
    </w:p>
    <w:p>
      <w:pPr>
        <w:rPr>
          <w:rFonts w:hint="default"/>
        </w:rPr>
      </w:pPr>
    </w:p>
    <w:p>
      <w:pPr>
        <w:keepNext w:val="0"/>
        <w:keepLines w:val="0"/>
        <w:pageBreakBefore w:val="0"/>
        <w:widowControl w:val="0"/>
        <w:kinsoku/>
        <w:wordWrap/>
        <w:overflowPunct/>
        <w:topLinePunct w:val="0"/>
        <w:autoSpaceDE/>
        <w:autoSpaceDN/>
        <w:bidi w:val="0"/>
        <w:spacing w:line="580" w:lineRule="exact"/>
        <w:jc w:val="center"/>
        <w:textAlignment w:val="auto"/>
        <w:rPr>
          <w:rFonts w:hint="default" w:ascii="Times New Roman" w:hAnsi="Times New Roman" w:cs="Times New Roman" w:eastAsiaTheme="majorEastAsia"/>
          <w:b/>
          <w:bCs/>
          <w:color w:val="auto"/>
          <w:sz w:val="44"/>
          <w:szCs w:val="44"/>
          <w:lang w:val="en-US" w:eastAsia="zh-CN"/>
        </w:rPr>
      </w:pPr>
      <w:r>
        <w:rPr>
          <w:rFonts w:hint="default" w:ascii="Times New Roman" w:hAnsi="Times New Roman" w:cs="Times New Roman" w:eastAsiaTheme="majorEastAsia"/>
          <w:b/>
          <w:bCs/>
          <w:color w:val="auto"/>
          <w:sz w:val="44"/>
          <w:szCs w:val="44"/>
          <w:lang w:val="en-US" w:eastAsia="zh-CN"/>
        </w:rPr>
        <w:t>石家庄市轨道交通建设办公室</w:t>
      </w:r>
    </w:p>
    <w:p>
      <w:pPr>
        <w:keepNext w:val="0"/>
        <w:keepLines w:val="0"/>
        <w:pageBreakBefore w:val="0"/>
        <w:widowControl w:val="0"/>
        <w:kinsoku/>
        <w:wordWrap/>
        <w:overflowPunct/>
        <w:topLinePunct w:val="0"/>
        <w:autoSpaceDE/>
        <w:autoSpaceDN/>
        <w:bidi w:val="0"/>
        <w:spacing w:line="580" w:lineRule="exact"/>
        <w:jc w:val="center"/>
        <w:textAlignment w:val="auto"/>
        <w:rPr>
          <w:rFonts w:hint="default" w:ascii="Times New Roman" w:hAnsi="Times New Roman" w:cs="Times New Roman"/>
          <w:b/>
          <w:bCs/>
          <w:sz w:val="44"/>
          <w:szCs w:val="44"/>
        </w:rPr>
      </w:pPr>
      <w:r>
        <w:rPr>
          <w:rFonts w:hint="default" w:ascii="Times New Roman" w:hAnsi="Times New Roman" w:cs="Times New Roman"/>
          <w:b/>
          <w:bCs/>
          <w:sz w:val="44"/>
          <w:szCs w:val="44"/>
        </w:rPr>
        <w:t>202</w:t>
      </w:r>
      <w:r>
        <w:rPr>
          <w:rFonts w:hint="default" w:ascii="Times New Roman" w:hAnsi="Times New Roman" w:cs="Times New Roman"/>
          <w:b/>
          <w:bCs/>
          <w:sz w:val="44"/>
          <w:szCs w:val="44"/>
          <w:lang w:val="en-US" w:eastAsia="zh-CN"/>
        </w:rPr>
        <w:t>4</w:t>
      </w:r>
      <w:r>
        <w:rPr>
          <w:rFonts w:hint="default" w:ascii="Times New Roman" w:hAnsi="Times New Roman" w:cs="Times New Roman"/>
          <w:b/>
          <w:bCs/>
          <w:sz w:val="44"/>
          <w:szCs w:val="44"/>
        </w:rPr>
        <w:t>年度整体支出绩效自评报告</w:t>
      </w:r>
    </w:p>
    <w:p>
      <w:pPr>
        <w:keepNext w:val="0"/>
        <w:keepLines w:val="0"/>
        <w:pageBreakBefore w:val="0"/>
        <w:widowControl w:val="0"/>
        <w:kinsoku/>
        <w:wordWrap/>
        <w:overflowPunct/>
        <w:topLinePunct w:val="0"/>
        <w:autoSpaceDE/>
        <w:autoSpaceDN/>
        <w:bidi w:val="0"/>
        <w:spacing w:line="580" w:lineRule="exact"/>
        <w:jc w:val="center"/>
        <w:textAlignment w:val="auto"/>
        <w:rPr>
          <w:rFonts w:hint="default" w:ascii="Times New Roman" w:hAnsi="Times New Roman" w:eastAsia="华文楷体"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贯彻落实市委市政府《关于全面落实预算绩效管理的实施意见》（石发﹝2019﹞8号）文件精神，遵循</w:t>
      </w:r>
      <w:r>
        <w:rPr>
          <w:rFonts w:hint="eastAsia" w:ascii="仿宋_GB2312" w:hAnsi="仿宋_GB2312" w:eastAsia="仿宋_GB2312" w:cs="仿宋_GB2312"/>
          <w:sz w:val="32"/>
          <w:szCs w:val="32"/>
        </w:rPr>
        <w:t>“科学性、规范性、客观性和公正性”的</w:t>
      </w:r>
      <w:r>
        <w:rPr>
          <w:rFonts w:hint="default" w:ascii="Times New Roman" w:hAnsi="Times New Roman" w:eastAsia="仿宋" w:cs="Times New Roman"/>
          <w:sz w:val="32"/>
          <w:szCs w:val="32"/>
        </w:rPr>
        <w:t>原则，对</w:t>
      </w:r>
      <w:r>
        <w:rPr>
          <w:rFonts w:hint="default" w:ascii="Times New Roman" w:hAnsi="Times New Roman" w:eastAsia="仿宋_GB2312" w:cs="Times New Roman"/>
          <w:sz w:val="32"/>
          <w:szCs w:val="32"/>
        </w:rPr>
        <w:t>石家庄市轨道交通建设办公室</w:t>
      </w:r>
      <w:r>
        <w:rPr>
          <w:rFonts w:hint="default" w:ascii="Times New Roman" w:hAnsi="Times New Roman" w:eastAsia="仿宋" w:cs="Times New Roman"/>
          <w:sz w:val="32"/>
          <w:szCs w:val="32"/>
        </w:rPr>
        <w:t>202</w:t>
      </w:r>
      <w:r>
        <w:rPr>
          <w:rFonts w:hint="default" w:ascii="Times New Roman" w:hAnsi="Times New Roman" w:eastAsia="仿宋" w:cs="Times New Roman"/>
          <w:sz w:val="32"/>
          <w:szCs w:val="32"/>
          <w:lang w:val="en-US" w:eastAsia="zh-CN"/>
        </w:rPr>
        <w:t>4</w:t>
      </w:r>
      <w:r>
        <w:rPr>
          <w:rFonts w:hint="default" w:ascii="Times New Roman" w:hAnsi="Times New Roman" w:eastAsia="仿宋" w:cs="Times New Roman"/>
          <w:sz w:val="32"/>
          <w:szCs w:val="32"/>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80" w:lineRule="exact"/>
        <w:textAlignment w:val="auto"/>
        <w:rPr>
          <w:rFonts w:hint="default" w:ascii="Times New Roman" w:hAnsi="Times New Roman" w:eastAsia="黑体" w:cs="Times New Roman"/>
          <w:b/>
          <w:bCs/>
          <w:sz w:val="32"/>
          <w:szCs w:val="36"/>
        </w:rPr>
      </w:pPr>
      <w:r>
        <w:rPr>
          <w:rFonts w:hint="default" w:ascii="Times New Roman" w:hAnsi="Times New Roman" w:eastAsia="黑体" w:cs="Times New Roman"/>
          <w:sz w:val="32"/>
          <w:szCs w:val="32"/>
        </w:rPr>
        <w:t xml:space="preserve">     一、部门</w:t>
      </w:r>
      <w:r>
        <w:rPr>
          <w:rFonts w:hint="default" w:ascii="Times New Roman" w:hAnsi="Times New Roman" w:eastAsia="黑体" w:cs="Times New Roman"/>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both"/>
        <w:textAlignment w:val="auto"/>
        <w:rPr>
          <w:rFonts w:hint="default" w:ascii="Times New Roman" w:hAnsi="Times New Roman" w:eastAsia="楷体" w:cs="Times New Roman"/>
          <w:b/>
          <w:bCs w:val="0"/>
          <w:sz w:val="32"/>
          <w:szCs w:val="32"/>
        </w:rPr>
      </w:pPr>
      <w:r>
        <w:rPr>
          <w:rFonts w:hint="default" w:ascii="Times New Roman" w:hAnsi="Times New Roman" w:eastAsia="楷体" w:cs="Times New Roman"/>
          <w:b/>
          <w:bCs w:val="0"/>
          <w:sz w:val="32"/>
          <w:szCs w:val="32"/>
        </w:rPr>
        <w:t>（一）部门概况</w:t>
      </w:r>
    </w:p>
    <w:p>
      <w:pPr>
        <w:keepNext w:val="0"/>
        <w:keepLines w:val="0"/>
        <w:pageBreakBefore w:val="0"/>
        <w:widowControl w:val="0"/>
        <w:kinsoku/>
        <w:wordWrap/>
        <w:overflowPunct/>
        <w:topLinePunct w:val="0"/>
        <w:autoSpaceDE/>
        <w:autoSpaceDN/>
        <w:bidi w:val="0"/>
        <w:adjustRightInd/>
        <w:snapToGrid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rPr>
        <w:t>1</w:t>
      </w:r>
      <w:r>
        <w:rPr>
          <w:rFonts w:hint="default" w:ascii="Times New Roman" w:hAnsi="Times New Roman" w:eastAsia="仿宋_GB2312" w:cs="Times New Roman"/>
          <w:b/>
          <w:bCs/>
          <w:color w:val="auto"/>
          <w:sz w:val="32"/>
          <w:szCs w:val="32"/>
          <w:lang w:val="en-US" w:eastAsia="zh-CN"/>
        </w:rPr>
        <w:t>.部门职能</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（1）贯彻执行国家、省、市有关城市轨道交通的方针、政策和法律法规，研究拟订全市轨道交通发展战略。</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（2）负责轨道交通线网规划和建设规划的编制工作。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（3）代表市政府下达轨道交通建设任务，行使协调、监督和检查职责，推动市直各部门、各县（市、区）和各轨道交通建设单位共同抓好轨道交通建设。</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（4）负责审定我市轨道交通建设模式。</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（5）负责监管轨道交通运营工作。</w:t>
      </w:r>
    </w:p>
    <w:p>
      <w:pPr>
        <w:keepNext w:val="0"/>
        <w:keepLines w:val="0"/>
        <w:pageBreakBefore w:val="0"/>
        <w:widowControl w:val="0"/>
        <w:numPr>
          <w:ilvl w:val="0"/>
          <w:numId w:val="0"/>
        </w:numPr>
        <w:kinsoku/>
        <w:wordWrap/>
        <w:overflowPunct/>
        <w:topLinePunct w:val="0"/>
        <w:autoSpaceDE/>
        <w:autoSpaceDN/>
        <w:bidi w:val="0"/>
        <w:adjustRightInd/>
        <w:spacing w:line="580" w:lineRule="exact"/>
        <w:ind w:left="0" w:leftChars="0" w:firstLine="640" w:firstLineChars="200"/>
        <w:jc w:val="both"/>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（6）完成市委、市政府交办的其它工作。</w:t>
      </w:r>
    </w:p>
    <w:p>
      <w:pPr>
        <w:keepNext w:val="0"/>
        <w:keepLines w:val="0"/>
        <w:pageBreakBefore w:val="0"/>
        <w:widowControl w:val="0"/>
        <w:numPr>
          <w:ilvl w:val="0"/>
          <w:numId w:val="0"/>
        </w:numPr>
        <w:kinsoku/>
        <w:wordWrap/>
        <w:overflowPunct/>
        <w:topLinePunct w:val="0"/>
        <w:autoSpaceDE/>
        <w:autoSpaceDN/>
        <w:bidi w:val="0"/>
        <w:adjustRightInd/>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lang w:eastAsia="zh-CN"/>
        </w:rPr>
      </w:pPr>
      <w:r>
        <w:rPr>
          <w:rFonts w:hint="default" w:ascii="Times New Roman" w:hAnsi="Times New Roman" w:eastAsia="仿宋_GB2312" w:cs="Times New Roman"/>
          <w:b/>
          <w:bCs/>
          <w:color w:val="auto"/>
          <w:sz w:val="32"/>
          <w:szCs w:val="32"/>
          <w:lang w:val="en-US" w:eastAsia="zh-CN"/>
        </w:rPr>
        <w:t>2.组织机构及</w:t>
      </w:r>
      <w:r>
        <w:rPr>
          <w:rFonts w:hint="default" w:ascii="Times New Roman" w:hAnsi="Times New Roman" w:eastAsia="仿宋_GB2312" w:cs="Times New Roman"/>
          <w:b/>
          <w:bCs/>
          <w:color w:val="auto"/>
          <w:sz w:val="32"/>
          <w:szCs w:val="32"/>
        </w:rPr>
        <w:t>人员情况</w:t>
      </w:r>
    </w:p>
    <w:p>
      <w:pPr>
        <w:keepNext w:val="0"/>
        <w:keepLines w:val="0"/>
        <w:pageBreakBefore w:val="0"/>
        <w:widowControl w:val="0"/>
        <w:numPr>
          <w:ilvl w:val="-1"/>
          <w:numId w:val="0"/>
        </w:numPr>
        <w:kinsoku/>
        <w:wordWrap/>
        <w:overflowPunct/>
        <w:topLinePunct w:val="0"/>
        <w:autoSpaceDE/>
        <w:autoSpaceDN/>
        <w:bidi w:val="0"/>
        <w:adjustRightInd/>
        <w:snapToGrid w:val="0"/>
        <w:spacing w:line="580" w:lineRule="exact"/>
        <w:ind w:left="0" w:leftChars="0" w:firstLine="640" w:firstLineChars="200"/>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lang w:val="en-US" w:eastAsia="zh-CN"/>
        </w:rPr>
        <w:t>市轨道办单位性质为事业单位，规格正处（县）级，经费形式财政性资金基本保证，执行政府会计制度。单位编制33人，2024年实有在职人数29人，退休4人。</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lang w:val="en-US" w:eastAsia="zh-CN"/>
        </w:rPr>
        <w:t>3.</w:t>
      </w:r>
      <w:r>
        <w:rPr>
          <w:rFonts w:hint="default" w:ascii="Times New Roman" w:hAnsi="Times New Roman" w:eastAsia="仿宋_GB2312" w:cs="Times New Roman"/>
          <w:b/>
          <w:bCs/>
          <w:color w:val="auto"/>
          <w:sz w:val="32"/>
          <w:szCs w:val="32"/>
          <w:highlight w:val="none"/>
        </w:rPr>
        <w:t>资产情况</w:t>
      </w:r>
    </w:p>
    <w:p>
      <w:pPr>
        <w:pStyle w:val="2"/>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cs="Times New Roman"/>
          <w:color w:val="auto"/>
          <w:sz w:val="32"/>
          <w:szCs w:val="32"/>
          <w:highlight w:val="none"/>
          <w:lang w:val="en-US" w:eastAsia="zh-CN"/>
        </w:rPr>
        <w:t>截至</w:t>
      </w:r>
      <w:bookmarkStart w:id="3" w:name="_GoBack"/>
      <w:bookmarkEnd w:id="3"/>
      <w:r>
        <w:rPr>
          <w:rFonts w:hint="default" w:ascii="Times New Roman" w:hAnsi="Times New Roman" w:eastAsia="仿宋_GB2312" w:cs="Times New Roman"/>
          <w:color w:val="auto"/>
          <w:sz w:val="32"/>
          <w:szCs w:val="32"/>
          <w:highlight w:val="none"/>
          <w:lang w:val="en-US" w:eastAsia="zh-CN"/>
        </w:rPr>
        <w:t>202</w:t>
      </w:r>
      <w:r>
        <w:rPr>
          <w:rFonts w:hint="default"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val="en-US" w:eastAsia="zh-CN"/>
        </w:rPr>
        <w:t>年底，我部门</w:t>
      </w:r>
      <w:r>
        <w:rPr>
          <w:rFonts w:hint="default" w:ascii="Times New Roman" w:hAnsi="Times New Roman" w:eastAsia="仿宋_GB2312" w:cs="Times New Roman"/>
          <w:color w:val="auto"/>
          <w:sz w:val="32"/>
          <w:szCs w:val="32"/>
          <w:highlight w:val="none"/>
        </w:rPr>
        <w:t>资产总计</w:t>
      </w:r>
      <w:r>
        <w:rPr>
          <w:rFonts w:hint="default" w:ascii="Times New Roman" w:hAnsi="Times New Roman" w:eastAsia="仿宋_GB2312" w:cs="Times New Roman"/>
          <w:color w:val="000000" w:themeColor="text1"/>
          <w:sz w:val="32"/>
          <w:szCs w:val="32"/>
          <w:lang w:val="en-US" w:eastAsia="zh-CN"/>
        </w:rPr>
        <w:t>26.10</w:t>
      </w:r>
      <w:r>
        <w:rPr>
          <w:rFonts w:hint="default" w:ascii="Times New Roman" w:hAnsi="Times New Roman" w:eastAsia="仿宋_GB2312" w:cs="Times New Roman"/>
          <w:color w:val="auto"/>
          <w:sz w:val="32"/>
          <w:szCs w:val="32"/>
          <w:highlight w:val="none"/>
        </w:rPr>
        <w:t>万元，其中：货币资</w:t>
      </w:r>
      <w:r>
        <w:rPr>
          <w:rFonts w:hint="default" w:ascii="Times New Roman" w:hAnsi="Times New Roman" w:eastAsia="仿宋_GB2312" w:cs="Times New Roman"/>
          <w:b w:val="0"/>
          <w:bCs w:val="0"/>
          <w:color w:val="auto"/>
          <w:sz w:val="32"/>
          <w:szCs w:val="32"/>
          <w:highlight w:val="none"/>
        </w:rPr>
        <w:t>金</w:t>
      </w:r>
      <w:r>
        <w:rPr>
          <w:rFonts w:hint="default" w:ascii="Times New Roman" w:hAnsi="Times New Roman" w:eastAsia="仿宋_GB2312" w:cs="Times New Roman"/>
          <w:color w:val="000000" w:themeColor="text1"/>
          <w:sz w:val="32"/>
          <w:szCs w:val="32"/>
          <w:lang w:val="en-US" w:eastAsia="zh-CN"/>
        </w:rPr>
        <w:t>0.98</w:t>
      </w:r>
      <w:r>
        <w:rPr>
          <w:rFonts w:hint="default" w:ascii="Times New Roman" w:hAnsi="Times New Roman" w:eastAsia="仿宋_GB2312" w:cs="Times New Roman"/>
          <w:b w:val="0"/>
          <w:bCs w:val="0"/>
          <w:color w:val="auto"/>
          <w:sz w:val="32"/>
          <w:szCs w:val="32"/>
          <w:highlight w:val="none"/>
        </w:rPr>
        <w:t>万元，固定资产净值</w:t>
      </w:r>
      <w:r>
        <w:rPr>
          <w:rFonts w:hint="default" w:ascii="Times New Roman" w:hAnsi="Times New Roman" w:eastAsia="仿宋_GB2312" w:cs="Times New Roman"/>
          <w:color w:val="000000" w:themeColor="text1"/>
          <w:sz w:val="32"/>
          <w:szCs w:val="32"/>
          <w:lang w:val="en-US" w:eastAsia="zh-CN"/>
        </w:rPr>
        <w:t>24.31</w:t>
      </w:r>
      <w:r>
        <w:rPr>
          <w:rFonts w:hint="default" w:ascii="Times New Roman" w:hAnsi="Times New Roman" w:eastAsia="仿宋_GB2312" w:cs="Times New Roman"/>
          <w:b w:val="0"/>
          <w:bCs w:val="0"/>
          <w:color w:val="auto"/>
          <w:sz w:val="32"/>
          <w:szCs w:val="32"/>
          <w:highlight w:val="none"/>
        </w:rPr>
        <w:t>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580" w:lineRule="exact"/>
        <w:ind w:firstLine="643" w:firstLineChars="200"/>
        <w:jc w:val="both"/>
        <w:textAlignment w:val="auto"/>
        <w:rPr>
          <w:rFonts w:hint="default" w:ascii="Times New Roman" w:hAnsi="Times New Roman" w:eastAsia="楷体" w:cs="Times New Roman"/>
          <w:b/>
          <w:bCs/>
          <w:sz w:val="32"/>
          <w:szCs w:val="32"/>
        </w:rPr>
      </w:pPr>
      <w:r>
        <w:rPr>
          <w:rFonts w:hint="default" w:ascii="Times New Roman" w:hAnsi="Times New Roman" w:eastAsia="楷体" w:cs="Times New Roman"/>
          <w:b/>
          <w:bCs/>
          <w:sz w:val="32"/>
          <w:szCs w:val="32"/>
        </w:rPr>
        <w:t>部门收支预决算情况</w:t>
      </w:r>
    </w:p>
    <w:p>
      <w:pPr>
        <w:keepNext w:val="0"/>
        <w:keepLines w:val="0"/>
        <w:pageBreakBefore w:val="0"/>
        <w:widowControl w:val="0"/>
        <w:kinsoku/>
        <w:wordWrap/>
        <w:overflowPunct/>
        <w:topLinePunct w:val="0"/>
        <w:autoSpaceDE/>
        <w:autoSpaceDN/>
        <w:bidi w:val="0"/>
        <w:adjustRightInd/>
        <w:snapToGrid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val="en-US" w:eastAsia="zh-CN"/>
        </w:rPr>
        <w:t>1.</w:t>
      </w:r>
      <w:r>
        <w:rPr>
          <w:rFonts w:hint="default" w:ascii="Times New Roman" w:hAnsi="Times New Roman" w:eastAsia="仿宋_GB2312" w:cs="Times New Roman"/>
          <w:b/>
          <w:bCs/>
          <w:color w:val="auto"/>
          <w:sz w:val="32"/>
          <w:szCs w:val="32"/>
          <w:highlight w:val="none"/>
        </w:rPr>
        <w:t>收入支出预算安排情况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我部门2024年部门年初预算收入安排240734.31万元，支出安排240734.31万元。2024年部门预算收支较2023年增加124674.76万元，主要原因是项目经费的增加。</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sz w:val="32"/>
          <w:szCs w:val="32"/>
          <w:highlight w:val="none"/>
          <w:lang w:val="en-US" w:eastAsia="zh-CN"/>
        </w:rPr>
        <w:t>2.</w:t>
      </w:r>
      <w:r>
        <w:rPr>
          <w:rFonts w:hint="default" w:ascii="Times New Roman" w:hAnsi="Times New Roman" w:eastAsia="仿宋_GB2312" w:cs="Times New Roman"/>
          <w:b/>
          <w:bCs/>
          <w:color w:val="auto"/>
          <w:sz w:val="32"/>
          <w:szCs w:val="32"/>
          <w:highlight w:val="none"/>
        </w:rPr>
        <w:t>收入支出预算执行情况</w:t>
      </w:r>
    </w:p>
    <w:p>
      <w:pPr>
        <w:pStyle w:val="2"/>
        <w:keepNext w:val="0"/>
        <w:keepLines w:val="0"/>
        <w:pageBreakBefore w:val="0"/>
        <w:widowControl w:val="0"/>
        <w:kinsoku/>
        <w:wordWrap/>
        <w:overflowPunct/>
        <w:topLinePunct w:val="0"/>
        <w:autoSpaceDE/>
        <w:autoSpaceDN/>
        <w:bidi w:val="0"/>
        <w:adjustRightInd/>
        <w:spacing w:line="580" w:lineRule="exact"/>
        <w:ind w:left="0" w:leftChars="0"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202</w:t>
      </w:r>
      <w:r>
        <w:rPr>
          <w:rFonts w:hint="default" w:ascii="Times New Roman" w:hAnsi="Times New Roman" w:cs="Times New Roman"/>
          <w:b w:val="0"/>
          <w:bCs w:val="0"/>
          <w:color w:val="auto"/>
          <w:sz w:val="32"/>
          <w:szCs w:val="32"/>
          <w:highlight w:val="none"/>
          <w:lang w:val="en-US" w:eastAsia="zh-CN"/>
        </w:rPr>
        <w:t>4</w:t>
      </w:r>
      <w:r>
        <w:rPr>
          <w:rFonts w:hint="default" w:ascii="Times New Roman" w:hAnsi="Times New Roman" w:eastAsia="仿宋_GB2312" w:cs="Times New Roman"/>
          <w:b w:val="0"/>
          <w:bCs w:val="0"/>
          <w:color w:val="auto"/>
          <w:sz w:val="32"/>
          <w:szCs w:val="32"/>
          <w:highlight w:val="none"/>
          <w:lang w:val="en-US" w:eastAsia="zh-CN"/>
        </w:rPr>
        <w:t>年本年收入145269.77万元，本年支出145269.88万元，收入较上年增加16166.13万元，增加12.52%；支出较2023年增加16148.51万元，增加12.51%；主要原因为轨道交通资本金预算支出131000万元，当年政府基金未安排预算支出。</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both"/>
        <w:textAlignment w:val="auto"/>
        <w:rPr>
          <w:rFonts w:hint="default" w:ascii="Times New Roman" w:hAnsi="Times New Roman" w:eastAsia="楷体" w:cs="Times New Roman"/>
          <w:b/>
          <w:bCs/>
          <w:sz w:val="32"/>
          <w:szCs w:val="32"/>
        </w:rPr>
      </w:pPr>
      <w:r>
        <w:rPr>
          <w:rFonts w:hint="default" w:ascii="Times New Roman" w:hAnsi="Times New Roman" w:eastAsia="楷体" w:cs="Times New Roman"/>
          <w:b/>
          <w:bCs/>
          <w:sz w:val="32"/>
          <w:szCs w:val="32"/>
        </w:rPr>
        <w:t>（三）部门整体支出绩效目标、指标</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lang w:val="en-US" w:eastAsia="zh-CN"/>
        </w:rPr>
        <w:t>1.</w:t>
      </w:r>
      <w:r>
        <w:rPr>
          <w:rFonts w:hint="default" w:ascii="Times New Roman" w:hAnsi="Times New Roman" w:eastAsia="仿宋_GB2312" w:cs="Times New Roman"/>
          <w:b/>
          <w:bCs/>
          <w:color w:val="auto"/>
          <w:sz w:val="32"/>
          <w:szCs w:val="32"/>
        </w:rPr>
        <w:t>总体绩效目标</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2024年轨道办将紧紧围绕市委、市政府中心工作，严格落实</w:t>
      </w:r>
      <w:r>
        <w:rPr>
          <w:rFonts w:hint="eastAsia" w:ascii="仿宋_GB2312" w:hAnsi="仿宋_GB2312" w:eastAsia="仿宋_GB2312" w:cs="仿宋_GB2312"/>
          <w:b w:val="0"/>
          <w:bCs w:val="0"/>
          <w:color w:val="auto"/>
          <w:kern w:val="2"/>
          <w:sz w:val="32"/>
          <w:szCs w:val="32"/>
          <w:highlight w:val="none"/>
          <w:lang w:val="en-US" w:eastAsia="zh-CN" w:bidi="ar-SA"/>
        </w:rPr>
        <w:t>“人民城市人民建、人民城市为人民”的</w:t>
      </w:r>
      <w:r>
        <w:rPr>
          <w:rFonts w:hint="default" w:ascii="Times New Roman" w:hAnsi="Times New Roman" w:eastAsia="仿宋_GB2312" w:cs="Times New Roman"/>
          <w:b w:val="0"/>
          <w:bCs w:val="0"/>
          <w:color w:val="auto"/>
          <w:kern w:val="2"/>
          <w:sz w:val="32"/>
          <w:szCs w:val="32"/>
          <w:highlight w:val="none"/>
          <w:lang w:val="en-US" w:eastAsia="zh-CN" w:bidi="ar-SA"/>
        </w:rPr>
        <w:t>发展理念，聚焦主责主业，通过拨付项目资本金，确保轨道交通建设有序推进，做好轨道交通在建工程的质量、进度监管工作；加快推进第二期建设规划调整报批工作；对已开通运营的地铁1、2、3号线开展轨道交通运营服务质量评价和轨道交通运营期安全评估工作；通过发放运营亏损补贴，保障市轨道公司工作正常开展，维持我市交通的有序性；确保地下综合管廊（塔北路段）全年安全科学运营，并完成地下综合管廊（塔北路段）运营维护绩效考核工作；完成4、5、6号线及1号线三期工程征地组卷工作，确保工程尽早进场施工；做好行业安全监管工作，确保轨道交通企业全年不发生较大及以上生产安全责任事故。</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sz w:val="32"/>
          <w:szCs w:val="32"/>
        </w:rPr>
      </w:pPr>
      <w:r>
        <w:rPr>
          <w:rFonts w:hint="default" w:ascii="Times New Roman" w:hAnsi="Times New Roman" w:eastAsia="仿宋_GB2312" w:cs="Times New Roman"/>
          <w:b/>
          <w:bCs/>
          <w:color w:val="auto"/>
          <w:sz w:val="32"/>
          <w:szCs w:val="32"/>
          <w:lang w:val="en-US" w:eastAsia="zh-CN"/>
        </w:rPr>
        <w:t>2.</w:t>
      </w:r>
      <w:r>
        <w:rPr>
          <w:rFonts w:hint="default" w:ascii="Times New Roman" w:hAnsi="Times New Roman" w:eastAsia="仿宋_GB2312" w:cs="Times New Roman"/>
          <w:b/>
          <w:bCs/>
          <w:color w:val="auto"/>
          <w:sz w:val="32"/>
          <w:szCs w:val="32"/>
        </w:rPr>
        <w:t>分项绩效目标</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（1）保障轨道交通建设有序推进</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绩效目标：通过拨付项目资本金，保证工程价款及时支付，确保轨道交通建设有序推进。</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保证4号线一期、5号线一期、6号线一期、1号线三期及1号线二期北段工程建设，保证工程质量合格率达100%，按照年度预算和工程进度拨付轨道交通项目资本金，列车正点率不低于98.5%，服务对象满意度不低于85%。</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（2）加快推进第二期建设规划调整报批</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绩效目标：在完成第二期建设规划调整主报告及相关报告基础上，加快跑办省发改委、住建厅、自然资源厅及国家生态环境部、发改委和住建部等审批部门，争取早日受理并开展相关审查，尽可能压缩审批时间。</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①加快跑办省发改委、住建厅、自然资源厅等审批部门，12月底前第二期建设规划调整通过省级初审，力争国家生态环境部受理第二期建设规划调整环境影响评价报告。②加快跑办国家发改委、住建部，提前沟通，做好其受理前的各项准备工作。</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（3）完成城市轨道交通服务质量评价工作</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绩效目标：按照城市轨道交通服务质量评价规范，开展乘客满意度、服务保障能力、运营服务关键指标评价。</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对已开通运营的地铁1、2、3号线的乘客，发放调查问卷不少于1200份，列车运行图兑现率不低于99%，列车正点率、自动扶梯可靠度不低于98.5%；售票机、储值卡充值机、乘客信息系统可靠度不低于98%，首末班车正点运行。乘客对运营服务的投诉在3个工作日内回复，有效投诉回复率100%。</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（4）完成轨道交通运营期间安全评估工作</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绩效目标：按照城市轨道交通运营安全评估管理办法，对石家庄轨道交通1号线、2号线、3号线进行运营期间安全评估。</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对已开通运营的轨道交通1、2、3号线进行运营期间安全评估，提高轨道交通运营安全保障能力，列车运行图兑现率不低于99%，列车正点率不低于98.5%，线网客运量不低于14000万人次，服务对象满意度不低于85%。</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（5）保障轨道交通正常运营</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绩效目标：保障我市轨道公司工作正常开展，维持我市轨道交通的有序性。</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进一步保障我市轨道交通正常运行，线网运营车里程不低于814.15万列公里，列车运行图兑现率不低于99%，列车正点率不低于98.5%，运营亏损补贴总预算1亿元，线网客运量不低于14000万人次，服务对象满意度不低于85%。</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（6）保障塔北路地下管廊项目正常运营</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绩效目标：保障管廊正常运营，无安全事故。</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①2024年3月底前，完成2023年四季度和2024年一季度运营期可行性缺口补助的发放。②2024年9月底前，完成2024年二、三季度运营期可行性缺口补助的发放。③全年安全运营，无事故。④绩效评价得分85分以上。⑤入廊单位对服务的满意度达90%以上。</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（7）完成塔北路管廊季度绩效考核和年度绩效评价</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绩效目标：①对管廊运营维护情况进行季度绩效考核，出具报告，发现问题并督促整改。②对管廊运营维护情况进行年度绩效评价评估，出具报告，发现问题并督促整改。</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绩效指标：①每季度内完成1次季度绩效考核。②全年完成4次季度绩效考核、1次年度绩效评价。③出具评价报告，发现问题并督促整改。④评价工作完成满意度90%以上。</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（8）完成征地组卷工作</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绩效目标：督导并帮助轨道集团完成车站主体及出入口、风亭永久占地征迁工作，按照工程里程碑节点目标倒排工期，确保主体工程按计划具备施工条件。</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绩效指标：上半年完成4号线、5号线一期工程征地组卷，下半年完成6号线一期工程征地组卷。完成车站主体、出入口、风亭永久占地征迁工作90%以上。</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（9）确保年度生产安全</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绩效目标： 统筹落实安全生产责任制和各项安全要求，做好安全监管工作，确保轨道交通企业全年不发生较大及以上生产安全责任事故。</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绩效指标：①组织召开安全生产专题会议不少于12次。②组织开展安全生产专项检查不少于12次、季度包联检查不少于4次。③轨道交通企业全年不发生较大及以上生产安全责任事故。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Times New Roman" w:hAnsi="Times New Roman" w:eastAsia="仿宋" w:cs="Times New Roman"/>
          <w:strike/>
          <w:dstrike w:val="0"/>
          <w:sz w:val="32"/>
          <w:szCs w:val="32"/>
          <w:highlight w:val="yellow"/>
        </w:rPr>
      </w:pPr>
      <w:r>
        <w:rPr>
          <w:rFonts w:hint="default" w:ascii="Times New Roman" w:hAnsi="Times New Roman" w:eastAsia="黑体" w:cs="Times New Roman"/>
          <w:sz w:val="32"/>
          <w:szCs w:val="32"/>
        </w:rPr>
        <w:t>二、自评工作开展情况</w:t>
      </w:r>
    </w:p>
    <w:p>
      <w:pPr>
        <w:keepNext w:val="0"/>
        <w:keepLines w:val="0"/>
        <w:pageBreakBefore w:val="0"/>
        <w:widowControl w:val="0"/>
        <w:kinsoku/>
        <w:wordWrap/>
        <w:overflowPunct/>
        <w:topLinePunct w:val="0"/>
        <w:autoSpaceDE/>
        <w:autoSpaceDN/>
        <w:bidi w:val="0"/>
        <w:spacing w:line="580" w:lineRule="exact"/>
        <w:ind w:right="0" w:firstLine="643" w:firstLineChars="200"/>
        <w:jc w:val="both"/>
        <w:textAlignment w:val="auto"/>
        <w:outlineLvl w:val="9"/>
        <w:rPr>
          <w:rFonts w:hint="default" w:ascii="Times New Roman" w:hAnsi="Times New Roman" w:eastAsia="楷体" w:cs="Times New Roman"/>
          <w:b/>
          <w:bCs/>
          <w:strike w:val="0"/>
          <w:dstrike w:val="0"/>
          <w:color w:val="auto"/>
          <w:sz w:val="32"/>
          <w:szCs w:val="32"/>
          <w:highlight w:val="lightGray"/>
        </w:rPr>
      </w:pPr>
      <w:r>
        <w:rPr>
          <w:rFonts w:hint="default" w:ascii="Times New Roman" w:hAnsi="Times New Roman" w:eastAsia="楷体" w:cs="Times New Roman"/>
          <w:b/>
          <w:bCs/>
          <w:color w:val="auto"/>
          <w:sz w:val="32"/>
          <w:szCs w:val="32"/>
        </w:rPr>
        <w:t>（一）自评的组织工作</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我办按照</w:t>
      </w:r>
      <w:r>
        <w:rPr>
          <w:rFonts w:hint="default" w:ascii="Times New Roman" w:hAnsi="Times New Roman" w:eastAsia="仿宋" w:cs="Times New Roman"/>
          <w:sz w:val="32"/>
          <w:szCs w:val="32"/>
          <w:lang w:val="en-US" w:eastAsia="zh-CN"/>
        </w:rPr>
        <w:t>石家庄市财政局《关于开展2025年绩效自评工作的通知》（石财监〔2025〕2号）</w:t>
      </w:r>
      <w:r>
        <w:rPr>
          <w:rFonts w:hint="default" w:ascii="Times New Roman" w:hAnsi="Times New Roman" w:eastAsia="仿宋_GB2312" w:cs="Times New Roman"/>
          <w:b w:val="0"/>
          <w:bCs w:val="0"/>
          <w:color w:val="auto"/>
          <w:kern w:val="2"/>
          <w:sz w:val="32"/>
          <w:szCs w:val="32"/>
          <w:highlight w:val="none"/>
          <w:lang w:val="en-US" w:eastAsia="zh-CN" w:bidi="ar-SA"/>
        </w:rPr>
        <w:t>的文件要求，认真落实本次部门整体支出绩效自评工作，要求各相关科室充分认识到开展绩效自评工作的重要性和必要性，致力于以科学、客观、公正的态度高质量完成自评，以期有效提升财政资金的使用效益。具体执行中，首先，成立绩效自评工作组，全面负责评价工作的管理与组织，采用科学合理的绩效评价指标、评价标准和评价方法，对本部门2024年度部门整体支出的绩效情况进行客观、公正的评价。其次，制定绩效评价工作方案，收集查阅与项目有关的政策，全面了解项目实施细节，确定评价依据和评价方法，明确时间安排，确保评价工作的有序进行。接着，重视评价资料的收集工作，对原始资料进行严格的质量评估与核实，筛选并确定评价所需的关键材料，确保信息的准确性和完整性。最后，通过实施评价、综合分析并撰写自评报告，全面完成本次整体支出绩效自评，确保评价结果的准确性和实用性。</w:t>
      </w:r>
    </w:p>
    <w:p>
      <w:pPr>
        <w:keepNext w:val="0"/>
        <w:keepLines w:val="0"/>
        <w:pageBreakBefore w:val="0"/>
        <w:widowControl w:val="0"/>
        <w:numPr>
          <w:ilvl w:val="0"/>
          <w:numId w:val="2"/>
        </w:numPr>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rPr>
        <w:t>自评的方法</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1. 定量分析法</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定量分析法是通过收集、整理和分析与项目绩效相关的数据，运用数学方法进行量化分析，以评估项目绩效的一种方法。这种方法可以直观地展示项目的成果和效益，如通过对比项目实际完成数与计划完成数，计算完成率等指标来评估项目的执行情况。</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2.目标管理法</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目标管理法是根据项目的目标和计划，制定具体的绩效指标，并在项目实施过程中进行持续跟踪和评估的一种方法。这种方法可以确保项目的实施始终围绕目标进行，及时发现和解决存在的问题，确保项目目标的实现。事业单位可以根据项目的实际情况，制定合适的绩效指标，如项目进度、质量、成本等，并进行定期评估。</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bCs/>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3.效益分析法</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效益分析法是从项目的经济效益、社会效益、生态效益等方面出发，对项目绩效进行全面评估的一种方法。这种方法可以综合考虑项目的多个方面，确保项目的综合效益最大化。事业单位可以根据项目的实际情况，制定相应的效益评估指标，并进行定期评估和分析。</w:t>
      </w:r>
    </w:p>
    <w:p>
      <w:pPr>
        <w:keepNext w:val="0"/>
        <w:keepLines w:val="0"/>
        <w:pageBreakBefore w:val="0"/>
        <w:widowControl w:val="0"/>
        <w:numPr>
          <w:ilvl w:val="0"/>
          <w:numId w:val="2"/>
        </w:numPr>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lang w:val="en-US" w:eastAsia="zh-CN"/>
        </w:rPr>
        <w:t>自评工作</w:t>
      </w:r>
      <w:r>
        <w:rPr>
          <w:rFonts w:hint="default" w:ascii="Times New Roman" w:hAnsi="Times New Roman" w:eastAsia="楷体" w:cs="Times New Roman"/>
          <w:b/>
          <w:bCs/>
          <w:color w:val="auto"/>
          <w:sz w:val="32"/>
          <w:szCs w:val="32"/>
          <w:highlight w:val="none"/>
        </w:rPr>
        <w:t>过程</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val="0"/>
          <w:bCs w:val="0"/>
          <w:color w:val="auto"/>
          <w:kern w:val="2"/>
          <w:sz w:val="32"/>
          <w:szCs w:val="32"/>
          <w:highlight w:val="none"/>
          <w:lang w:val="en-US" w:eastAsia="zh-CN" w:bidi="ar-SA"/>
        </w:rPr>
        <w:t>依据部门职能定位及各项工作职责的履行状况，进行综合考量与评估，以确定部门整体支出的综合绩效评价等级，并赋予相应的总得分。具体自评过程如下：</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1.实施评价阶段。</w:t>
      </w:r>
      <w:r>
        <w:rPr>
          <w:rFonts w:hint="default" w:ascii="Times New Roman" w:hAnsi="Times New Roman" w:eastAsia="仿宋_GB2312" w:cs="Times New Roman"/>
          <w:b w:val="0"/>
          <w:bCs w:val="0"/>
          <w:color w:val="auto"/>
          <w:kern w:val="2"/>
          <w:sz w:val="32"/>
          <w:szCs w:val="32"/>
          <w:highlight w:val="none"/>
          <w:lang w:val="en-US" w:eastAsia="zh-CN" w:bidi="ar-SA"/>
        </w:rPr>
        <w:t>参照2024年度预算公开中绩效文本的相关内容，明确界定部门总体绩效目标与分项绩效目标、指标。由相关工作科室及其主管领导共同组建自评工作组，负责全面收集、系统整理、细致分类及深入分析被评价项目的各项数据资料。在此基础上，工作组需核实并确认基础数据的完整性、真实性，以及指标口径的一致性，确保评价基础坚实可靠。</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2.综合评价阶段。</w:t>
      </w:r>
      <w:r>
        <w:rPr>
          <w:rFonts w:hint="default" w:ascii="Times New Roman" w:hAnsi="Times New Roman" w:eastAsia="仿宋_GB2312" w:cs="Times New Roman"/>
          <w:b w:val="0"/>
          <w:bCs w:val="0"/>
          <w:color w:val="auto"/>
          <w:kern w:val="2"/>
          <w:sz w:val="32"/>
          <w:szCs w:val="32"/>
          <w:highlight w:val="none"/>
          <w:lang w:val="en-US" w:eastAsia="zh-CN" w:bidi="ar-SA"/>
        </w:rPr>
        <w:t>自评工作组依据既定的评价指标与标准，对项目绩效进行全面而深入的评判。遵循评价标准和评价方法，逐项进行细致评定，同时深入探究年初设定的绩效信息。结合部门职能定位及各项工作的实际履行情况，进行综合考量，依据实际情况给出总得分，并据此形成综合绩效评价等级。评价过程中，每位自评工作组成员均需对评价结果签字确认，以强化责任意识，确保评价结果的独立性、客观性和公正性。</w:t>
      </w:r>
    </w:p>
    <w:p>
      <w:pPr>
        <w:keepNext w:val="0"/>
        <w:keepLines w:val="0"/>
        <w:pageBreakBefore w:val="0"/>
        <w:widowControl w:val="0"/>
        <w:kinsoku/>
        <w:wordWrap/>
        <w:overflowPunct/>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highlight w:val="none"/>
          <w:lang w:val="en-US" w:eastAsia="zh-CN" w:bidi="ar-SA"/>
        </w:rPr>
      </w:pPr>
      <w:r>
        <w:rPr>
          <w:rFonts w:hint="default" w:ascii="Times New Roman" w:hAnsi="Times New Roman" w:eastAsia="仿宋_GB2312" w:cs="Times New Roman"/>
          <w:b/>
          <w:bCs/>
          <w:color w:val="auto"/>
          <w:kern w:val="2"/>
          <w:sz w:val="32"/>
          <w:szCs w:val="32"/>
          <w:highlight w:val="none"/>
          <w:lang w:val="en-US" w:eastAsia="zh-CN" w:bidi="ar-SA"/>
        </w:rPr>
        <w:t>3.撰写报告阶段。</w:t>
      </w:r>
      <w:r>
        <w:rPr>
          <w:rFonts w:hint="default" w:ascii="Times New Roman" w:hAnsi="Times New Roman" w:eastAsia="仿宋_GB2312" w:cs="Times New Roman"/>
          <w:b w:val="0"/>
          <w:bCs w:val="0"/>
          <w:color w:val="auto"/>
          <w:kern w:val="2"/>
          <w:sz w:val="32"/>
          <w:szCs w:val="32"/>
          <w:highlight w:val="none"/>
          <w:lang w:val="en-US" w:eastAsia="zh-CN" w:bidi="ar-SA"/>
        </w:rPr>
        <w:t>基于前期工作的积累，自评工作组遵循统一规范的格式要求，撰写了本部门整体支出绩效自评工作报告的文字部分。报告全面回顾了自评工作的流程、方法、结果及建议，为后续的绩效改进与提升提供了有力参考。</w:t>
      </w:r>
    </w:p>
    <w:p>
      <w:pPr>
        <w:keepNext w:val="0"/>
        <w:keepLines w:val="0"/>
        <w:pageBreakBefore w:val="0"/>
        <w:widowControl w:val="0"/>
        <w:kinsoku/>
        <w:wordWrap/>
        <w:overflowPunct/>
        <w:topLinePunct w:val="0"/>
        <w:autoSpaceDE/>
        <w:autoSpaceDN/>
        <w:bidi w:val="0"/>
        <w:spacing w:line="580" w:lineRule="exact"/>
        <w:textAlignment w:val="auto"/>
        <w:rPr>
          <w:rFonts w:hint="default" w:ascii="Times New Roman" w:hAnsi="Times New Roman" w:eastAsia="黑体" w:cs="Times New Roman"/>
          <w:b/>
          <w:bCs/>
          <w:sz w:val="32"/>
          <w:szCs w:val="32"/>
        </w:rPr>
      </w:pPr>
      <w:r>
        <w:rPr>
          <w:rFonts w:hint="default" w:ascii="Times New Roman" w:hAnsi="Times New Roman" w:eastAsia="黑体" w:cs="Times New Roman"/>
          <w:sz w:val="32"/>
          <w:szCs w:val="32"/>
        </w:rPr>
        <w:t xml:space="preserve">    三、部门整体支出绩效目标实现情况及指标分析</w:t>
      </w:r>
    </w:p>
    <w:p>
      <w:pPr>
        <w:keepNext w:val="0"/>
        <w:keepLines w:val="0"/>
        <w:pageBreakBefore w:val="0"/>
        <w:widowControl w:val="0"/>
        <w:numPr>
          <w:ilvl w:val="0"/>
          <w:numId w:val="3"/>
        </w:numPr>
        <w:kinsoku/>
        <w:wordWrap/>
        <w:overflowPunct/>
        <w:topLinePunct w:val="0"/>
        <w:autoSpaceDE/>
        <w:autoSpaceDN/>
        <w:bidi w:val="0"/>
        <w:spacing w:line="580" w:lineRule="exact"/>
        <w:ind w:firstLine="643" w:firstLineChars="200"/>
        <w:textAlignment w:val="auto"/>
        <w:rPr>
          <w:rFonts w:hint="default" w:ascii="Times New Roman" w:hAnsi="Times New Roman" w:eastAsia="楷体" w:cs="Times New Roman"/>
          <w:b/>
          <w:bCs w:val="0"/>
          <w:sz w:val="32"/>
          <w:szCs w:val="32"/>
        </w:rPr>
      </w:pPr>
      <w:r>
        <w:rPr>
          <w:rFonts w:hint="default" w:ascii="Times New Roman" w:hAnsi="Times New Roman" w:eastAsia="楷体" w:cs="Times New Roman"/>
          <w:b/>
          <w:bCs w:val="0"/>
          <w:sz w:val="32"/>
          <w:szCs w:val="32"/>
        </w:rPr>
        <w:t>总体绩效目标实现情况</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 w:cs="Times New Roman"/>
          <w:sz w:val="32"/>
          <w:szCs w:val="32"/>
        </w:rPr>
      </w:pPr>
      <w:r>
        <w:rPr>
          <w:rFonts w:hint="default" w:ascii="Times New Roman" w:hAnsi="Times New Roman" w:eastAsia="仿宋_GB2312" w:cs="Times New Roman"/>
          <w:b w:val="0"/>
          <w:bCs w:val="0"/>
          <w:color w:val="auto"/>
          <w:kern w:val="2"/>
          <w:sz w:val="32"/>
          <w:szCs w:val="32"/>
          <w:highlight w:val="none"/>
          <w:lang w:val="en-US" w:eastAsia="zh-CN" w:bidi="ar-SA"/>
        </w:rPr>
        <w:t>2024年轨道办将紧紧围绕市委、市政府中心工作，严格落实</w:t>
      </w:r>
      <w:r>
        <w:rPr>
          <w:rFonts w:hint="eastAsia" w:ascii="仿宋_GB2312" w:hAnsi="仿宋_GB2312" w:eastAsia="仿宋_GB2312" w:cs="仿宋_GB2312"/>
          <w:b w:val="0"/>
          <w:bCs w:val="0"/>
          <w:color w:val="auto"/>
          <w:kern w:val="2"/>
          <w:sz w:val="32"/>
          <w:szCs w:val="32"/>
          <w:highlight w:val="none"/>
          <w:lang w:val="en-US" w:eastAsia="zh-CN" w:bidi="ar-SA"/>
        </w:rPr>
        <w:t>“人民城市人民建、人民城市为人民”的</w:t>
      </w:r>
      <w:r>
        <w:rPr>
          <w:rFonts w:hint="default" w:ascii="Times New Roman" w:hAnsi="Times New Roman" w:eastAsia="仿宋_GB2312" w:cs="Times New Roman"/>
          <w:b w:val="0"/>
          <w:bCs w:val="0"/>
          <w:color w:val="auto"/>
          <w:kern w:val="2"/>
          <w:sz w:val="32"/>
          <w:szCs w:val="32"/>
          <w:highlight w:val="none"/>
          <w:lang w:val="en-US" w:eastAsia="zh-CN" w:bidi="ar-SA"/>
        </w:rPr>
        <w:t>发展理念，聚焦主责主业，通过拨付项目资本金，确保了轨道交通建设有序推进，做好了轨道交通在建工程的质量、进度监管工作；在前期研究的基础上，第二期建设规划调整申报方案通过了市政府常务会审议。根据申报方案，我办完成了第二期建设规划调整主报告及相关报告送审稿，并按程序上报至省发改委进行初审，取得初审意见；按照《城市轨道交通服务质量评价规范》和《城市轨道交通运营安全评估管理办法》要求，市轨道办开展了服务质量评价和运营期间安全评估工作；拨付了运营亏损补贴1亿元，保障了我市轨道交通安全有序运营，实现了总体绩效目标；通过发放运营亏损补贴，保障市轨道公司工作正常开展，维持我市交通的有序性；全年进行了4次定期季度考核和1次年度绩效评价，为支付可行性缺口补助提供依据，准确计算并发放了缺口补助，保障管廊公司正常运营，无安全事故；49座车站主体全部开工，实现年初设定目标；严格履行部门监管责任，督导企业落实主体责任，轨道交通企业未发生生产安全责任事故。</w:t>
      </w:r>
    </w:p>
    <w:p>
      <w:pPr>
        <w:keepNext w:val="0"/>
        <w:keepLines w:val="0"/>
        <w:pageBreakBefore w:val="0"/>
        <w:widowControl w:val="0"/>
        <w:kinsoku/>
        <w:wordWrap/>
        <w:overflowPunct/>
        <w:topLinePunct w:val="0"/>
        <w:autoSpaceDE/>
        <w:autoSpaceDN/>
        <w:bidi w:val="0"/>
        <w:spacing w:line="580" w:lineRule="exact"/>
        <w:textAlignment w:val="auto"/>
        <w:rPr>
          <w:rFonts w:hint="default" w:ascii="Times New Roman" w:hAnsi="Times New Roman" w:eastAsia="楷体" w:cs="Times New Roman"/>
          <w:bCs/>
          <w:sz w:val="32"/>
          <w:szCs w:val="32"/>
        </w:rPr>
      </w:pPr>
      <w:r>
        <w:rPr>
          <w:rFonts w:hint="default" w:ascii="Times New Roman" w:hAnsi="Times New Roman" w:eastAsia="仿宋" w:cs="Times New Roman"/>
          <w:b/>
          <w:bCs/>
          <w:sz w:val="32"/>
          <w:szCs w:val="32"/>
        </w:rPr>
        <w:t xml:space="preserve">    </w:t>
      </w:r>
      <w:r>
        <w:rPr>
          <w:rFonts w:hint="default" w:ascii="Times New Roman" w:hAnsi="Times New Roman" w:eastAsia="楷体" w:cs="Times New Roman"/>
          <w:b/>
          <w:bCs w:val="0"/>
          <w:sz w:val="32"/>
          <w:szCs w:val="32"/>
        </w:rPr>
        <w:t>（二）分项绩效目标实现情况及指标分析</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1、保障轨道交通建设有序推进</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目标实现情况：在前期研究的基础上，第二期建设规划调整申报方案通过了市政府常务会审议。根据申报方案，我办完成了第二期建设规划调整主报告及相关报告送审稿，并多次跑办国家发改委、住建部、生态环境部和省发改委、住建厅、自然资源厅等审批部门争取支持。我办将第二期建设规划调整上报至省发改委进行初审，取得初审意见，实现了绩效目标。</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指标实现情况：（1）我办多次跑办省发改委、住建厅、自然资源厅等审批部门，推动第二期建设规划调整通过省级初审，取得初审意见。（2）我办多次跑办国家发改委、住建部，汇报了第二期建设规划调整的申报方案，按照其要求对方案进行了优化完善，并将其对第二期建设规划调整申报的各项要求上报至市政府。2个绩效指标均已保质保量完成。</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2、加快推进第二期建设规划调整报批</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目标实现情况：在前期研究的基础上，第二期建设规划调整申报方案通过了市政府常务会审议。根据申报方案，我办完成了第二期建设规划调整主报告及相关报告送审稿，并多次跑办国家发改委、住建部、生态环境部和省发改委、住建厅、自然资源厅等审批部门争取支持。我办将第二期建设规划调整上报至省发改委进行初审，取得初审意见，实现了绩效目标。</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指标实现情况：（1）我办多次跑办省发改委、住建厅、自然资源厅等审批部门，推动第二期建设规划调整通过省级初审，取得初审意见。（2）我办多次跑办国家发改委、住建部，汇报了第二期建设规划调整的申报方案，按照其要求对方案进行了优化完善，并将其对第二期建设规划调整申报的各项要求上报至市政府。2个绩效指标均已保质保量完成。3、完成城市轨道交通服务质量评价工作</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3、完成城市轨道交通服务质量评价工作</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绩效目标实现情况：按照城市轨道交通服务质量评价规范，从乘客满意度、服务保障能力、运营服务关键指标评价三方面对石家庄市轨道交通进行了年度服务质量评价，实现了绩效目标。</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指标实现情况：对已开通运营的地铁1、2、3号线的乘客发放调查问卷1260份，列车运行图兑现率100%，列车正点率99.99%，电梯检票闸机可靠度99.90%，自动扶梯可靠度99.90%；售票机、储值卡充值机、乘客信息系统可靠度99.92%，首末班车正点运行。乘客对运营服务的投诉，有效投诉回复率100%，圆满完成了绩效指标要求。</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4、完成轨道交通运营期间安全评估工作</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绩效目标实现情况：按照城市轨道交通运营安全评估管理办法，对石家庄市轨道交通1号线、2号线、3号线进行运营期间安全评估，实现了绩效目标。</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绩效指标实现情况：对已开通运营的轨道交通1、2、3号线进行运营期间安全评估，列车运行图兑现率100%，列车正点率99.99%，线网客运量19823.38万人次，服务对象满意度100%，圆满完成了绩效指标要求。</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5、保障轨道交通正常运营</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绩效目标实现情况：2024年4月和6月分别拨付了0.5亿元运营亏损资金，合计共1亿元，保障了市轨道公司工作正常开展，维持轨道交通的有序性，实现了绩效目标。</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绩效指标实现情况：2024年我市轨道交通运营正常、有序，线网运营车里程833.36万列公里，列车运行图兑现率100%，列车正点率99.99%，运营亏损补贴实际拨付1亿元，线网客运量19823.38万人次，服务对象满意度100%。</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6、保障塔北路地下管廊项目正常运营</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绩效目标实现情况：全年准确计算并及时发放了缺口补助，保障管廊公司正常运营，无安全事故。</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绩效指标实现情况：按照合同约定准确计算并向管廊公司全额发放了2024年度缺口补助，保障了塔北路地下管廊项目正常运营，全年安全运营，无事故，全年4次季度考核和1次绩效评价考核得分都在85分以上，每季度开展的对入廊单位服务满意度调查，满意度90%以上。</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7、完成塔北路管廊季度绩效考核和年度绩效评价</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绩效目标实现情况：全年进行了4次定期季度考核和1次年度绩效评价，出具报告，为支付可行性缺口补助提供依据，为管廊项目安全高效运营提供科学指导。</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绩效指标实现情况：全年对塔北路段地下综合管廊运营公司开展了进行4次季度定期季度和1次年度绩效评价考核工作，出具报告5份，发现的问题已督促管廊公司全部整改，通过考核为管廊项目安全高效运营提供了科学指导，全年安全平稳运营，对委托服务满意度调查，满意度90%以上。</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highlight w:val="none"/>
        </w:rPr>
      </w:pPr>
      <w:r>
        <w:rPr>
          <w:rFonts w:hint="default" w:ascii="Times New Roman" w:hAnsi="Times New Roman" w:eastAsia="仿宋" w:cs="Times New Roman"/>
          <w:sz w:val="32"/>
          <w:szCs w:val="32"/>
          <w:highlight w:val="none"/>
        </w:rPr>
        <w:t>8、完成征地组卷工作</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highlight w:val="none"/>
        </w:rPr>
        <w:t>绩效目标实现情况：完成南焦枢纽站施工临时占地、体育公园站和世纪公园站永久占地涉及的建筑物拆除补偿工</w:t>
      </w:r>
      <w:r>
        <w:rPr>
          <w:rFonts w:hint="default" w:ascii="Times New Roman" w:hAnsi="Times New Roman" w:eastAsia="仿宋" w:cs="Times New Roman"/>
          <w:sz w:val="32"/>
          <w:szCs w:val="32"/>
        </w:rPr>
        <w:t>作；完成和平西路站涉及建筑物拆除工作；完成河北工程职业技工学校食堂拆除；西岗头车辆段、宫家庄车辆段占用鹿泉区、桥西区集体土地均已完成组卷报批工作，并取得省政府建设用地批复文件，正在办理土地划拨登记；东佐车辆段征地多次组织高新区、藁城区及谷子研究所进行对接，目前已取得了阶段性进展。</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lang w:eastAsia="zh-CN"/>
        </w:rPr>
      </w:pPr>
      <w:r>
        <w:rPr>
          <w:rFonts w:hint="default" w:ascii="Times New Roman" w:hAnsi="Times New Roman" w:eastAsia="仿宋" w:cs="Times New Roman"/>
          <w:sz w:val="32"/>
          <w:szCs w:val="32"/>
        </w:rPr>
        <w:t>绩效指标实现情况：2024全年完成永久占地补偿560亩，完成拆除临时和永久用地上的建（构）筑物约14109平方米，4号线拆除约152平方米；5号线拆除约12919.平方米，含92台充电桩和2台变压器；6号线拆除约1038平方米</w:t>
      </w:r>
      <w:r>
        <w:rPr>
          <w:rFonts w:hint="default" w:ascii="Times New Roman" w:hAnsi="Times New Roman" w:eastAsia="仿宋" w:cs="Times New Roman"/>
          <w:sz w:val="32"/>
          <w:szCs w:val="32"/>
          <w:lang w:eastAsia="zh-CN"/>
        </w:rPr>
        <w:t>。</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9、确保年度生产安全</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绩效目标实现情况：统筹落实轨道办党政领导干部安全生产责任制和各项安全要求，履行安全生产监管责任，轨道交通企业全年未发生生产安全责任事故。</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绩效指标实现情况：</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（1） 组织召开安全生产专题会议14次。（2） 组织开展安全生产专项检查14次，季度包联检查4次。（3）轨道交通企业未发生生产安全责任事故。</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四、评价结论和评价等级</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strike w:val="0"/>
          <w:dstrike w:val="0"/>
          <w:color w:val="auto"/>
          <w:sz w:val="32"/>
          <w:szCs w:val="32"/>
          <w:highlight w:val="none"/>
          <w:lang w:val="en-US" w:eastAsia="zh-CN"/>
        </w:rPr>
      </w:pPr>
      <w:bookmarkStart w:id="0" w:name="OLE_LINK3"/>
      <w:r>
        <w:rPr>
          <w:rFonts w:hint="default" w:ascii="Times New Roman" w:hAnsi="Times New Roman" w:eastAsia="仿宋_GB2312" w:cs="Times New Roman"/>
          <w:strike w:val="0"/>
          <w:dstrike w:val="0"/>
          <w:color w:val="auto"/>
          <w:sz w:val="32"/>
          <w:szCs w:val="32"/>
          <w:lang w:val="en-US" w:eastAsia="zh-CN"/>
        </w:rPr>
        <w:t>2024年我办财政调整预</w:t>
      </w:r>
      <w:r>
        <w:rPr>
          <w:rFonts w:hint="default" w:ascii="Times New Roman" w:hAnsi="Times New Roman" w:eastAsia="仿宋_GB2312" w:cs="Times New Roman"/>
          <w:strike w:val="0"/>
          <w:dstrike w:val="0"/>
          <w:color w:val="auto"/>
          <w:sz w:val="32"/>
          <w:szCs w:val="32"/>
          <w:highlight w:val="none"/>
          <w:lang w:val="en-US" w:eastAsia="zh-CN"/>
        </w:rPr>
        <w:t>算数</w:t>
      </w:r>
      <w:r>
        <w:rPr>
          <w:rFonts w:hint="eastAsia" w:ascii="Times New Roman" w:hAnsi="Times New Roman" w:eastAsia="仿宋_GB2312" w:cs="Times New Roman"/>
          <w:strike w:val="0"/>
          <w:dstrike w:val="0"/>
          <w:color w:val="auto"/>
          <w:sz w:val="32"/>
          <w:szCs w:val="32"/>
          <w:highlight w:val="none"/>
          <w:lang w:val="en-US" w:eastAsia="zh-CN"/>
        </w:rPr>
        <w:t>为</w:t>
      </w:r>
      <w:r>
        <w:rPr>
          <w:rFonts w:hint="default" w:ascii="Times New Roman" w:hAnsi="Times New Roman" w:eastAsia="仿宋_GB2312" w:cs="Times New Roman"/>
          <w:strike w:val="0"/>
          <w:dstrike w:val="0"/>
          <w:color w:val="auto"/>
          <w:sz w:val="32"/>
          <w:szCs w:val="32"/>
          <w:highlight w:val="none"/>
          <w:lang w:val="en-US" w:eastAsia="zh-CN"/>
        </w:rPr>
        <w:t>145305.68万元，</w:t>
      </w:r>
      <w:r>
        <w:rPr>
          <w:rFonts w:hint="eastAsia" w:ascii="Times New Roman" w:hAnsi="Times New Roman" w:eastAsia="仿宋_GB2312" w:cs="Times New Roman"/>
          <w:strike w:val="0"/>
          <w:dstrike w:val="0"/>
          <w:color w:val="auto"/>
          <w:sz w:val="32"/>
          <w:szCs w:val="32"/>
          <w:highlight w:val="none"/>
          <w:lang w:val="en-US" w:eastAsia="zh-CN"/>
        </w:rPr>
        <w:t>截至同年</w:t>
      </w:r>
      <w:r>
        <w:rPr>
          <w:rFonts w:hint="default" w:ascii="Times New Roman" w:hAnsi="Times New Roman" w:eastAsia="仿宋_GB2312" w:cs="Times New Roman"/>
          <w:strike w:val="0"/>
          <w:dstrike w:val="0"/>
          <w:color w:val="auto"/>
          <w:sz w:val="32"/>
          <w:szCs w:val="32"/>
          <w:highlight w:val="none"/>
          <w:lang w:val="en-US" w:eastAsia="zh-CN"/>
        </w:rPr>
        <w:t>12月31日</w:t>
      </w:r>
      <w:r>
        <w:rPr>
          <w:rFonts w:hint="eastAsia" w:ascii="Times New Roman" w:hAnsi="Times New Roman" w:eastAsia="仿宋_GB2312" w:cs="Times New Roman"/>
          <w:strike w:val="0"/>
          <w:dstrike w:val="0"/>
          <w:color w:val="auto"/>
          <w:sz w:val="32"/>
          <w:szCs w:val="32"/>
          <w:highlight w:val="none"/>
          <w:lang w:val="en-US" w:eastAsia="zh-CN"/>
        </w:rPr>
        <w:t>，</w:t>
      </w:r>
      <w:r>
        <w:rPr>
          <w:rFonts w:hint="default" w:ascii="Times New Roman" w:hAnsi="Times New Roman" w:eastAsia="仿宋_GB2312" w:cs="Times New Roman"/>
          <w:strike w:val="0"/>
          <w:dstrike w:val="0"/>
          <w:color w:val="auto"/>
          <w:sz w:val="32"/>
          <w:szCs w:val="32"/>
          <w:highlight w:val="none"/>
          <w:lang w:val="en-US" w:eastAsia="zh-CN"/>
        </w:rPr>
        <w:t>当年预算本级支出数</w:t>
      </w:r>
      <w:r>
        <w:rPr>
          <w:rFonts w:hint="eastAsia" w:ascii="Times New Roman" w:hAnsi="Times New Roman" w:eastAsia="仿宋_GB2312" w:cs="Times New Roman"/>
          <w:strike w:val="0"/>
          <w:dstrike w:val="0"/>
          <w:color w:val="auto"/>
          <w:sz w:val="32"/>
          <w:szCs w:val="32"/>
          <w:highlight w:val="none"/>
          <w:lang w:val="en-US" w:eastAsia="zh-CN"/>
        </w:rPr>
        <w:t>为</w:t>
      </w:r>
      <w:r>
        <w:rPr>
          <w:rFonts w:hint="default" w:ascii="Times New Roman" w:hAnsi="Times New Roman" w:eastAsia="仿宋_GB2312" w:cs="Times New Roman"/>
          <w:strike w:val="0"/>
          <w:dstrike w:val="0"/>
          <w:color w:val="auto"/>
          <w:sz w:val="32"/>
          <w:szCs w:val="32"/>
          <w:highlight w:val="none"/>
          <w:lang w:val="en-US" w:eastAsia="zh-CN"/>
        </w:rPr>
        <w:t>145269.77万元，</w:t>
      </w:r>
      <w:bookmarkStart w:id="1" w:name="OLE_LINK1"/>
      <w:r>
        <w:rPr>
          <w:rFonts w:hint="default" w:ascii="Times New Roman" w:hAnsi="Times New Roman" w:eastAsia="仿宋_GB2312" w:cs="Times New Roman"/>
          <w:strike w:val="0"/>
          <w:dstrike w:val="0"/>
          <w:color w:val="auto"/>
          <w:sz w:val="32"/>
          <w:szCs w:val="32"/>
          <w:highlight w:val="none"/>
          <w:lang w:val="en-US" w:eastAsia="zh-CN"/>
        </w:rPr>
        <w:t>预算执行率达到99.98%。经过整体评价，年度</w:t>
      </w:r>
      <w:r>
        <w:rPr>
          <w:rFonts w:hint="eastAsia" w:ascii="Times New Roman" w:hAnsi="Times New Roman" w:eastAsia="仿宋_GB2312" w:cs="Times New Roman"/>
          <w:strike w:val="0"/>
          <w:dstrike w:val="0"/>
          <w:color w:val="auto"/>
          <w:sz w:val="32"/>
          <w:szCs w:val="32"/>
          <w:highlight w:val="none"/>
          <w:lang w:val="en-US" w:eastAsia="zh-CN"/>
        </w:rPr>
        <w:t>核心</w:t>
      </w:r>
      <w:r>
        <w:rPr>
          <w:rFonts w:hint="default" w:ascii="Times New Roman" w:hAnsi="Times New Roman" w:eastAsia="仿宋_GB2312" w:cs="Times New Roman"/>
          <w:strike w:val="0"/>
          <w:dstrike w:val="0"/>
          <w:color w:val="auto"/>
          <w:sz w:val="32"/>
          <w:szCs w:val="32"/>
          <w:highlight w:val="none"/>
          <w:lang w:val="en-US" w:eastAsia="zh-CN"/>
        </w:rPr>
        <w:t>目标任务</w:t>
      </w:r>
      <w:r>
        <w:rPr>
          <w:rFonts w:hint="eastAsia" w:ascii="Times New Roman" w:hAnsi="Times New Roman" w:eastAsia="仿宋_GB2312" w:cs="Times New Roman"/>
          <w:strike w:val="0"/>
          <w:dstrike w:val="0"/>
          <w:color w:val="auto"/>
          <w:sz w:val="32"/>
          <w:szCs w:val="32"/>
          <w:highlight w:val="none"/>
          <w:lang w:val="en-US" w:eastAsia="zh-CN"/>
        </w:rPr>
        <w:t>均在当年</w:t>
      </w:r>
      <w:r>
        <w:rPr>
          <w:rFonts w:hint="default" w:ascii="Times New Roman" w:hAnsi="Times New Roman" w:eastAsia="仿宋_GB2312" w:cs="Times New Roman"/>
          <w:strike w:val="0"/>
          <w:dstrike w:val="0"/>
          <w:color w:val="auto"/>
          <w:sz w:val="32"/>
          <w:szCs w:val="32"/>
          <w:highlight w:val="none"/>
          <w:lang w:val="en-US" w:eastAsia="zh-CN"/>
        </w:rPr>
        <w:t>得到了有效实现，支出绩效表现</w:t>
      </w:r>
      <w:r>
        <w:rPr>
          <w:rFonts w:hint="eastAsia" w:ascii="Times New Roman" w:hAnsi="Times New Roman" w:eastAsia="仿宋_GB2312" w:cs="Times New Roman"/>
          <w:strike w:val="0"/>
          <w:dstrike w:val="0"/>
          <w:color w:val="auto"/>
          <w:sz w:val="32"/>
          <w:szCs w:val="32"/>
          <w:highlight w:val="none"/>
          <w:lang w:val="en-US" w:eastAsia="zh-CN"/>
        </w:rPr>
        <w:t>优秀</w:t>
      </w:r>
      <w:r>
        <w:rPr>
          <w:rFonts w:hint="default" w:ascii="Times New Roman" w:hAnsi="Times New Roman" w:eastAsia="仿宋_GB2312" w:cs="Times New Roman"/>
          <w:strike w:val="0"/>
          <w:dstrike w:val="0"/>
          <w:color w:val="auto"/>
          <w:sz w:val="32"/>
          <w:szCs w:val="32"/>
          <w:highlight w:val="none"/>
          <w:lang w:val="en-US" w:eastAsia="zh-CN"/>
        </w:rPr>
        <w:t>。</w:t>
      </w:r>
      <w:r>
        <w:rPr>
          <w:rFonts w:hint="eastAsia" w:ascii="Times New Roman" w:hAnsi="Times New Roman" w:eastAsia="仿宋_GB2312" w:cs="Times New Roman"/>
          <w:strike w:val="0"/>
          <w:dstrike w:val="0"/>
          <w:color w:val="auto"/>
          <w:sz w:val="32"/>
          <w:szCs w:val="32"/>
          <w:highlight w:val="none"/>
          <w:lang w:val="en-US" w:eastAsia="zh-CN"/>
        </w:rPr>
        <w:t>预算</w:t>
      </w:r>
      <w:r>
        <w:rPr>
          <w:rFonts w:hint="default" w:ascii="Times New Roman" w:hAnsi="Times New Roman" w:eastAsia="仿宋_GB2312" w:cs="Times New Roman"/>
          <w:strike w:val="0"/>
          <w:dstrike w:val="0"/>
          <w:color w:val="auto"/>
          <w:sz w:val="32"/>
          <w:szCs w:val="32"/>
          <w:highlight w:val="none"/>
          <w:lang w:val="en-US" w:eastAsia="zh-CN"/>
        </w:rPr>
        <w:t>执行进度与</w:t>
      </w:r>
      <w:r>
        <w:rPr>
          <w:rFonts w:hint="eastAsia" w:ascii="Times New Roman" w:hAnsi="Times New Roman" w:eastAsia="仿宋_GB2312" w:cs="Times New Roman"/>
          <w:strike w:val="0"/>
          <w:dstrike w:val="0"/>
          <w:color w:val="auto"/>
          <w:sz w:val="32"/>
          <w:szCs w:val="32"/>
          <w:highlight w:val="none"/>
          <w:lang w:val="en-US" w:eastAsia="zh-CN"/>
        </w:rPr>
        <w:t>规划</w:t>
      </w:r>
      <w:r>
        <w:rPr>
          <w:rFonts w:hint="default" w:ascii="Times New Roman" w:hAnsi="Times New Roman" w:eastAsia="仿宋_GB2312" w:cs="Times New Roman"/>
          <w:strike w:val="0"/>
          <w:dstrike w:val="0"/>
          <w:color w:val="auto"/>
          <w:sz w:val="32"/>
          <w:szCs w:val="32"/>
          <w:highlight w:val="none"/>
          <w:lang w:val="en-US" w:eastAsia="zh-CN"/>
        </w:rPr>
        <w:t>实施</w:t>
      </w:r>
      <w:r>
        <w:rPr>
          <w:rFonts w:hint="eastAsia" w:ascii="Times New Roman" w:hAnsi="Times New Roman" w:eastAsia="仿宋_GB2312" w:cs="Times New Roman"/>
          <w:strike w:val="0"/>
          <w:dstrike w:val="0"/>
          <w:color w:val="auto"/>
          <w:sz w:val="32"/>
          <w:szCs w:val="32"/>
          <w:highlight w:val="none"/>
          <w:lang w:val="en-US" w:eastAsia="zh-CN"/>
        </w:rPr>
        <w:t>基本</w:t>
      </w:r>
      <w:r>
        <w:rPr>
          <w:rFonts w:hint="default" w:ascii="Times New Roman" w:hAnsi="Times New Roman" w:eastAsia="仿宋_GB2312" w:cs="Times New Roman"/>
          <w:strike w:val="0"/>
          <w:dstrike w:val="0"/>
          <w:color w:val="auto"/>
          <w:sz w:val="32"/>
          <w:szCs w:val="32"/>
          <w:highlight w:val="none"/>
          <w:lang w:val="en-US" w:eastAsia="zh-CN"/>
        </w:rPr>
        <w:t>保持</w:t>
      </w:r>
      <w:r>
        <w:rPr>
          <w:rFonts w:hint="eastAsia" w:ascii="Times New Roman" w:hAnsi="Times New Roman" w:eastAsia="仿宋_GB2312" w:cs="Times New Roman"/>
          <w:strike w:val="0"/>
          <w:dstrike w:val="0"/>
          <w:color w:val="auto"/>
          <w:sz w:val="32"/>
          <w:szCs w:val="32"/>
          <w:highlight w:val="none"/>
          <w:lang w:val="en-US" w:eastAsia="zh-CN"/>
        </w:rPr>
        <w:t>一致</w:t>
      </w:r>
      <w:r>
        <w:rPr>
          <w:rFonts w:hint="default" w:ascii="Times New Roman" w:hAnsi="Times New Roman" w:eastAsia="仿宋_GB2312" w:cs="Times New Roman"/>
          <w:strike w:val="0"/>
          <w:dstrike w:val="0"/>
          <w:color w:val="auto"/>
          <w:sz w:val="32"/>
          <w:szCs w:val="32"/>
          <w:highlight w:val="none"/>
          <w:lang w:val="en-US" w:eastAsia="zh-CN"/>
        </w:rPr>
        <w:t>，财政管理机制健全，确保了预算执行的稳定性，实施结果与预设目标</w:t>
      </w:r>
      <w:r>
        <w:rPr>
          <w:rFonts w:hint="eastAsia" w:ascii="Times New Roman" w:hAnsi="Times New Roman" w:eastAsia="仿宋_GB2312" w:cs="Times New Roman"/>
          <w:strike w:val="0"/>
          <w:dstrike w:val="0"/>
          <w:color w:val="auto"/>
          <w:sz w:val="32"/>
          <w:szCs w:val="32"/>
          <w:highlight w:val="none"/>
          <w:lang w:val="en-US" w:eastAsia="zh-CN"/>
        </w:rPr>
        <w:t>基本</w:t>
      </w:r>
      <w:r>
        <w:rPr>
          <w:rFonts w:hint="default" w:ascii="Times New Roman" w:hAnsi="Times New Roman" w:eastAsia="仿宋_GB2312" w:cs="Times New Roman"/>
          <w:strike w:val="0"/>
          <w:dstrike w:val="0"/>
          <w:color w:val="auto"/>
          <w:sz w:val="32"/>
          <w:szCs w:val="32"/>
          <w:highlight w:val="none"/>
          <w:lang w:val="en-US" w:eastAsia="zh-CN"/>
        </w:rPr>
        <w:t>相符。</w:t>
      </w:r>
      <w:bookmarkEnd w:id="1"/>
    </w:p>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eastAsia="仿宋_GB2312" w:cs="Times New Roman"/>
          <w:strike w:val="0"/>
          <w:dstrike w:val="0"/>
          <w:color w:val="auto"/>
          <w:sz w:val="32"/>
          <w:szCs w:val="32"/>
          <w:highlight w:val="lightGray"/>
          <w:lang w:val="en-US" w:eastAsia="zh-CN"/>
        </w:rPr>
      </w:pPr>
      <w:bookmarkStart w:id="2" w:name="OLE_LINK2"/>
      <w:r>
        <w:rPr>
          <w:rFonts w:hint="eastAsia" w:ascii="Times New Roman" w:hAnsi="Times New Roman" w:eastAsia="仿宋_GB2312" w:cs="Times New Roman"/>
          <w:strike w:val="0"/>
          <w:dstrike w:val="0"/>
          <w:color w:val="auto"/>
          <w:sz w:val="32"/>
          <w:szCs w:val="32"/>
          <w:highlight w:val="none"/>
          <w:lang w:val="en-US" w:eastAsia="zh-CN"/>
        </w:rPr>
        <w:t>年内</w:t>
      </w:r>
      <w:r>
        <w:rPr>
          <w:rFonts w:hint="default" w:ascii="Times New Roman" w:hAnsi="Times New Roman" w:eastAsia="仿宋_GB2312" w:cs="Times New Roman"/>
          <w:strike w:val="0"/>
          <w:dstrike w:val="0"/>
          <w:color w:val="auto"/>
          <w:sz w:val="32"/>
          <w:szCs w:val="32"/>
          <w:highlight w:val="none"/>
          <w:lang w:val="en-US" w:eastAsia="zh-CN"/>
        </w:rPr>
        <w:t>，部门负责的11个项目均严格按照省</w:t>
      </w:r>
      <w:r>
        <w:rPr>
          <w:rFonts w:hint="eastAsia" w:ascii="Times New Roman" w:hAnsi="Times New Roman" w:eastAsia="仿宋_GB2312" w:cs="Times New Roman"/>
          <w:strike w:val="0"/>
          <w:dstrike w:val="0"/>
          <w:color w:val="auto"/>
          <w:sz w:val="32"/>
          <w:szCs w:val="32"/>
          <w:highlight w:val="none"/>
          <w:lang w:val="en-US" w:eastAsia="zh-CN"/>
        </w:rPr>
        <w:t>、</w:t>
      </w:r>
      <w:r>
        <w:rPr>
          <w:rFonts w:hint="default" w:ascii="Times New Roman" w:hAnsi="Times New Roman" w:eastAsia="仿宋_GB2312" w:cs="Times New Roman"/>
          <w:strike w:val="0"/>
          <w:dstrike w:val="0"/>
          <w:color w:val="auto"/>
          <w:sz w:val="32"/>
          <w:szCs w:val="32"/>
          <w:highlight w:val="none"/>
          <w:lang w:val="en-US" w:eastAsia="zh-CN"/>
        </w:rPr>
        <w:t>市出台</w:t>
      </w:r>
      <w:r>
        <w:rPr>
          <w:rFonts w:hint="default" w:ascii="Times New Roman" w:hAnsi="Times New Roman" w:eastAsia="仿宋_GB2312" w:cs="Times New Roman"/>
          <w:strike w:val="0"/>
          <w:dstrike w:val="0"/>
          <w:color w:val="auto"/>
          <w:sz w:val="32"/>
          <w:szCs w:val="32"/>
          <w:lang w:val="en-US" w:eastAsia="zh-CN"/>
        </w:rPr>
        <w:t>的项目管理和资金管理相关规章制度</w:t>
      </w:r>
      <w:r>
        <w:rPr>
          <w:rFonts w:hint="eastAsia" w:ascii="Times New Roman" w:hAnsi="Times New Roman" w:eastAsia="仿宋_GB2312" w:cs="Times New Roman"/>
          <w:strike w:val="0"/>
          <w:dstrike w:val="0"/>
          <w:color w:val="auto"/>
          <w:sz w:val="32"/>
          <w:szCs w:val="32"/>
          <w:lang w:val="en-US" w:eastAsia="zh-CN"/>
        </w:rPr>
        <w:t>执行</w:t>
      </w:r>
      <w:r>
        <w:rPr>
          <w:rFonts w:hint="default" w:ascii="Times New Roman" w:hAnsi="Times New Roman" w:eastAsia="仿宋_GB2312" w:cs="Times New Roman"/>
          <w:strike w:val="0"/>
          <w:dstrike w:val="0"/>
          <w:color w:val="auto"/>
          <w:sz w:val="32"/>
          <w:szCs w:val="32"/>
          <w:lang w:val="en-US" w:eastAsia="zh-CN"/>
        </w:rPr>
        <w:t>。资金运作流程严谨，操作合规，流转顺畅，满足财政预算要求。</w:t>
      </w:r>
      <w:r>
        <w:rPr>
          <w:rFonts w:hint="eastAsia" w:ascii="Times New Roman" w:hAnsi="Times New Roman" w:eastAsia="仿宋_GB2312" w:cs="Times New Roman"/>
          <w:strike w:val="0"/>
          <w:dstrike w:val="0"/>
          <w:color w:val="auto"/>
          <w:sz w:val="32"/>
          <w:szCs w:val="32"/>
          <w:lang w:val="en-US" w:eastAsia="zh-CN"/>
        </w:rPr>
        <w:t>各项目绩效目标均已完成，绩效指标基本符合预期指标值</w:t>
      </w:r>
      <w:r>
        <w:rPr>
          <w:rFonts w:hint="default" w:ascii="Times New Roman" w:hAnsi="Times New Roman" w:eastAsia="仿宋_GB2312" w:cs="Times New Roman"/>
          <w:strike w:val="0"/>
          <w:dstrike w:val="0"/>
          <w:color w:val="auto"/>
          <w:sz w:val="32"/>
          <w:szCs w:val="32"/>
          <w:lang w:val="en-US" w:eastAsia="zh-CN"/>
        </w:rPr>
        <w:t>。</w:t>
      </w:r>
    </w:p>
    <w:bookmarkEnd w:id="2"/>
    <w:p>
      <w:pPr>
        <w:keepNext w:val="0"/>
        <w:keepLines w:val="0"/>
        <w:pageBreakBefore w:val="0"/>
        <w:widowControl w:val="0"/>
        <w:kinsoku/>
        <w:wordWrap/>
        <w:overflowPunct/>
        <w:topLinePunct w:val="0"/>
        <w:autoSpaceDE/>
        <w:autoSpaceDN/>
        <w:bidi w:val="0"/>
        <w:spacing w:line="580" w:lineRule="exact"/>
        <w:ind w:left="0" w:leftChars="0" w:firstLine="640" w:firstLineChars="200"/>
        <w:jc w:val="both"/>
        <w:textAlignment w:val="auto"/>
        <w:rPr>
          <w:rFonts w:hint="default" w:ascii="Times New Roman" w:hAnsi="Times New Roman" w:cs="Times New Roman"/>
        </w:rPr>
      </w:pPr>
      <w:r>
        <w:rPr>
          <w:rFonts w:hint="default" w:ascii="Times New Roman" w:hAnsi="Times New Roman" w:eastAsia="仿宋_GB2312" w:cs="Times New Roman"/>
          <w:strike w:val="0"/>
          <w:dstrike w:val="0"/>
          <w:color w:val="auto"/>
          <w:sz w:val="32"/>
          <w:szCs w:val="32"/>
          <w:lang w:val="en-US" w:eastAsia="zh-CN"/>
        </w:rPr>
        <w:t>依据量化评估标准，2024年度部门绩效评价自评得分96.91分，自评</w:t>
      </w:r>
      <w:r>
        <w:rPr>
          <w:rFonts w:hint="eastAsia" w:ascii="Times New Roman" w:hAnsi="Times New Roman" w:eastAsia="仿宋_GB2312" w:cs="Times New Roman"/>
          <w:strike w:val="0"/>
          <w:dstrike w:val="0"/>
          <w:color w:val="auto"/>
          <w:sz w:val="32"/>
          <w:szCs w:val="32"/>
          <w:lang w:val="en-US" w:eastAsia="zh-CN"/>
        </w:rPr>
        <w:t>评价等级</w:t>
      </w:r>
      <w:r>
        <w:rPr>
          <w:rFonts w:hint="default" w:ascii="Times New Roman" w:hAnsi="Times New Roman" w:eastAsia="仿宋_GB2312" w:cs="Times New Roman"/>
          <w:strike w:val="0"/>
          <w:dstrike w:val="0"/>
          <w:color w:val="auto"/>
          <w:sz w:val="32"/>
          <w:szCs w:val="32"/>
          <w:lang w:val="en-US" w:eastAsia="zh-CN"/>
        </w:rPr>
        <w:t>为优秀。</w:t>
      </w:r>
    </w:p>
    <w:bookmarkEnd w:id="0"/>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五、存在的问题及改进措施</w:t>
      </w:r>
    </w:p>
    <w:p>
      <w:pPr>
        <w:keepNext w:val="0"/>
        <w:keepLines w:val="0"/>
        <w:pageBreakBefore w:val="0"/>
        <w:widowControl w:val="0"/>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rPr>
      </w:pPr>
      <w:r>
        <w:rPr>
          <w:rFonts w:hint="default" w:ascii="Times New Roman" w:hAnsi="Times New Roman" w:eastAsia="楷体" w:cs="Times New Roman"/>
          <w:b/>
          <w:bCs/>
          <w:color w:val="auto"/>
          <w:sz w:val="32"/>
          <w:szCs w:val="32"/>
          <w:highlight w:val="none"/>
        </w:rPr>
        <w:t>（一）存在的主要问题</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Times New Roman" w:hAnsi="Times New Roman" w:eastAsia="仿宋_GB2312" w:cs="Times New Roman"/>
          <w:b w:val="0"/>
          <w:bCs w:val="0"/>
          <w:strike w:val="0"/>
          <w:dstrike w:val="0"/>
          <w:color w:val="auto"/>
          <w:sz w:val="32"/>
          <w:szCs w:val="32"/>
          <w:highlight w:val="none"/>
          <w:lang w:val="en-US" w:eastAsia="zh-CN"/>
        </w:rPr>
      </w:pPr>
      <w:r>
        <w:rPr>
          <w:rFonts w:hint="eastAsia" w:ascii="Times New Roman" w:hAnsi="Times New Roman" w:eastAsia="仿宋_GB2312" w:cs="Times New Roman"/>
          <w:b w:val="0"/>
          <w:bCs w:val="0"/>
          <w:strike w:val="0"/>
          <w:dstrike w:val="0"/>
          <w:color w:val="auto"/>
          <w:sz w:val="32"/>
          <w:szCs w:val="32"/>
          <w:highlight w:val="none"/>
          <w:lang w:val="en-US" w:eastAsia="zh-CN"/>
        </w:rPr>
        <w:t>根据上级对该项目的核查整改要求，2024年10月份，双方通过签订补充合同，完成了上级指出的整改意见。双方在商谈签订合同过程中，同意待补充合同签及政府批准后，再支付缺口补助，导致未在绩效目标预期时间内完成缺口补助发放工作。12月份，双方的补充合同经政府批准后，我办向管廊公司全额支付了全年运营期可行性缺口补助资金。</w:t>
      </w:r>
    </w:p>
    <w:p>
      <w:pPr>
        <w:keepNext w:val="0"/>
        <w:keepLines w:val="0"/>
        <w:pageBreakBefore w:val="0"/>
        <w:widowControl w:val="0"/>
        <w:kinsoku/>
        <w:wordWrap/>
        <w:overflowPunct/>
        <w:topLinePunct w:val="0"/>
        <w:autoSpaceDE/>
        <w:autoSpaceDN/>
        <w:bidi w:val="0"/>
        <w:spacing w:line="580" w:lineRule="exact"/>
        <w:ind w:left="0" w:leftChars="0" w:right="0" w:firstLine="643" w:firstLineChars="200"/>
        <w:jc w:val="both"/>
        <w:textAlignment w:val="auto"/>
        <w:outlineLvl w:val="9"/>
        <w:rPr>
          <w:rFonts w:hint="default" w:ascii="Times New Roman" w:hAnsi="Times New Roman" w:eastAsia="楷体" w:cs="Times New Roman"/>
          <w:b/>
          <w:bCs/>
          <w:color w:val="auto"/>
          <w:sz w:val="32"/>
          <w:szCs w:val="32"/>
          <w:highlight w:val="none"/>
          <w:lang w:val="en-US" w:eastAsia="zh-CN"/>
        </w:rPr>
      </w:pPr>
      <w:r>
        <w:rPr>
          <w:rFonts w:hint="default" w:ascii="Times New Roman" w:hAnsi="Times New Roman" w:eastAsia="楷体" w:cs="Times New Roman"/>
          <w:b/>
          <w:bCs/>
          <w:color w:val="auto"/>
          <w:sz w:val="32"/>
          <w:szCs w:val="32"/>
          <w:highlight w:val="none"/>
          <w:lang w:val="en-US" w:eastAsia="zh-CN"/>
        </w:rPr>
        <w:t>（二）针对问题提出具体的改进措施或建议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b w:val="0"/>
          <w:bCs w:val="0"/>
          <w:strike w:val="0"/>
          <w:dstrike w:val="0"/>
          <w:color w:val="auto"/>
          <w:sz w:val="32"/>
          <w:szCs w:val="32"/>
          <w:highlight w:val="none"/>
          <w:lang w:val="en-US" w:eastAsia="zh-CN"/>
        </w:rPr>
        <w:t>下一步，将增加考核指标和优化绩效指标设置，进一步全面反映财政资金使用的绩效。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Times New Roman" w:hAnsi="Times New Roman" w:eastAsia="黑体" w:cs="Times New Roman"/>
          <w:sz w:val="32"/>
          <w:szCs w:val="32"/>
          <w:highlight w:val="none"/>
        </w:rPr>
      </w:pPr>
    </w:p>
    <w:p>
      <w:pPr>
        <w:pStyle w:val="2"/>
        <w:keepNext w:val="0"/>
        <w:keepLines w:val="0"/>
        <w:pageBreakBefore w:val="0"/>
        <w:kinsoku/>
        <w:wordWrap/>
        <w:overflowPunct/>
        <w:topLinePunct w:val="0"/>
        <w:autoSpaceDE/>
        <w:autoSpaceDN/>
        <w:bidi w:val="0"/>
        <w:adjustRightInd/>
        <w:snapToGrid/>
        <w:spacing w:line="580" w:lineRule="exact"/>
        <w:ind w:left="0" w:leftChars="0" w:firstLine="640" w:firstLineChars="200"/>
        <w:jc w:val="both"/>
        <w:textAlignment w:val="auto"/>
        <w:rPr>
          <w:rFonts w:hint="default" w:ascii="Times New Roman" w:hAnsi="Times New Roman" w:eastAsia="仿宋_GB2312" w:cs="Times New Roman"/>
          <w:b w:val="0"/>
          <w:bCs w:val="0"/>
          <w:strike w:val="0"/>
          <w:dstrike w:val="0"/>
          <w:color w:val="auto"/>
          <w:kern w:val="0"/>
          <w:sz w:val="32"/>
          <w:szCs w:val="32"/>
          <w:lang w:val="en-US" w:eastAsia="zh-CN"/>
        </w:rPr>
      </w:pPr>
    </w:p>
    <w:p>
      <w:pPr>
        <w:pStyle w:val="2"/>
        <w:keepNext w:val="0"/>
        <w:keepLines w:val="0"/>
        <w:pageBreakBefore w:val="0"/>
        <w:kinsoku/>
        <w:wordWrap/>
        <w:overflowPunct/>
        <w:topLinePunct w:val="0"/>
        <w:autoSpaceDE/>
        <w:autoSpaceDN/>
        <w:bidi w:val="0"/>
        <w:adjustRightInd/>
        <w:snapToGrid/>
        <w:spacing w:line="580" w:lineRule="exact"/>
        <w:ind w:left="0" w:leftChars="0" w:firstLine="3840" w:firstLineChars="1200"/>
        <w:jc w:val="both"/>
        <w:textAlignment w:val="auto"/>
        <w:rPr>
          <w:rFonts w:hint="default" w:ascii="Times New Roman" w:hAnsi="Times New Roman" w:cs="Times New Roman"/>
          <w:b w:val="0"/>
          <w:bCs w:val="0"/>
          <w:strike w:val="0"/>
          <w:dstrike w:val="0"/>
          <w:color w:val="auto"/>
          <w:kern w:val="0"/>
          <w:sz w:val="32"/>
          <w:szCs w:val="32"/>
          <w:lang w:val="en-US" w:eastAsia="zh-CN"/>
        </w:rPr>
      </w:pPr>
      <w:r>
        <w:rPr>
          <w:rFonts w:hint="default" w:ascii="Times New Roman" w:hAnsi="Times New Roman" w:cs="Times New Roman"/>
          <w:b w:val="0"/>
          <w:bCs w:val="0"/>
          <w:strike w:val="0"/>
          <w:dstrike w:val="0"/>
          <w:color w:val="auto"/>
          <w:kern w:val="0"/>
          <w:sz w:val="32"/>
          <w:szCs w:val="32"/>
          <w:lang w:val="en-US" w:eastAsia="zh-CN"/>
        </w:rPr>
        <w:t>石家庄市轨道交通建设办公室</w:t>
      </w:r>
    </w:p>
    <w:p>
      <w:pPr>
        <w:pStyle w:val="2"/>
        <w:keepNext w:val="0"/>
        <w:keepLines w:val="0"/>
        <w:pageBreakBefore w:val="0"/>
        <w:kinsoku/>
        <w:wordWrap/>
        <w:overflowPunct/>
        <w:topLinePunct w:val="0"/>
        <w:autoSpaceDE/>
        <w:autoSpaceDN/>
        <w:bidi w:val="0"/>
        <w:adjustRightInd/>
        <w:snapToGrid/>
        <w:spacing w:line="580" w:lineRule="exact"/>
        <w:ind w:left="0" w:leftChars="0" w:firstLine="3840" w:firstLineChars="1200"/>
        <w:jc w:val="both"/>
        <w:textAlignment w:val="auto"/>
        <w:rPr>
          <w:rFonts w:hint="default" w:ascii="Times New Roman" w:hAnsi="Times New Roman" w:cs="Times New Roman"/>
          <w:b w:val="0"/>
          <w:bCs w:val="0"/>
          <w:strike w:val="0"/>
          <w:dstrike w:val="0"/>
          <w:color w:val="auto"/>
          <w:kern w:val="0"/>
          <w:sz w:val="32"/>
          <w:szCs w:val="32"/>
          <w:lang w:val="en-US" w:eastAsia="zh-CN"/>
        </w:rPr>
      </w:pPr>
      <w:r>
        <w:rPr>
          <w:rFonts w:hint="default" w:ascii="Times New Roman" w:hAnsi="Times New Roman" w:cs="Times New Roman"/>
          <w:b w:val="0"/>
          <w:bCs w:val="0"/>
          <w:strike w:val="0"/>
          <w:dstrike w:val="0"/>
          <w:color w:val="auto"/>
          <w:kern w:val="0"/>
          <w:sz w:val="32"/>
          <w:szCs w:val="32"/>
          <w:lang w:val="en-US" w:eastAsia="zh-CN"/>
        </w:rPr>
        <w:t xml:space="preserve">     2025年3月27日</w:t>
      </w:r>
    </w:p>
    <w:p>
      <w:pPr>
        <w:keepNext w:val="0"/>
        <w:keepLines w:val="0"/>
        <w:pageBreakBefore w:val="0"/>
        <w:widowControl w:val="0"/>
        <w:kinsoku/>
        <w:wordWrap/>
        <w:overflowPunct/>
        <w:topLinePunct w:val="0"/>
        <w:autoSpaceDE/>
        <w:autoSpaceDN/>
        <w:bidi w:val="0"/>
        <w:spacing w:line="580" w:lineRule="exact"/>
        <w:textAlignment w:val="auto"/>
        <w:rPr>
          <w:rFonts w:hint="default" w:ascii="Times New Roman" w:hAnsi="Times New Roman" w:eastAsia="仿宋" w:cs="Times New Roman"/>
          <w:highlight w:val="yellow"/>
        </w:rPr>
      </w:pPr>
    </w:p>
    <w:sectPr>
      <w:footerReference r:id="rId3" w:type="default"/>
      <w:pgSz w:w="11906" w:h="16838"/>
      <w:pgMar w:top="1417" w:right="1474" w:bottom="1417" w:left="1474"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04CFA08"/>
    <w:multiLevelType w:val="singleLevel"/>
    <w:tmpl w:val="504CFA08"/>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346494"/>
    <w:rsid w:val="0BB63BED"/>
    <w:rsid w:val="0EB97A43"/>
    <w:rsid w:val="0EBD2122"/>
    <w:rsid w:val="0F214EAE"/>
    <w:rsid w:val="11B71E6A"/>
    <w:rsid w:val="12120CF1"/>
    <w:rsid w:val="19C511E9"/>
    <w:rsid w:val="1AAF0063"/>
    <w:rsid w:val="1BE140DE"/>
    <w:rsid w:val="1E542E40"/>
    <w:rsid w:val="20B751EA"/>
    <w:rsid w:val="248C197D"/>
    <w:rsid w:val="24A32A28"/>
    <w:rsid w:val="24FA20DB"/>
    <w:rsid w:val="252959AF"/>
    <w:rsid w:val="277A6671"/>
    <w:rsid w:val="292D35B7"/>
    <w:rsid w:val="2F09737E"/>
    <w:rsid w:val="2F3F651B"/>
    <w:rsid w:val="307D7A8B"/>
    <w:rsid w:val="31E7630A"/>
    <w:rsid w:val="32992CA6"/>
    <w:rsid w:val="33EB6CFF"/>
    <w:rsid w:val="35A12947"/>
    <w:rsid w:val="37387040"/>
    <w:rsid w:val="3B042CAA"/>
    <w:rsid w:val="3B625C0A"/>
    <w:rsid w:val="3CEE1963"/>
    <w:rsid w:val="436B78D3"/>
    <w:rsid w:val="4B275545"/>
    <w:rsid w:val="4C9C27FE"/>
    <w:rsid w:val="4F127BD2"/>
    <w:rsid w:val="512260B4"/>
    <w:rsid w:val="52BD6ACB"/>
    <w:rsid w:val="54C90D61"/>
    <w:rsid w:val="553B1543"/>
    <w:rsid w:val="55537534"/>
    <w:rsid w:val="561A74F1"/>
    <w:rsid w:val="58B17416"/>
    <w:rsid w:val="597244E8"/>
    <w:rsid w:val="5A493E07"/>
    <w:rsid w:val="5B197BAE"/>
    <w:rsid w:val="5C5D4C3B"/>
    <w:rsid w:val="5EB71C30"/>
    <w:rsid w:val="614C29B1"/>
    <w:rsid w:val="638970AE"/>
    <w:rsid w:val="66093998"/>
    <w:rsid w:val="66431800"/>
    <w:rsid w:val="66AF0CE5"/>
    <w:rsid w:val="68AC2130"/>
    <w:rsid w:val="6A3153B5"/>
    <w:rsid w:val="6AC537CF"/>
    <w:rsid w:val="6E5B14A6"/>
    <w:rsid w:val="6FE215E2"/>
    <w:rsid w:val="707D2221"/>
    <w:rsid w:val="711B255E"/>
    <w:rsid w:val="71A04147"/>
    <w:rsid w:val="748A43C3"/>
    <w:rsid w:val="7BB51E06"/>
    <w:rsid w:val="7C387F7C"/>
    <w:rsid w:val="7CBF462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5">
    <w:name w:val="heading 2"/>
    <w:basedOn w:val="1"/>
    <w:next w:val="1"/>
    <w:qFormat/>
    <w:uiPriority w:val="99"/>
    <w:pPr>
      <w:keepNext/>
      <w:keepLines/>
      <w:spacing w:line="360" w:lineRule="auto"/>
      <w:outlineLvl w:val="1"/>
    </w:pPr>
    <w:rPr>
      <w:rFonts w:ascii="Cambria" w:hAnsi="Cambria"/>
      <w:bCs/>
      <w:sz w:val="32"/>
      <w:szCs w:val="32"/>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pacing w:line="600" w:lineRule="exact"/>
      <w:ind w:firstLine="834" w:firstLineChars="200"/>
      <w:jc w:val="left"/>
    </w:pPr>
    <w:rPr>
      <w:rFonts w:ascii="Times New Roman" w:hAnsi="Times New Roman" w:eastAsia="仿宋_GB2312"/>
      <w:sz w:val="32"/>
    </w:rPr>
  </w:style>
  <w:style w:type="paragraph" w:styleId="3">
    <w:name w:val="Body Text Indent"/>
    <w:basedOn w:val="1"/>
    <w:next w:val="4"/>
    <w:qFormat/>
    <w:uiPriority w:val="0"/>
    <w:pPr>
      <w:ind w:left="420" w:leftChars="200"/>
    </w:pPr>
  </w:style>
  <w:style w:type="paragraph" w:styleId="4">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26</TotalTime>
  <ScaleCrop>false</ScaleCrop>
  <LinksUpToDate>false</LinksUpToDate>
  <CharactersWithSpaces>612</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T</cp:lastModifiedBy>
  <cp:lastPrinted>2024-03-06T07:40:00Z</cp:lastPrinted>
  <dcterms:modified xsi:type="dcterms:W3CDTF">2025-05-19T03:23:42Z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