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600" w:lineRule="exact"/>
        <w:ind w:right="0"/>
        <w:jc w:val="center"/>
        <w:textAlignment w:val="auto"/>
        <w:outlineLvl w:val="9"/>
        <w:rPr>
          <w:rFonts w:hint="default" w:ascii="Times New Roman" w:hAnsi="Times New Roman" w:cs="Times New Roman" w:eastAsiaTheme="majorEastAsia"/>
          <w:b/>
          <w:bCs/>
          <w:color w:val="auto"/>
          <w:sz w:val="44"/>
          <w:szCs w:val="44"/>
          <w:lang w:val="en-US" w:eastAsia="zh-CN"/>
        </w:rPr>
      </w:pPr>
      <w:r>
        <w:rPr>
          <w:rFonts w:hint="default" w:ascii="Times New Roman" w:hAnsi="Times New Roman" w:cs="Times New Roman" w:eastAsiaTheme="majorEastAsia"/>
          <w:b/>
          <w:bCs/>
          <w:color w:val="auto"/>
          <w:sz w:val="44"/>
          <w:szCs w:val="44"/>
          <w:lang w:val="en-US" w:eastAsia="zh-CN"/>
        </w:rPr>
        <w:t>石家庄市轨道交通建设办公室</w:t>
      </w:r>
    </w:p>
    <w:p>
      <w:pPr>
        <w:spacing w:line="560" w:lineRule="exact"/>
        <w:jc w:val="center"/>
        <w:rPr>
          <w:rFonts w:hint="default" w:ascii="Times New Roman" w:hAnsi="Times New Roman" w:cs="Times New Roman" w:eastAsiaTheme="majorEastAsia"/>
          <w:b/>
          <w:bCs/>
          <w:color w:val="auto"/>
          <w:sz w:val="44"/>
          <w:szCs w:val="44"/>
        </w:rPr>
      </w:pPr>
      <w:r>
        <w:rPr>
          <w:rFonts w:hint="default" w:ascii="Times New Roman" w:hAnsi="Times New Roman" w:cs="Times New Roman"/>
          <w:b/>
          <w:bCs/>
          <w:sz w:val="44"/>
          <w:szCs w:val="44"/>
        </w:rPr>
        <w:t>2022年</w:t>
      </w:r>
      <w:r>
        <w:rPr>
          <w:rFonts w:hint="eastAsia" w:ascii="宋体" w:hAnsi="宋体" w:cs="宋体"/>
          <w:b/>
          <w:bCs/>
          <w:sz w:val="44"/>
          <w:szCs w:val="44"/>
        </w:rPr>
        <w:t>度整体支出绩效自评报告</w:t>
      </w:r>
    </w:p>
    <w:p>
      <w:pPr>
        <w:pStyle w:val="2"/>
        <w:rPr>
          <w:rFonts w:hint="default" w:ascii="Times New Roman" w:hAnsi="Times New Roman" w:cs="Times New Roman"/>
        </w:rPr>
      </w:pP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贯彻落实市委市政府《关于全面落实预算绩效管理的实施意见》（石发﹝2019﹞8号）文件精神，遵</w:t>
      </w:r>
      <w:r>
        <w:rPr>
          <w:rFonts w:hint="eastAsia" w:ascii="仿宋" w:hAnsi="仿宋" w:eastAsia="仿宋" w:cs="仿宋"/>
          <w:sz w:val="32"/>
          <w:szCs w:val="32"/>
        </w:rPr>
        <w:t>循“科学性、规范性、客观性和公正性”的原则，对石家庄市轨道</w:t>
      </w:r>
      <w:r>
        <w:rPr>
          <w:rFonts w:hint="default" w:ascii="Times New Roman" w:hAnsi="Times New Roman" w:eastAsia="仿宋" w:cs="Times New Roman"/>
          <w:sz w:val="32"/>
          <w:szCs w:val="32"/>
        </w:rPr>
        <w:t>交通建设办公室2022年整体支出情况实施了财政支出绩效自评价，形成本评价报告。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600" w:lineRule="exact"/>
        <w:textAlignment w:val="auto"/>
        <w:rPr>
          <w:rFonts w:hint="default" w:ascii="Times New Roman" w:hAnsi="Times New Roman" w:eastAsia="黑体" w:cs="Times New Roman"/>
          <w:b/>
          <w:bCs/>
          <w:sz w:val="32"/>
          <w:szCs w:val="36"/>
        </w:rPr>
      </w:pPr>
      <w:r>
        <w:rPr>
          <w:rFonts w:hint="default" w:ascii="Times New Roman" w:hAnsi="Times New Roman" w:eastAsia="黑体" w:cs="Times New Roman"/>
          <w:sz w:val="32"/>
          <w:szCs w:val="32"/>
        </w:rPr>
        <w:t xml:space="preserve">     一、部门</w:t>
      </w:r>
      <w:r>
        <w:rPr>
          <w:rFonts w:hint="default" w:ascii="Times New Roman" w:hAnsi="Times New Roman" w:eastAsia="黑体" w:cs="Times New Roman"/>
          <w:sz w:val="32"/>
          <w:szCs w:val="36"/>
        </w:rPr>
        <w:t>基本情况</w:t>
      </w:r>
    </w:p>
    <w:p>
      <w:pPr>
        <w:keepNext w:val="0"/>
        <w:keepLines w:val="0"/>
        <w:pageBreakBefore w:val="0"/>
        <w:kinsoku/>
        <w:wordWrap/>
        <w:overflowPunct/>
        <w:topLinePunct w:val="0"/>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bCs w:val="0"/>
          <w:sz w:val="32"/>
          <w:szCs w:val="32"/>
        </w:rPr>
      </w:pPr>
      <w:r>
        <w:rPr>
          <w:rFonts w:hint="default" w:ascii="Times New Roman" w:hAnsi="Times New Roman" w:eastAsia="楷体" w:cs="Times New Roman"/>
          <w:b/>
          <w:bCs w:val="0"/>
          <w:sz w:val="32"/>
          <w:szCs w:val="32"/>
        </w:rPr>
        <w:t>（一）部门概况</w:t>
      </w:r>
    </w:p>
    <w:p>
      <w:pPr>
        <w:keepNext w:val="0"/>
        <w:keepLines w:val="0"/>
        <w:pageBreakBefore w:val="0"/>
        <w:kinsoku/>
        <w:wordWrap/>
        <w:overflowPunct/>
        <w:topLinePunct w:val="0"/>
        <w:autoSpaceDE/>
        <w:autoSpaceDN/>
        <w:bidi w:val="0"/>
        <w:adjustRightInd/>
        <w:snapToGrid w:val="0"/>
        <w:spacing w:line="600" w:lineRule="exact"/>
        <w:ind w:left="0" w:leftChars="0" w:firstLine="643" w:firstLineChars="200"/>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w:t>
      </w:r>
      <w:r>
        <w:rPr>
          <w:rFonts w:hint="default" w:ascii="Times New Roman" w:hAnsi="Times New Roman" w:eastAsia="仿宋_GB2312" w:cs="Times New Roman"/>
          <w:b/>
          <w:bCs/>
          <w:color w:val="auto"/>
          <w:sz w:val="32"/>
          <w:szCs w:val="32"/>
          <w:lang w:val="en-US" w:eastAsia="zh-CN"/>
        </w:rPr>
        <w:t>.部门职能</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（1）贯彻执行国家、省、市有关城市轨道交通的方针、政策和法律法规，研究拟订全市轨道交通发展战略。</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（2）负责轨道交通线网规划和建设规划的编制工作。</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（3）代表市政府下达轨道交通建设任务，行使协调、监督和检查职责，推动市直各部门、各县（市、区）和各轨道交通建设单位共同抓好轨道交通建设。</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（4）负责审定我市轨道交通建设模式。</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（5）负责监管轨道交通运营工作。</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（6）承担轨道交通建设指挥部交办的服务保障性工作。</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（7）完成市委、市政府交办的其它工作。</w:t>
      </w:r>
    </w:p>
    <w:p>
      <w:pPr>
        <w:keepNext w:val="0"/>
        <w:keepLines w:val="0"/>
        <w:pageBreakBefore w:val="0"/>
        <w:numPr>
          <w:ilvl w:val="0"/>
          <w:numId w:val="0"/>
        </w:numPr>
        <w:kinsoku/>
        <w:wordWrap/>
        <w:overflowPunct/>
        <w:topLinePunct w:val="0"/>
        <w:autoSpaceDE/>
        <w:autoSpaceDN/>
        <w:bidi w:val="0"/>
        <w:adjustRightInd/>
        <w:spacing w:line="600" w:lineRule="exact"/>
        <w:ind w:left="0" w:leftChars="0" w:firstLine="643" w:firstLineChars="200"/>
        <w:jc w:val="left"/>
        <w:textAlignment w:val="auto"/>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val="en-US" w:eastAsia="zh-CN"/>
        </w:rPr>
        <w:t>2.组织机构情况</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内设机构</w:t>
      </w:r>
      <w:r>
        <w:rPr>
          <w:rFonts w:hint="default" w:ascii="Times New Roman" w:hAnsi="Times New Roman" w:eastAsia="仿宋_GB2312" w:cs="Times New Roman"/>
          <w:color w:val="auto"/>
          <w:sz w:val="32"/>
          <w:szCs w:val="32"/>
        </w:rPr>
        <w:t>9个</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即：</w:t>
      </w:r>
      <w:r>
        <w:rPr>
          <w:rFonts w:hint="default" w:ascii="Times New Roman" w:hAnsi="Times New Roman" w:eastAsia="仿宋_GB2312" w:cs="Times New Roman"/>
          <w:color w:val="auto"/>
          <w:sz w:val="32"/>
          <w:szCs w:val="32"/>
        </w:rPr>
        <w:t>综合办公室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机关党委（机关纪委）</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规划发展科、</w:t>
      </w:r>
      <w:r>
        <w:rPr>
          <w:rFonts w:hint="default" w:ascii="Times New Roman" w:hAnsi="Times New Roman" w:eastAsia="仿宋_GB2312" w:cs="Times New Roman"/>
          <w:color w:val="auto"/>
          <w:sz w:val="32"/>
          <w:szCs w:val="32"/>
          <w:lang w:val="en-US" w:eastAsia="zh-CN"/>
        </w:rPr>
        <w:t>前期协调科、</w:t>
      </w:r>
      <w:r>
        <w:rPr>
          <w:rFonts w:hint="default" w:ascii="Times New Roman" w:hAnsi="Times New Roman" w:eastAsia="仿宋_GB2312" w:cs="Times New Roman"/>
          <w:color w:val="auto"/>
          <w:sz w:val="32"/>
          <w:szCs w:val="32"/>
        </w:rPr>
        <w:t>工程管理科、</w:t>
      </w:r>
      <w:r>
        <w:rPr>
          <w:rFonts w:hint="default" w:ascii="Times New Roman" w:hAnsi="Times New Roman" w:eastAsia="仿宋_GB2312" w:cs="Times New Roman"/>
          <w:color w:val="auto"/>
          <w:sz w:val="32"/>
          <w:szCs w:val="32"/>
          <w:lang w:val="en-US" w:eastAsia="zh-CN"/>
        </w:rPr>
        <w:t>安全管理科、</w:t>
      </w:r>
      <w:r>
        <w:rPr>
          <w:rFonts w:hint="default" w:ascii="Times New Roman" w:hAnsi="Times New Roman" w:eastAsia="仿宋_GB2312" w:cs="Times New Roman"/>
          <w:color w:val="auto"/>
          <w:sz w:val="32"/>
          <w:szCs w:val="32"/>
          <w:lang w:eastAsia="zh-CN"/>
        </w:rPr>
        <w:t>运营管理</w:t>
      </w:r>
      <w:r>
        <w:rPr>
          <w:rFonts w:hint="default" w:ascii="Times New Roman" w:hAnsi="Times New Roman" w:eastAsia="仿宋_GB2312" w:cs="Times New Roman"/>
          <w:color w:val="auto"/>
          <w:sz w:val="32"/>
          <w:szCs w:val="32"/>
        </w:rPr>
        <w:t>科、</w:t>
      </w:r>
      <w:r>
        <w:rPr>
          <w:rFonts w:hint="default" w:ascii="Times New Roman" w:hAnsi="Times New Roman" w:eastAsia="仿宋_GB2312" w:cs="Times New Roman"/>
          <w:color w:val="auto"/>
          <w:sz w:val="32"/>
          <w:szCs w:val="32"/>
          <w:lang w:eastAsia="zh-CN"/>
        </w:rPr>
        <w:t>资源开发管理科、人事科</w:t>
      </w:r>
      <w:r>
        <w:rPr>
          <w:rFonts w:hint="default" w:ascii="Times New Roman" w:hAnsi="Times New Roman" w:eastAsia="仿宋_GB2312" w:cs="Times New Roman"/>
          <w:color w:val="auto"/>
          <w:sz w:val="32"/>
          <w:szCs w:val="32"/>
        </w:rPr>
        <w:t>。中层职数9正</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副。</w:t>
      </w:r>
    </w:p>
    <w:p>
      <w:pPr>
        <w:keepNext w:val="0"/>
        <w:keepLines w:val="0"/>
        <w:pageBreakBefore w:val="0"/>
        <w:numPr>
          <w:ilvl w:val="0"/>
          <w:numId w:val="0"/>
        </w:numPr>
        <w:kinsoku/>
        <w:wordWrap/>
        <w:overflowPunct/>
        <w:topLinePunct w:val="0"/>
        <w:autoSpaceDE/>
        <w:autoSpaceDN/>
        <w:bidi w:val="0"/>
        <w:adjustRightInd/>
        <w:snapToGrid w:val="0"/>
        <w:spacing w:line="600" w:lineRule="exact"/>
        <w:ind w:left="0" w:leftChars="0" w:firstLine="643" w:firstLineChars="200"/>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lang w:val="en-US" w:eastAsia="zh-CN"/>
        </w:rPr>
        <w:t>3.</w:t>
      </w:r>
      <w:r>
        <w:rPr>
          <w:rFonts w:hint="default" w:ascii="Times New Roman" w:hAnsi="Times New Roman" w:eastAsia="仿宋_GB2312" w:cs="Times New Roman"/>
          <w:b/>
          <w:bCs/>
          <w:color w:val="auto"/>
          <w:sz w:val="32"/>
          <w:szCs w:val="32"/>
        </w:rPr>
        <w:t>人员情况</w:t>
      </w:r>
    </w:p>
    <w:p>
      <w:pPr>
        <w:keepNext w:val="0"/>
        <w:keepLines w:val="0"/>
        <w:pageBreakBefore w:val="0"/>
        <w:numPr>
          <w:ilvl w:val="-1"/>
          <w:numId w:val="0"/>
        </w:numPr>
        <w:kinsoku/>
        <w:wordWrap/>
        <w:overflowPunct/>
        <w:topLinePunct w:val="0"/>
        <w:autoSpaceDE/>
        <w:autoSpaceDN/>
        <w:bidi w:val="0"/>
        <w:adjustRightInd/>
        <w:snapToGrid w:val="0"/>
        <w:spacing w:line="600" w:lineRule="exact"/>
        <w:ind w:left="0" w:leftChars="0"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lang w:val="en-US" w:eastAsia="zh-CN"/>
        </w:rPr>
        <w:t>本年年初实有人数33人，年末实有人数33人。</w:t>
      </w:r>
      <w:r>
        <w:rPr>
          <w:rFonts w:hint="default" w:ascii="Times New Roman" w:hAnsi="Times New Roman" w:eastAsia="仿宋_GB2312" w:cs="Times New Roman"/>
          <w:color w:val="auto"/>
          <w:sz w:val="32"/>
          <w:szCs w:val="32"/>
          <w:highlight w:val="none"/>
          <w:lang w:val="en-US" w:eastAsia="zh-CN"/>
        </w:rPr>
        <w:t>增人1人，减人1人，变动原因为事业单位公开选调1人，调走1人。</w:t>
      </w:r>
    </w:p>
    <w:p>
      <w:pPr>
        <w:keepNext w:val="0"/>
        <w:keepLines w:val="0"/>
        <w:pageBreakBefore w:val="0"/>
        <w:kinsoku/>
        <w:wordWrap/>
        <w:overflowPunct/>
        <w:topLinePunct w:val="0"/>
        <w:autoSpaceDE/>
        <w:autoSpaceDN/>
        <w:bidi w:val="0"/>
        <w:adjustRightInd/>
        <w:snapToGrid w:val="0"/>
        <w:spacing w:line="600" w:lineRule="exact"/>
        <w:ind w:left="0" w:leftChars="0" w:firstLine="643" w:firstLineChars="200"/>
        <w:textAlignment w:val="auto"/>
        <w:rPr>
          <w:rFonts w:hint="default" w:ascii="Times New Roman" w:hAnsi="Times New Roman" w:eastAsia="仿宋_GB2312" w:cs="Times New Roman"/>
          <w:b/>
          <w:color w:val="auto"/>
          <w:sz w:val="32"/>
          <w:szCs w:val="32"/>
        </w:rPr>
      </w:pPr>
      <w:r>
        <w:rPr>
          <w:rFonts w:hint="default" w:ascii="Times New Roman" w:hAnsi="Times New Roman" w:eastAsia="仿宋_GB2312" w:cs="Times New Roman"/>
          <w:b/>
          <w:color w:val="auto"/>
          <w:sz w:val="32"/>
          <w:szCs w:val="32"/>
          <w:lang w:val="en-US" w:eastAsia="zh-CN"/>
        </w:rPr>
        <w:t>4.</w:t>
      </w:r>
      <w:r>
        <w:rPr>
          <w:rFonts w:hint="default" w:ascii="Times New Roman" w:hAnsi="Times New Roman" w:eastAsia="仿宋_GB2312" w:cs="Times New Roman"/>
          <w:b/>
          <w:color w:val="auto"/>
          <w:sz w:val="32"/>
          <w:szCs w:val="32"/>
        </w:rPr>
        <w:t>资产</w:t>
      </w:r>
      <w:r>
        <w:rPr>
          <w:rFonts w:hint="default" w:ascii="Times New Roman" w:hAnsi="Times New Roman" w:eastAsia="仿宋_GB2312" w:cs="Times New Roman"/>
          <w:b/>
          <w:color w:val="auto"/>
          <w:sz w:val="32"/>
          <w:szCs w:val="32"/>
          <w:lang w:val="en-US" w:eastAsia="zh-CN"/>
        </w:rPr>
        <w:t>信息</w:t>
      </w:r>
      <w:r>
        <w:rPr>
          <w:rFonts w:hint="default" w:ascii="Times New Roman" w:hAnsi="Times New Roman" w:eastAsia="仿宋_GB2312" w:cs="Times New Roman"/>
          <w:b/>
          <w:color w:val="auto"/>
          <w:sz w:val="32"/>
          <w:szCs w:val="32"/>
        </w:rPr>
        <w:t>情况</w:t>
      </w:r>
    </w:p>
    <w:p>
      <w:pPr>
        <w:pStyle w:val="2"/>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年末</w:t>
      </w:r>
      <w:r>
        <w:rPr>
          <w:rFonts w:hint="default" w:ascii="Times New Roman" w:hAnsi="Times New Roman" w:eastAsia="仿宋_GB2312" w:cs="Times New Roman"/>
          <w:color w:val="auto"/>
          <w:sz w:val="32"/>
          <w:szCs w:val="32"/>
          <w:lang w:eastAsia="zh-CN"/>
        </w:rPr>
        <w:t>本单位</w:t>
      </w:r>
      <w:r>
        <w:rPr>
          <w:rFonts w:hint="default" w:ascii="Times New Roman" w:hAnsi="Times New Roman" w:eastAsia="仿宋_GB2312" w:cs="Times New Roman"/>
          <w:color w:val="auto"/>
          <w:sz w:val="32"/>
          <w:szCs w:val="32"/>
        </w:rPr>
        <w:t>资产</w:t>
      </w:r>
      <w:r>
        <w:rPr>
          <w:rFonts w:hint="default" w:ascii="Times New Roman" w:hAnsi="Times New Roman" w:eastAsia="仿宋_GB2312" w:cs="Times New Roman"/>
          <w:color w:val="auto"/>
          <w:sz w:val="32"/>
          <w:szCs w:val="32"/>
          <w:lang w:eastAsia="zh-CN"/>
        </w:rPr>
        <w:t>总计</w:t>
      </w:r>
      <w:r>
        <w:rPr>
          <w:rFonts w:hint="default" w:ascii="Times New Roman" w:hAnsi="Times New Roman" w:cs="Times New Roman"/>
          <w:color w:val="auto"/>
          <w:sz w:val="32"/>
          <w:szCs w:val="32"/>
          <w:lang w:val="en-US" w:eastAsia="zh-CN"/>
        </w:rPr>
        <w:t>33.71</w:t>
      </w:r>
      <w:r>
        <w:rPr>
          <w:rFonts w:hint="default" w:ascii="Times New Roman" w:hAnsi="Times New Roman" w:eastAsia="仿宋_GB2312" w:cs="Times New Roman"/>
          <w:color w:val="auto"/>
          <w:sz w:val="32"/>
          <w:szCs w:val="32"/>
          <w:lang w:val="en-US" w:eastAsia="zh-CN"/>
        </w:rPr>
        <w:t>万元，其中：货币资金</w:t>
      </w:r>
      <w:r>
        <w:rPr>
          <w:rFonts w:hint="default" w:ascii="Times New Roman" w:hAnsi="Times New Roman" w:cs="Times New Roman"/>
          <w:color w:val="auto"/>
          <w:sz w:val="32"/>
          <w:szCs w:val="32"/>
          <w:lang w:val="en-US" w:eastAsia="zh-CN"/>
        </w:rPr>
        <w:t>19.01</w:t>
      </w:r>
      <w:r>
        <w:rPr>
          <w:rFonts w:hint="default" w:ascii="Times New Roman" w:hAnsi="Times New Roman" w:eastAsia="仿宋_GB2312" w:cs="Times New Roman"/>
          <w:color w:val="auto"/>
          <w:sz w:val="32"/>
          <w:szCs w:val="32"/>
          <w:lang w:val="en-US" w:eastAsia="zh-CN"/>
        </w:rPr>
        <w:t>万元，固定资产净值</w:t>
      </w:r>
      <w:r>
        <w:rPr>
          <w:rFonts w:hint="default" w:ascii="Times New Roman" w:hAnsi="Times New Roman" w:cs="Times New Roman"/>
          <w:color w:val="auto"/>
          <w:sz w:val="32"/>
          <w:szCs w:val="32"/>
          <w:lang w:val="en-US" w:eastAsia="zh-CN"/>
        </w:rPr>
        <w:t>14.12</w:t>
      </w:r>
      <w:r>
        <w:rPr>
          <w:rFonts w:hint="default" w:ascii="Times New Roman" w:hAnsi="Times New Roman" w:eastAsia="仿宋_GB2312" w:cs="Times New Roman"/>
          <w:color w:val="auto"/>
          <w:sz w:val="32"/>
          <w:szCs w:val="32"/>
          <w:lang w:val="en-US" w:eastAsia="zh-CN"/>
        </w:rPr>
        <w:t>万元。与上年相比，资产</w:t>
      </w:r>
      <w:r>
        <w:rPr>
          <w:rFonts w:hint="default" w:ascii="Times New Roman" w:hAnsi="Times New Roman" w:cs="Times New Roman"/>
          <w:color w:val="auto"/>
          <w:sz w:val="32"/>
          <w:szCs w:val="32"/>
          <w:lang w:val="en-US" w:eastAsia="zh-CN"/>
        </w:rPr>
        <w:t>减少71.64</w:t>
      </w:r>
      <w:r>
        <w:rPr>
          <w:rFonts w:hint="default" w:ascii="Times New Roman" w:hAnsi="Times New Roman" w:eastAsia="仿宋_GB2312" w:cs="Times New Roman"/>
          <w:color w:val="auto"/>
          <w:sz w:val="32"/>
          <w:szCs w:val="32"/>
          <w:lang w:val="en-US" w:eastAsia="zh-CN"/>
        </w:rPr>
        <w:t>万元。</w:t>
      </w:r>
    </w:p>
    <w:p>
      <w:pPr>
        <w:keepNext w:val="0"/>
        <w:keepLines w:val="0"/>
        <w:pageBreakBefore w:val="0"/>
        <w:numPr>
          <w:ilvl w:val="0"/>
          <w:numId w:val="1"/>
        </w:numPr>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楷体" w:cs="Times New Roman"/>
          <w:bCs/>
          <w:sz w:val="32"/>
          <w:szCs w:val="32"/>
        </w:rPr>
      </w:pPr>
      <w:r>
        <w:rPr>
          <w:rFonts w:hint="default" w:ascii="Times New Roman" w:hAnsi="Times New Roman" w:eastAsia="楷体" w:cs="Times New Roman"/>
          <w:bCs/>
          <w:sz w:val="32"/>
          <w:szCs w:val="32"/>
        </w:rPr>
        <w:t>部门收支预决算情况</w:t>
      </w:r>
    </w:p>
    <w:p>
      <w:pPr>
        <w:keepNext w:val="0"/>
        <w:keepLines w:val="0"/>
        <w:pageBreakBefore w:val="0"/>
        <w:kinsoku/>
        <w:wordWrap/>
        <w:overflowPunct/>
        <w:topLinePunct w:val="0"/>
        <w:autoSpaceDE/>
        <w:autoSpaceDN/>
        <w:bidi w:val="0"/>
        <w:adjustRightInd/>
        <w:snapToGrid w:val="0"/>
        <w:spacing w:line="600" w:lineRule="exact"/>
        <w:ind w:left="0" w:leftChars="0" w:firstLine="643" w:firstLineChars="200"/>
        <w:textAlignment w:val="auto"/>
        <w:rPr>
          <w:rFonts w:hint="default" w:ascii="Times New Roman" w:hAnsi="Times New Roman" w:eastAsia="仿宋" w:cs="Times New Roman"/>
          <w:b/>
          <w:color w:val="auto"/>
          <w:sz w:val="32"/>
          <w:szCs w:val="32"/>
        </w:rPr>
      </w:pPr>
      <w:r>
        <w:rPr>
          <w:rFonts w:hint="default" w:ascii="Times New Roman" w:hAnsi="Times New Roman" w:eastAsia="仿宋" w:cs="Times New Roman"/>
          <w:b/>
          <w:color w:val="auto"/>
          <w:sz w:val="32"/>
          <w:szCs w:val="32"/>
          <w:lang w:val="en-US" w:eastAsia="zh-CN"/>
        </w:rPr>
        <w:t>1.</w:t>
      </w:r>
      <w:r>
        <w:rPr>
          <w:rFonts w:hint="default" w:ascii="Times New Roman" w:hAnsi="Times New Roman" w:eastAsia="仿宋" w:cs="Times New Roman"/>
          <w:b/>
          <w:color w:val="auto"/>
          <w:sz w:val="32"/>
          <w:szCs w:val="32"/>
        </w:rPr>
        <w:t>收入支出预算安排情况</w:t>
      </w:r>
    </w:p>
    <w:p>
      <w:pPr>
        <w:pStyle w:val="2"/>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default" w:ascii="Times New Roman" w:hAnsi="Times New Roman" w:cs="Times New Roman"/>
          <w:color w:val="auto"/>
          <w:sz w:val="32"/>
          <w:szCs w:val="32"/>
          <w:highlight w:val="none"/>
          <w:lang w:val="en-US" w:eastAsia="zh-CN"/>
        </w:rPr>
      </w:pPr>
      <w:r>
        <w:rPr>
          <w:rFonts w:hint="default" w:ascii="Times New Roman" w:hAnsi="Times New Roman" w:cs="Times New Roman"/>
          <w:color w:val="auto"/>
          <w:sz w:val="32"/>
          <w:szCs w:val="32"/>
          <w:highlight w:val="none"/>
          <w:lang w:val="en-US" w:eastAsia="zh-CN"/>
        </w:rPr>
        <w:t>2022年部门预算收入总计5911.38万元，较2021年增加1365.98万元，其中：基本支出增加77.12万元，主要为人员经费增加66.22万元，公用经费增加10.9万元；项目支出增加1288.86万元，主要是增加地下管廊（塔北路段）项目可行性缺口补助费1300万元等。</w:t>
      </w:r>
    </w:p>
    <w:p>
      <w:pPr>
        <w:pStyle w:val="2"/>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default" w:ascii="Times New Roman" w:hAnsi="Times New Roman" w:cs="Times New Roman"/>
          <w:color w:val="auto"/>
          <w:sz w:val="32"/>
          <w:szCs w:val="32"/>
          <w:highlight w:val="none"/>
          <w:lang w:val="en-US" w:eastAsia="zh-CN"/>
        </w:rPr>
      </w:pPr>
      <w:r>
        <w:rPr>
          <w:rFonts w:hint="default" w:ascii="Times New Roman" w:hAnsi="Times New Roman" w:cs="Times New Roman"/>
          <w:color w:val="auto"/>
          <w:sz w:val="32"/>
          <w:szCs w:val="32"/>
          <w:highlight w:val="none"/>
          <w:lang w:val="en-US" w:eastAsia="zh-CN"/>
        </w:rPr>
        <w:t>2022年部门支出预算为5911.38万元，其中基本支出591.81万元，包括人员经费534.9万元和日常公用经费56.91万元；项目支出53</w:t>
      </w:r>
      <w:bookmarkStart w:id="0" w:name="_GoBack"/>
      <w:bookmarkEnd w:id="0"/>
      <w:r>
        <w:rPr>
          <w:rFonts w:hint="default" w:ascii="Times New Roman" w:hAnsi="Times New Roman" w:cs="Times New Roman"/>
          <w:color w:val="auto"/>
          <w:sz w:val="32"/>
          <w:szCs w:val="32"/>
          <w:highlight w:val="none"/>
          <w:lang w:val="en-US" w:eastAsia="zh-CN"/>
        </w:rPr>
        <w:t>19.57万元，为办公设备购置7万元、党组织活动经费1.11万元、业务咨询委托费30万元、工作场地租用费81.46万元、地下综合管廊（塔北路段）项目可行性缺口补助5200万元。</w:t>
      </w:r>
    </w:p>
    <w:p>
      <w:pPr>
        <w:pStyle w:val="2"/>
        <w:keepNext w:val="0"/>
        <w:keepLines w:val="0"/>
        <w:pageBreakBefore w:val="0"/>
        <w:kinsoku/>
        <w:wordWrap/>
        <w:overflowPunct/>
        <w:topLinePunct w:val="0"/>
        <w:autoSpaceDE/>
        <w:autoSpaceDN/>
        <w:bidi w:val="0"/>
        <w:adjustRightInd/>
        <w:spacing w:line="600" w:lineRule="exact"/>
        <w:ind w:left="0" w:leftChars="0" w:firstLine="643" w:firstLineChars="200"/>
        <w:textAlignment w:val="auto"/>
        <w:rPr>
          <w:rFonts w:hint="default" w:ascii="Times New Roman" w:hAnsi="Times New Roman" w:eastAsia="仿宋" w:cs="Times New Roman"/>
          <w:b/>
          <w:color w:val="auto"/>
          <w:sz w:val="32"/>
          <w:szCs w:val="32"/>
          <w:highlight w:val="none"/>
        </w:rPr>
      </w:pPr>
      <w:r>
        <w:rPr>
          <w:rFonts w:hint="default" w:ascii="Times New Roman" w:hAnsi="Times New Roman" w:eastAsia="仿宋" w:cs="Times New Roman"/>
          <w:b/>
          <w:color w:val="auto"/>
          <w:sz w:val="32"/>
          <w:szCs w:val="32"/>
          <w:highlight w:val="none"/>
          <w:lang w:val="en-US" w:eastAsia="zh-CN"/>
        </w:rPr>
        <w:t>2.</w:t>
      </w:r>
      <w:r>
        <w:rPr>
          <w:rFonts w:hint="default" w:ascii="Times New Roman" w:hAnsi="Times New Roman" w:eastAsia="仿宋" w:cs="Times New Roman"/>
          <w:b/>
          <w:color w:val="auto"/>
          <w:sz w:val="32"/>
          <w:szCs w:val="32"/>
          <w:highlight w:val="none"/>
        </w:rPr>
        <w:t>收入支出预算执行情况</w:t>
      </w:r>
    </w:p>
    <w:p>
      <w:pPr>
        <w:pStyle w:val="2"/>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default" w:ascii="Times New Roman" w:hAnsi="Times New Roman" w:cs="Times New Roman"/>
          <w:color w:val="auto"/>
          <w:sz w:val="32"/>
          <w:szCs w:val="32"/>
          <w:highlight w:val="none"/>
          <w:lang w:val="en-US" w:eastAsia="zh-CN"/>
        </w:rPr>
      </w:pPr>
      <w:r>
        <w:rPr>
          <w:rFonts w:hint="default" w:ascii="Times New Roman" w:hAnsi="Times New Roman" w:cs="Times New Roman"/>
          <w:color w:val="auto"/>
          <w:sz w:val="32"/>
          <w:szCs w:val="32"/>
          <w:highlight w:val="none"/>
          <w:lang w:val="en-US" w:eastAsia="zh-CN"/>
        </w:rPr>
        <w:t>2022年年初预算收入5911.38万元，决算收入45999.51万元，差异40088.13万元；年初预算支出5911.38万元，决算支出46070.04万元；上年度决算收入4567.18万元，本年决算收入比上年度决算收入增加41502.86万元，主要增加地下管廊（塔北路段）项目可行性缺口补助费1300万元、轨道交通亏损补贴10000万元和轨道交通项目资本金30000万元等。</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楷体" w:cs="Times New Roman"/>
          <w:bCs/>
          <w:sz w:val="32"/>
          <w:szCs w:val="32"/>
        </w:rPr>
      </w:pPr>
      <w:r>
        <w:rPr>
          <w:rFonts w:hint="default" w:ascii="Times New Roman" w:hAnsi="Times New Roman" w:eastAsia="楷体" w:cs="Times New Roman"/>
          <w:bCs/>
          <w:sz w:val="32"/>
          <w:szCs w:val="32"/>
        </w:rPr>
        <w:t>（三）部门整体支出绩效目标、指标</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rPr>
      </w:pPr>
      <w:r>
        <w:rPr>
          <w:rFonts w:hint="default" w:ascii="Times New Roman" w:hAnsi="Times New Roman" w:eastAsia="仿宋" w:cs="Times New Roman"/>
          <w:b/>
          <w:bCs/>
          <w:color w:val="auto"/>
          <w:sz w:val="32"/>
          <w:szCs w:val="32"/>
          <w:lang w:val="en-US" w:eastAsia="zh-CN"/>
        </w:rPr>
        <w:t>1.</w:t>
      </w:r>
      <w:r>
        <w:rPr>
          <w:rFonts w:hint="default" w:ascii="Times New Roman" w:hAnsi="Times New Roman" w:eastAsia="仿宋" w:cs="Times New Roman"/>
          <w:b/>
          <w:bCs/>
          <w:color w:val="auto"/>
          <w:sz w:val="32"/>
          <w:szCs w:val="32"/>
        </w:rPr>
        <w:t>总体绩效目标</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2022年市轨道办将紧紧围绕市委市政府关于轨道交通的决策部署，加快在建工程建设，做好轨道交通在建工程的质量、进度与安全监管工作；结合市本级政府债务风险化解情况，重新启动第二期建设规划的报批程序，力争2022年获得批复，或启动新的第二期建设规划编制工作；对已开通运营的地铁1、2、3号线（2021年以前开通线路）开展轨道交通运营服务质量评价工作；确保地下综合管廊（塔北路段）全年安全科学运营，并完成地下综合管廊（塔北路段）运营维护绩效考核工作；按市政府通知要求，安装值班室视频值班系统</w:t>
      </w:r>
      <w:r>
        <w:rPr>
          <w:rFonts w:hint="eastAsia" w:ascii="仿宋" w:hAnsi="仿宋" w:eastAsia="仿宋" w:cs="仿宋"/>
          <w:color w:val="auto"/>
          <w:sz w:val="32"/>
          <w:szCs w:val="32"/>
          <w:lang w:val="en-US" w:eastAsia="zh-CN"/>
        </w:rPr>
        <w:t>，“推动值班平台建设”。</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rPr>
      </w:pPr>
      <w:r>
        <w:rPr>
          <w:rFonts w:hint="default" w:ascii="Times New Roman" w:hAnsi="Times New Roman" w:eastAsia="仿宋" w:cs="Times New Roman"/>
          <w:b/>
          <w:bCs/>
          <w:color w:val="auto"/>
          <w:sz w:val="32"/>
          <w:szCs w:val="32"/>
          <w:lang w:val="en-US" w:eastAsia="zh-CN"/>
        </w:rPr>
        <w:t>2.</w:t>
      </w:r>
      <w:r>
        <w:rPr>
          <w:rFonts w:hint="default" w:ascii="Times New Roman" w:hAnsi="Times New Roman" w:eastAsia="仿宋" w:cs="Times New Roman"/>
          <w:b/>
          <w:bCs/>
          <w:color w:val="auto"/>
          <w:sz w:val="32"/>
          <w:szCs w:val="32"/>
        </w:rPr>
        <w:t>分项绩效目标</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（1）监管在建工程质量与安全工作</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绩效目标：做好轨道交通在建工程的质量与安全监管工作。</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绩效指标：做好轨道交通在建工程施工质量的监管工作，督导轨道集团建设进度，完成2.4亿元年度投资计划，确保不发生安全生产较大事故。</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（2）全面推动第二期建设规划报批工作</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绩效目标：结合市本级政府债务风险化解情况，重新启动第二期建设规划的报批程序，力争2022年获得批复。</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1、根据国家发改委最新政策要求，对原二期建设规划方案的客流效果评估、投融资方案、站点综合开发等8个专题报告进行补充更新，达到报批要求，做好报批前的准备工作。2、3月底前，省发改委完成补充评估。3、若市本级政府债务风险化解，则抓紧报国家发改委审查，力争2022年获得批复。若未化解，则启动新的第二期建设规划编制工作。</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（3）开展轨道交通运营服务质量评价工作</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绩效目标：按照《城市轨道交通服务质量评价管理办法》和《城市轨道交通服务质量评价规范》，开展乘客满意度、服务保障能力、运营服务关键指标评价。</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对已开通运营的地铁1、2、3号线的乘客，发放调查问卷不少于1200份，乘客满意度不低于90%，列车运行图兑现率以及电梯检票闸机可靠度不低于99%，列车正点率、自动扶梯可靠度不低于98.5%；售票机、储值卡充值机、乘客信息系统可靠度不低于98%，首末班车正点运行。乘客对运营服务的投诉在3个工作日内回复，投诉回复率100%。</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（4）保障塔北路地下综合管廊项目正常运营</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绩效目标：完成管廊项目运营期可行性缺口补助支付，保障管廊正常运营。实现全年安全运营，无安全事故，绩效评价考核达标。</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绩效指标：2022年3月底前，完成2021年四季度和2022年一季度运营期可行性缺口补助发放；2022年9月底前，完成2022年二、三季度运营期可行性缺口补助的发放。</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（5）完成塔北路地下综合管廊项目绩效评价考核</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绩效目标：对管廊项目运营维护情况进行绩效评价考核，并出具考核报告。</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绩效指标：每季度进行1次绩效评价，并出具评价考核报告，发现问题及时整改，全年完成4次季度绩效评价和1次随机绩效评价抽查，并出具年度评价考核报告。维护情况进行绩效评价考核，并出具考核报告。</w:t>
      </w:r>
    </w:p>
    <w:p>
      <w:pPr>
        <w:keepNext w:val="0"/>
        <w:keepLines w:val="0"/>
        <w:pageBreakBefore w:val="0"/>
        <w:kinsoku/>
        <w:wordWrap/>
        <w:overflowPunct/>
        <w:topLinePunct w:val="0"/>
        <w:autoSpaceDE/>
        <w:autoSpaceDN/>
        <w:bidi w:val="0"/>
        <w:spacing w:line="60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（6）安装值班室视频值班系统</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eastAsia" w:ascii="仿宋" w:hAnsi="仿宋" w:eastAsia="仿宋" w:cs="仿宋"/>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绩效目标：根据《河北省人民政府办公厅关于加强政府系统值班工作的通知》（冀政办字〔2019〕24号）要</w:t>
      </w:r>
      <w:r>
        <w:rPr>
          <w:rFonts w:hint="eastAsia" w:ascii="仿宋" w:hAnsi="仿宋" w:eastAsia="仿宋" w:cs="仿宋"/>
          <w:b w:val="0"/>
          <w:bCs w:val="0"/>
          <w:color w:val="auto"/>
          <w:sz w:val="32"/>
          <w:szCs w:val="32"/>
          <w:lang w:val="en-US" w:eastAsia="zh-CN"/>
        </w:rPr>
        <w:t>求“推动值班平台建设”。</w:t>
      </w:r>
    </w:p>
    <w:p>
      <w:pPr>
        <w:keepNext w:val="0"/>
        <w:keepLines w:val="0"/>
        <w:pageBreakBefore w:val="0"/>
        <w:kinsoku/>
        <w:wordWrap/>
        <w:overflowPunct/>
        <w:topLinePunct w:val="0"/>
        <w:autoSpaceDE/>
        <w:autoSpaceDN/>
        <w:bidi w:val="0"/>
        <w:spacing w:line="60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绩效指标：2022年3月底前，完成值班室视频值班</w:t>
      </w:r>
      <w:r>
        <w:rPr>
          <w:rFonts w:hint="eastAsia" w:ascii="仿宋" w:hAnsi="仿宋" w:eastAsia="仿宋" w:cs="仿宋"/>
          <w:b w:val="0"/>
          <w:bCs w:val="0"/>
          <w:color w:val="auto"/>
          <w:sz w:val="32"/>
          <w:szCs w:val="32"/>
          <w:lang w:val="en-US" w:eastAsia="zh-CN"/>
        </w:rPr>
        <w:t>系统“视频会议终端”及“麦克风”设备安装、调试，确保实时接收市</w:t>
      </w:r>
      <w:r>
        <w:rPr>
          <w:rFonts w:hint="default" w:ascii="Times New Roman" w:hAnsi="Times New Roman" w:eastAsia="仿宋" w:cs="Times New Roman"/>
          <w:b w:val="0"/>
          <w:bCs w:val="0"/>
          <w:color w:val="auto"/>
          <w:sz w:val="32"/>
          <w:szCs w:val="32"/>
          <w:lang w:val="en-US" w:eastAsia="zh-CN"/>
        </w:rPr>
        <w:t>政府值班室指示要求，参加每周三视频点名，及突发事件应急处置。</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二、自评工作开展情况</w:t>
      </w:r>
    </w:p>
    <w:p>
      <w:pPr>
        <w:keepNext w:val="0"/>
        <w:keepLines w:val="0"/>
        <w:pageBreakBefore w:val="0"/>
        <w:widowControl w:val="0"/>
        <w:kinsoku/>
        <w:wordWrap/>
        <w:overflowPunct/>
        <w:topLinePunct w:val="0"/>
        <w:autoSpaceDE/>
        <w:autoSpaceDN/>
        <w:bidi w:val="0"/>
        <w:spacing w:line="600" w:lineRule="exact"/>
        <w:ind w:right="0" w:firstLine="643" w:firstLineChars="200"/>
        <w:textAlignment w:val="auto"/>
        <w:outlineLvl w:val="9"/>
        <w:rPr>
          <w:rFonts w:hint="default" w:ascii="Times New Roman" w:hAnsi="Times New Roman" w:eastAsia="仿宋" w:cs="Times New Roman"/>
          <w:strike w:val="0"/>
          <w:dstrike w:val="0"/>
          <w:color w:val="auto"/>
          <w:sz w:val="32"/>
          <w:szCs w:val="32"/>
          <w:highlight w:val="lightGray"/>
        </w:rPr>
      </w:pPr>
      <w:r>
        <w:rPr>
          <w:rFonts w:hint="default" w:ascii="Times New Roman" w:hAnsi="Times New Roman" w:eastAsia="楷体" w:cs="Times New Roman"/>
          <w:b/>
          <w:bCs/>
          <w:color w:val="auto"/>
          <w:sz w:val="32"/>
          <w:szCs w:val="32"/>
        </w:rPr>
        <w:t>（一）自评的组织工作</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default" w:ascii="Times New Roman" w:hAnsi="Times New Roman" w:eastAsia="仿宋_GB2312" w:cs="Times New Roman"/>
          <w:color w:val="auto"/>
          <w:kern w:val="0"/>
          <w:sz w:val="32"/>
          <w:szCs w:val="32"/>
          <w:highlight w:val="none"/>
          <w:shd w:val="clear" w:fill="FFFFFF"/>
          <w:lang w:val="en-US" w:eastAsia="zh-CN" w:bidi="ar"/>
        </w:rPr>
        <w:t>我办按照</w:t>
      </w:r>
      <w:r>
        <w:rPr>
          <w:rFonts w:hint="default" w:ascii="Times New Roman" w:hAnsi="Times New Roman" w:eastAsia="仿宋_GB2312" w:cs="Times New Roman"/>
          <w:color w:val="auto"/>
          <w:sz w:val="32"/>
          <w:szCs w:val="32"/>
          <w:lang w:val="en-US" w:eastAsia="zh-CN"/>
        </w:rPr>
        <w:t>石家庄市财政局《关于开展2022年绩效自评工作的通知》</w:t>
      </w:r>
      <w:r>
        <w:rPr>
          <w:rFonts w:hint="default" w:ascii="Times New Roman" w:hAnsi="Times New Roman" w:eastAsia="仿宋_GB2312" w:cs="Times New Roman"/>
          <w:color w:val="auto"/>
          <w:sz w:val="32"/>
          <w:szCs w:val="40"/>
          <w:lang w:eastAsia="zh-CN"/>
        </w:rPr>
        <w:t>（石财监</w:t>
      </w:r>
      <w:r>
        <w:rPr>
          <w:rFonts w:hint="default" w:ascii="Times New Roman" w:hAnsi="Times New Roman" w:eastAsia="仿宋_GB2312" w:cs="Times New Roman"/>
          <w:color w:val="auto"/>
          <w:sz w:val="32"/>
          <w:szCs w:val="40"/>
        </w:rPr>
        <w:t>〔20</w:t>
      </w:r>
      <w:r>
        <w:rPr>
          <w:rFonts w:hint="default" w:ascii="Times New Roman" w:hAnsi="Times New Roman" w:eastAsia="仿宋_GB2312" w:cs="Times New Roman"/>
          <w:color w:val="auto"/>
          <w:sz w:val="32"/>
          <w:szCs w:val="40"/>
          <w:lang w:val="en-US" w:eastAsia="zh-CN"/>
        </w:rPr>
        <w:t>22</w:t>
      </w:r>
      <w:r>
        <w:rPr>
          <w:rFonts w:hint="default" w:ascii="Times New Roman" w:hAnsi="Times New Roman" w:eastAsia="仿宋_GB2312" w:cs="Times New Roman"/>
          <w:color w:val="auto"/>
          <w:sz w:val="32"/>
          <w:szCs w:val="40"/>
        </w:rPr>
        <w:t>〕</w:t>
      </w:r>
      <w:r>
        <w:rPr>
          <w:rFonts w:hint="default" w:ascii="Times New Roman" w:hAnsi="Times New Roman" w:eastAsia="仿宋_GB2312" w:cs="Times New Roman"/>
          <w:color w:val="auto"/>
          <w:sz w:val="32"/>
          <w:szCs w:val="40"/>
          <w:lang w:val="en-US" w:eastAsia="zh-CN"/>
        </w:rPr>
        <w:t>1号</w:t>
      </w:r>
      <w:r>
        <w:rPr>
          <w:rFonts w:hint="default" w:ascii="Times New Roman" w:hAnsi="Times New Roman" w:eastAsia="仿宋_GB2312" w:cs="Times New Roman"/>
          <w:color w:val="auto"/>
          <w:sz w:val="32"/>
          <w:szCs w:val="40"/>
          <w:lang w:eastAsia="zh-CN"/>
        </w:rPr>
        <w:t>）</w:t>
      </w:r>
      <w:r>
        <w:rPr>
          <w:rFonts w:hint="default" w:ascii="Times New Roman" w:hAnsi="Times New Roman" w:eastAsia="仿宋_GB2312" w:cs="Times New Roman"/>
          <w:color w:val="auto"/>
          <w:kern w:val="0"/>
          <w:sz w:val="32"/>
          <w:szCs w:val="32"/>
          <w:highlight w:val="none"/>
          <w:shd w:val="clear" w:fill="FFFFFF"/>
          <w:lang w:val="en-US" w:eastAsia="zh-CN" w:bidi="ar"/>
        </w:rPr>
        <w:t>的文件要求，认真落实本次部门整体支出绩效自评工作，要求各相关科室充分认识到开展绩效自评工作的重要性和必要性，力求科学、客观、公正地开展好整体支出绩效自评工作，切实提升财政资金的使用效益。一是成立绩效自评工作组，负责整个评价工作的管理组织工作，运用科学、合理的绩效评价指标、评价标准和评价方法，对本部门202</w:t>
      </w:r>
      <w:r>
        <w:rPr>
          <w:rFonts w:hint="eastAsia" w:ascii="Times New Roman" w:hAnsi="Times New Roman" w:eastAsia="仿宋_GB2312" w:cs="Times New Roman"/>
          <w:color w:val="auto"/>
          <w:kern w:val="0"/>
          <w:sz w:val="32"/>
          <w:szCs w:val="32"/>
          <w:highlight w:val="none"/>
          <w:shd w:val="clear" w:fill="FFFFFF"/>
          <w:lang w:val="en-US" w:eastAsia="zh-CN" w:bidi="ar"/>
        </w:rPr>
        <w:t>2</w:t>
      </w:r>
      <w:r>
        <w:rPr>
          <w:rFonts w:hint="default" w:ascii="Times New Roman" w:hAnsi="Times New Roman" w:eastAsia="仿宋_GB2312" w:cs="Times New Roman"/>
          <w:color w:val="auto"/>
          <w:kern w:val="0"/>
          <w:sz w:val="32"/>
          <w:szCs w:val="32"/>
          <w:highlight w:val="none"/>
          <w:shd w:val="clear" w:fill="FFFFFF"/>
          <w:lang w:val="en-US" w:eastAsia="zh-CN" w:bidi="ar"/>
        </w:rPr>
        <w:t>年度部门整体支出的绩效情况进行客观、公正的评价。二是制定绩效评价工作方案，收集查阅与项目有关的政策，了解项目实施具体情况，确定评价依据和评价方法，明确时间安排。三是评价资料收集，对收集来的原始资料进行质量上的评价和核实，对材料进行筛选、取舍，确定评价所需要的材料。四是通过实施评价、综合评价、撰写报告三个部分完成本次整体支出绩效自评工作。</w:t>
      </w:r>
    </w:p>
    <w:p>
      <w:pPr>
        <w:keepNext w:val="0"/>
        <w:keepLines w:val="0"/>
        <w:pageBreakBefore w:val="0"/>
        <w:widowControl w:val="0"/>
        <w:numPr>
          <w:ilvl w:val="0"/>
          <w:numId w:val="2"/>
        </w:numPr>
        <w:kinsoku/>
        <w:wordWrap/>
        <w:overflowPunct/>
        <w:topLinePunct w:val="0"/>
        <w:autoSpaceDE/>
        <w:autoSpaceDN/>
        <w:bidi w:val="0"/>
        <w:spacing w:line="600" w:lineRule="exact"/>
        <w:ind w:left="0" w:leftChars="0" w:right="0" w:firstLine="643" w:firstLineChars="200"/>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自评的方法和过程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firstLine="640" w:firstLineChars="200"/>
        <w:textAlignment w:val="auto"/>
        <w:outlineLvl w:val="9"/>
        <w:rPr>
          <w:rFonts w:hint="default" w:ascii="Times New Roman" w:hAnsi="Times New Roman" w:eastAsia="仿宋" w:cs="Times New Roman"/>
          <w:strike w:val="0"/>
          <w:color w:val="auto"/>
          <w:sz w:val="32"/>
          <w:szCs w:val="32"/>
          <w:lang w:val="en-US" w:eastAsia="zh-CN"/>
        </w:rPr>
      </w:pPr>
      <w:r>
        <w:rPr>
          <w:rFonts w:hint="default" w:ascii="Times New Roman" w:hAnsi="Times New Roman" w:eastAsia="仿宋" w:cs="Times New Roman"/>
          <w:strike w:val="0"/>
          <w:dstrike w:val="0"/>
          <w:color w:val="auto"/>
          <w:sz w:val="32"/>
          <w:szCs w:val="32"/>
        </w:rPr>
        <w:t>根据</w:t>
      </w:r>
      <w:r>
        <w:rPr>
          <w:rFonts w:hint="default" w:ascii="Times New Roman" w:hAnsi="Times New Roman" w:eastAsia="仿宋" w:cs="Times New Roman"/>
          <w:strike w:val="0"/>
          <w:dstrike w:val="0"/>
          <w:color w:val="auto"/>
          <w:sz w:val="32"/>
          <w:szCs w:val="32"/>
          <w:lang w:eastAsia="zh-CN"/>
        </w:rPr>
        <w:t>部门职责定位和各项工作履职情况进行综合评价</w:t>
      </w:r>
      <w:r>
        <w:rPr>
          <w:rFonts w:hint="default" w:ascii="Times New Roman" w:hAnsi="Times New Roman" w:eastAsia="仿宋" w:cs="Times New Roman"/>
          <w:strike w:val="0"/>
          <w:dstrike w:val="0"/>
          <w:color w:val="auto"/>
          <w:sz w:val="32"/>
          <w:szCs w:val="32"/>
        </w:rPr>
        <w:t>，给出总得分，得出</w:t>
      </w:r>
      <w:r>
        <w:rPr>
          <w:rFonts w:hint="default" w:ascii="Times New Roman" w:hAnsi="Times New Roman" w:eastAsia="仿宋" w:cs="Times New Roman"/>
          <w:strike w:val="0"/>
          <w:dstrike w:val="0"/>
          <w:color w:val="auto"/>
          <w:sz w:val="32"/>
          <w:szCs w:val="32"/>
          <w:lang w:eastAsia="zh-CN"/>
        </w:rPr>
        <w:t>部门整体支出</w:t>
      </w:r>
      <w:r>
        <w:rPr>
          <w:rFonts w:hint="default" w:ascii="Times New Roman" w:hAnsi="Times New Roman" w:eastAsia="仿宋" w:cs="Times New Roman"/>
          <w:strike w:val="0"/>
          <w:dstrike w:val="0"/>
          <w:color w:val="auto"/>
          <w:sz w:val="32"/>
          <w:szCs w:val="32"/>
        </w:rPr>
        <w:t>综合绩效评价等级。</w:t>
      </w:r>
      <w:r>
        <w:rPr>
          <w:rFonts w:hint="default" w:ascii="Times New Roman" w:hAnsi="Times New Roman" w:eastAsia="仿宋" w:cs="Times New Roman"/>
          <w:strike w:val="0"/>
          <w:dstrike w:val="0"/>
          <w:color w:val="auto"/>
          <w:sz w:val="32"/>
          <w:szCs w:val="32"/>
          <w:lang w:val="en-US" w:eastAsia="zh-CN"/>
        </w:rPr>
        <w:t>具体自评过程如下：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default" w:ascii="Times New Roman" w:hAnsi="Times New Roman" w:eastAsia="仿宋_GB2312" w:cs="Times New Roman"/>
          <w:color w:val="auto"/>
          <w:kern w:val="0"/>
          <w:sz w:val="32"/>
          <w:szCs w:val="32"/>
          <w:highlight w:val="none"/>
          <w:shd w:val="clear" w:fill="FFFFFF"/>
          <w:lang w:val="en-US" w:eastAsia="zh-CN" w:bidi="ar"/>
        </w:rPr>
        <w:t>1.实施评价阶段。结合202</w:t>
      </w:r>
      <w:r>
        <w:rPr>
          <w:rFonts w:hint="eastAsia" w:ascii="Times New Roman" w:hAnsi="Times New Roman" w:eastAsia="仿宋_GB2312" w:cs="Times New Roman"/>
          <w:color w:val="auto"/>
          <w:kern w:val="0"/>
          <w:sz w:val="32"/>
          <w:szCs w:val="32"/>
          <w:highlight w:val="none"/>
          <w:shd w:val="clear" w:fill="FFFFFF"/>
          <w:lang w:val="en-US" w:eastAsia="zh-CN" w:bidi="ar"/>
        </w:rPr>
        <w:t>2</w:t>
      </w:r>
      <w:r>
        <w:rPr>
          <w:rFonts w:hint="default" w:ascii="Times New Roman" w:hAnsi="Times New Roman" w:eastAsia="仿宋_GB2312" w:cs="Times New Roman"/>
          <w:color w:val="auto"/>
          <w:kern w:val="0"/>
          <w:sz w:val="32"/>
          <w:szCs w:val="32"/>
          <w:highlight w:val="none"/>
          <w:shd w:val="clear" w:fill="FFFFFF"/>
          <w:lang w:val="en-US" w:eastAsia="zh-CN" w:bidi="ar"/>
        </w:rPr>
        <w:t>年度预算公开中绩效文本部分内容，确定了部门总体绩效目标和分项绩效目标，和各项工作履职相关科室及主管领导成立了评价工作组，收集、整理、分类、分析被评价项目各项数据资料，根据收集的基础资料，核实确认基础数据的全面性、真实性，以及指标口径的一致性。</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Style w:val="11"/>
          <w:rFonts w:hint="default" w:ascii="Times New Roman" w:hAnsi="Times New Roman" w:eastAsia="仿宋" w:cs="Times New Roman"/>
          <w:b w:val="0"/>
          <w:bCs w:val="0"/>
          <w:i w:val="0"/>
          <w:caps w:val="0"/>
          <w:color w:val="auto"/>
          <w:spacing w:val="0"/>
          <w:sz w:val="32"/>
          <w:szCs w:val="32"/>
          <w:highlight w:val="none"/>
          <w:shd w:val="clear" w:color="auto" w:fill="auto"/>
          <w:lang w:val="en-US" w:eastAsia="zh-CN"/>
        </w:rPr>
        <w:t>2.综合评价阶段。工作组对照评价指标与标准，对项目绩效情况进行综合评判，</w:t>
      </w:r>
      <w:r>
        <w:rPr>
          <w:rFonts w:hint="default" w:ascii="Times New Roman" w:hAnsi="Times New Roman" w:eastAsia="仿宋_GB2312" w:cs="Times New Roman"/>
          <w:color w:val="auto"/>
          <w:kern w:val="0"/>
          <w:sz w:val="32"/>
          <w:szCs w:val="32"/>
          <w:highlight w:val="none"/>
          <w:shd w:val="clear" w:fill="FFFFFF"/>
          <w:lang w:val="en-US" w:eastAsia="zh-CN" w:bidi="ar"/>
        </w:rPr>
        <w:t>依据评价标准和评价方法逐项评定，对各项工作年初设定的绩效信息进行深入研究，根据部门职责定位和各项工作履职情况进行综合评价，结合各项工作实际情况，给出总得分，形成综合绩效评价等级。每位评价组成员对评价结果要签名，以明确责任，确保评价结果的独立、客观和公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default" w:ascii="Times New Roman" w:hAnsi="Times New Roman" w:eastAsia="仿宋_GB2312" w:cs="Times New Roman"/>
          <w:color w:val="auto"/>
          <w:kern w:val="0"/>
          <w:sz w:val="32"/>
          <w:szCs w:val="32"/>
          <w:highlight w:val="none"/>
          <w:shd w:val="clear" w:fill="FFFFFF"/>
          <w:lang w:val="en-US" w:eastAsia="zh-CN" w:bidi="ar"/>
        </w:rPr>
        <w:t>3.撰写报告阶段。评价工作组依据前期所有工作内容，采用统一规范格式，总结撰写本部门整体支出绩效自评工作报告文字部分。</w:t>
      </w:r>
    </w:p>
    <w:p>
      <w:pPr>
        <w:keepNext w:val="0"/>
        <w:keepLines w:val="0"/>
        <w:pageBreakBefore w:val="0"/>
        <w:kinsoku/>
        <w:wordWrap/>
        <w:overflowPunct/>
        <w:topLinePunct w:val="0"/>
        <w:autoSpaceDE/>
        <w:autoSpaceDN/>
        <w:bidi w:val="0"/>
        <w:spacing w:line="600" w:lineRule="exact"/>
        <w:textAlignment w:val="auto"/>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 xml:space="preserve">    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pacing w:line="60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lang w:eastAsia="zh-CN"/>
        </w:rPr>
        <w:t>总体绩效目标实现情况</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lang w:val="en-US" w:eastAsia="zh-CN"/>
        </w:rPr>
        <w:t>2022年我办有力推</w:t>
      </w:r>
      <w:r>
        <w:rPr>
          <w:rFonts w:hint="eastAsia" w:eastAsia="仿宋" w:cs="Times New Roman"/>
          <w:color w:val="auto"/>
          <w:sz w:val="32"/>
          <w:szCs w:val="32"/>
          <w:highlight w:val="none"/>
          <w:lang w:val="en-US" w:eastAsia="zh-CN"/>
        </w:rPr>
        <w:t>进</w:t>
      </w:r>
      <w:r>
        <w:rPr>
          <w:rFonts w:hint="default" w:ascii="Times New Roman" w:hAnsi="Times New Roman" w:eastAsia="仿宋" w:cs="Times New Roman"/>
          <w:color w:val="auto"/>
          <w:sz w:val="32"/>
          <w:szCs w:val="32"/>
          <w:highlight w:val="none"/>
          <w:lang w:val="en-US" w:eastAsia="zh-CN"/>
        </w:rPr>
        <w:t>轨道交通工程建设进度，超额完成了年度目标任务，市轨道交通系统全年未发生生产安全事故，安全生产形势平稳可控。</w:t>
      </w:r>
      <w:r>
        <w:rPr>
          <w:rFonts w:hint="default" w:ascii="Times New Roman" w:hAnsi="Times New Roman" w:eastAsia="仿宋_GB2312" w:cs="Times New Roman"/>
          <w:strike w:val="0"/>
          <w:dstrike w:val="0"/>
          <w:sz w:val="32"/>
          <w:szCs w:val="32"/>
          <w:highlight w:val="none"/>
          <w:lang w:val="en-US" w:eastAsia="zh-CN"/>
        </w:rPr>
        <w:t>2021年12月，经市委市政府批准，我办重新启动第二期建设规划的报批程序；2022年8月，第二期建设规划获批，提前实现年度总体绩效目标</w:t>
      </w:r>
      <w:r>
        <w:rPr>
          <w:rFonts w:hint="default" w:ascii="Times New Roman" w:hAnsi="Times New Roman" w:eastAsia="仿宋" w:cs="Times New Roman"/>
          <w:color w:val="auto"/>
          <w:sz w:val="32"/>
          <w:szCs w:val="32"/>
          <w:highlight w:val="none"/>
          <w:lang w:val="en-US" w:eastAsia="zh-CN"/>
        </w:rPr>
        <w:t>。</w:t>
      </w:r>
      <w:r>
        <w:rPr>
          <w:rFonts w:hint="default" w:ascii="Times New Roman" w:hAnsi="Times New Roman" w:eastAsia="仿宋" w:cs="Times New Roman"/>
          <w:b w:val="0"/>
          <w:bCs w:val="0"/>
          <w:color w:val="auto"/>
          <w:sz w:val="32"/>
          <w:szCs w:val="32"/>
          <w:highlight w:val="none"/>
          <w:lang w:val="en-US" w:eastAsia="zh-CN"/>
        </w:rPr>
        <w:t>我</w:t>
      </w:r>
      <w:r>
        <w:rPr>
          <w:rFonts w:hint="default" w:ascii="Times New Roman" w:hAnsi="Times New Roman" w:eastAsia="仿宋" w:cs="Times New Roman"/>
          <w:b w:val="0"/>
          <w:bCs w:val="0"/>
          <w:color w:val="auto"/>
          <w:sz w:val="32"/>
          <w:szCs w:val="32"/>
          <w:highlight w:val="none"/>
          <w:lang w:eastAsia="zh-CN"/>
        </w:rPr>
        <w:t>办</w:t>
      </w:r>
      <w:r>
        <w:rPr>
          <w:rFonts w:hint="default" w:ascii="Times New Roman" w:hAnsi="Times New Roman" w:eastAsia="仿宋" w:cs="Times New Roman"/>
          <w:b w:val="0"/>
          <w:bCs w:val="0"/>
          <w:color w:val="auto"/>
          <w:sz w:val="32"/>
          <w:szCs w:val="32"/>
          <w:highlight w:val="none"/>
          <w:lang w:val="en-US" w:eastAsia="zh-CN"/>
        </w:rPr>
        <w:t>从</w:t>
      </w:r>
      <w:r>
        <w:rPr>
          <w:rFonts w:hint="default" w:ascii="Times New Roman" w:hAnsi="Times New Roman" w:eastAsia="仿宋" w:cs="Times New Roman"/>
          <w:b w:val="0"/>
          <w:bCs w:val="0"/>
          <w:color w:val="auto"/>
          <w:sz w:val="32"/>
          <w:szCs w:val="32"/>
          <w:highlight w:val="none"/>
          <w:lang w:eastAsia="zh-CN"/>
        </w:rPr>
        <w:t>乘客满意度、服务保障能力、运营服务关键指标评价三</w:t>
      </w:r>
      <w:r>
        <w:rPr>
          <w:rFonts w:hint="default" w:ascii="Times New Roman" w:hAnsi="Times New Roman" w:eastAsia="仿宋" w:cs="Times New Roman"/>
          <w:b w:val="0"/>
          <w:bCs w:val="0"/>
          <w:color w:val="auto"/>
          <w:sz w:val="32"/>
          <w:szCs w:val="32"/>
          <w:highlight w:val="none"/>
          <w:lang w:val="en-US" w:eastAsia="zh-CN"/>
        </w:rPr>
        <w:t>方面</w:t>
      </w:r>
      <w:r>
        <w:rPr>
          <w:rFonts w:hint="default" w:ascii="Times New Roman" w:hAnsi="Times New Roman" w:eastAsia="仿宋" w:cs="Times New Roman"/>
          <w:color w:val="auto"/>
          <w:sz w:val="32"/>
          <w:szCs w:val="32"/>
          <w:highlight w:val="none"/>
          <w:lang w:val="en-US" w:eastAsia="zh-CN"/>
        </w:rPr>
        <w:t>对已开通运营的地铁1、2、3号线</w:t>
      </w:r>
      <w:r>
        <w:rPr>
          <w:rFonts w:hint="default" w:ascii="Times New Roman" w:hAnsi="Times New Roman" w:eastAsia="仿宋" w:cs="Times New Roman"/>
          <w:b w:val="0"/>
          <w:bCs w:val="0"/>
          <w:color w:val="auto"/>
          <w:sz w:val="32"/>
          <w:szCs w:val="32"/>
          <w:highlight w:val="none"/>
          <w:lang w:eastAsia="zh-CN"/>
        </w:rPr>
        <w:t>完成了轨道交通服务质量评价工作。</w:t>
      </w:r>
      <w:r>
        <w:rPr>
          <w:rFonts w:hint="default" w:ascii="Times New Roman" w:hAnsi="Times New Roman" w:eastAsia="仿宋" w:cs="Times New Roman"/>
          <w:b w:val="0"/>
          <w:bCs w:val="0"/>
          <w:color w:val="auto"/>
          <w:sz w:val="32"/>
          <w:szCs w:val="32"/>
          <w:highlight w:val="none"/>
          <w:lang w:val="en-US" w:eastAsia="zh-CN"/>
        </w:rPr>
        <w:t>我办</w:t>
      </w:r>
      <w:r>
        <w:rPr>
          <w:rFonts w:hint="default" w:ascii="Times New Roman" w:hAnsi="Times New Roman" w:eastAsia="仿宋" w:cs="Times New Roman"/>
          <w:b w:val="0"/>
          <w:bCs w:val="0"/>
          <w:sz w:val="32"/>
          <w:szCs w:val="32"/>
          <w:highlight w:val="none"/>
          <w:lang w:val="en-US" w:eastAsia="zh-CN"/>
        </w:rPr>
        <w:t>聘请河北中科建研工程检测有限公司对管廊运营维护情况进行了5次绩效评价</w:t>
      </w:r>
      <w:r>
        <w:rPr>
          <w:rFonts w:hint="default" w:ascii="Times New Roman" w:hAnsi="Times New Roman" w:eastAsia="仿宋" w:cs="Times New Roman"/>
          <w:b w:val="0"/>
          <w:bCs w:val="0"/>
          <w:color w:val="auto"/>
          <w:sz w:val="32"/>
          <w:szCs w:val="32"/>
          <w:highlight w:val="none"/>
          <w:lang w:val="en-US" w:eastAsia="zh-CN"/>
        </w:rPr>
        <w:t>，并出具了评价报告；完成了塔北路管廊项目运营期可行性缺口补助的支付工作，共发放补助5200万元，保障管廊项目正常平稳运营，无安全事故发生。我办</w:t>
      </w:r>
      <w:r>
        <w:rPr>
          <w:rFonts w:hint="default" w:ascii="Times New Roman" w:hAnsi="Times New Roman" w:eastAsia="仿宋" w:cs="Times New Roman"/>
          <w:b w:val="0"/>
          <w:bCs w:val="0"/>
          <w:color w:val="auto"/>
          <w:sz w:val="32"/>
          <w:szCs w:val="32"/>
          <w:highlight w:val="none"/>
          <w:lang w:eastAsia="zh-CN"/>
        </w:rPr>
        <w:t>按要求完成了市政府值班室视频值班系统的安装工作，确保视频值班系统正常使用。</w:t>
      </w:r>
    </w:p>
    <w:p>
      <w:pPr>
        <w:keepNext w:val="0"/>
        <w:keepLines w:val="0"/>
        <w:pageBreakBefore w:val="0"/>
        <w:widowControl w:val="0"/>
        <w:kinsoku/>
        <w:wordWrap/>
        <w:overflowPunct/>
        <w:topLinePunct w:val="0"/>
        <w:autoSpaceDE/>
        <w:autoSpaceDN/>
        <w:bidi w:val="0"/>
        <w:spacing w:line="600" w:lineRule="exact"/>
        <w:ind w:right="0" w:firstLine="643" w:firstLineChars="200"/>
        <w:textAlignment w:val="auto"/>
        <w:outlineLvl w:val="9"/>
        <w:rPr>
          <w:rFonts w:hint="default" w:ascii="Times New Roman" w:hAnsi="Times New Roman" w:eastAsia="楷体" w:cs="Times New Roman"/>
          <w:bCs/>
          <w:sz w:val="32"/>
          <w:szCs w:val="32"/>
          <w:highlight w:val="none"/>
        </w:rPr>
      </w:pPr>
      <w:r>
        <w:rPr>
          <w:rFonts w:hint="default" w:ascii="Times New Roman" w:hAnsi="Times New Roman" w:eastAsia="楷体" w:cs="Times New Roman"/>
          <w:b/>
          <w:bCs/>
          <w:color w:val="auto"/>
          <w:sz w:val="32"/>
          <w:szCs w:val="32"/>
          <w:highlight w:val="none"/>
        </w:rPr>
        <w:t>（二）</w:t>
      </w:r>
      <w:r>
        <w:rPr>
          <w:rFonts w:hint="default" w:ascii="Times New Roman" w:hAnsi="Times New Roman" w:eastAsia="楷体" w:cs="Times New Roman"/>
          <w:b/>
          <w:bCs/>
          <w:color w:val="auto"/>
          <w:sz w:val="32"/>
          <w:szCs w:val="32"/>
          <w:highlight w:val="none"/>
          <w:lang w:eastAsia="zh-CN"/>
        </w:rPr>
        <w:t>分项绩效目标实现情况及指标分析</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b/>
          <w:bCs/>
          <w:highlight w:val="none"/>
          <w:lang w:val="en-US" w:eastAsia="zh-CN"/>
        </w:rPr>
      </w:pPr>
      <w:r>
        <w:rPr>
          <w:rFonts w:hint="default" w:ascii="Times New Roman" w:hAnsi="Times New Roman" w:eastAsia="仿宋" w:cs="Times New Roman"/>
          <w:b/>
          <w:bCs/>
          <w:highlight w:val="none"/>
          <w:lang w:val="en-US" w:eastAsia="zh-CN"/>
        </w:rPr>
        <w:t>1、监管在建工程质量与安全工作</w:t>
      </w:r>
    </w:p>
    <w:p>
      <w:pPr>
        <w:pStyle w:val="2"/>
        <w:keepNext w:val="0"/>
        <w:keepLines w:val="0"/>
        <w:pageBreakBefore w:val="0"/>
        <w:kinsoku/>
        <w:wordWrap/>
        <w:overflowPunct/>
        <w:topLinePunct w:val="0"/>
        <w:autoSpaceDE/>
        <w:autoSpaceDN/>
        <w:bidi w:val="0"/>
        <w:spacing w:line="600" w:lineRule="exact"/>
        <w:ind w:left="0" w:leftChars="0" w:firstLine="640"/>
        <w:textAlignment w:val="auto"/>
        <w:rPr>
          <w:rFonts w:hint="default" w:ascii="Times New Roman" w:hAnsi="Times New Roman" w:eastAsia="仿宋" w:cs="Times New Roman"/>
          <w:szCs w:val="32"/>
          <w:highlight w:val="none"/>
        </w:rPr>
      </w:pPr>
      <w:r>
        <w:rPr>
          <w:rFonts w:hint="default" w:ascii="Times New Roman" w:hAnsi="Times New Roman" w:eastAsia="仿宋" w:cs="Times New Roman"/>
          <w:szCs w:val="32"/>
          <w:highlight w:val="none"/>
        </w:rPr>
        <w:t>绩效目标实现情况：市轨道办有力推动轨道交通工程建设进度，超额完成了年度目标任务；对施工质量强化过程监管，在建工程施工质量平稳可控；严格落实安全生产监管责任，市轨道交通系统全年未发生生产安全事故，安全生产形势平稳可控。</w:t>
      </w:r>
    </w:p>
    <w:p>
      <w:pPr>
        <w:pStyle w:val="2"/>
        <w:keepNext w:val="0"/>
        <w:keepLines w:val="0"/>
        <w:pageBreakBefore w:val="0"/>
        <w:kinsoku/>
        <w:wordWrap/>
        <w:overflowPunct/>
        <w:topLinePunct w:val="0"/>
        <w:autoSpaceDE/>
        <w:autoSpaceDN/>
        <w:bidi w:val="0"/>
        <w:spacing w:line="600" w:lineRule="exact"/>
        <w:ind w:left="0" w:leftChars="0" w:firstLine="640"/>
        <w:textAlignment w:val="auto"/>
        <w:rPr>
          <w:rFonts w:hint="default" w:ascii="Times New Roman" w:hAnsi="Times New Roman" w:eastAsia="仿宋" w:cs="Times New Roman"/>
          <w:szCs w:val="32"/>
          <w:highlight w:val="none"/>
        </w:rPr>
      </w:pPr>
      <w:r>
        <w:rPr>
          <w:rFonts w:hint="default" w:ascii="Times New Roman" w:hAnsi="Times New Roman" w:eastAsia="仿宋" w:cs="Times New Roman"/>
          <w:szCs w:val="32"/>
          <w:highlight w:val="none"/>
        </w:rPr>
        <w:t>绩效指标分析：我市轨道交通1号线二期北段在建工程东上泽站-东洋站区间隧道主体完成49.4%，东洋站完成38.7%，区间风井完成74%，东洋站-南牛停车场区间明挖始发段完成93%，累计完成投资2.602亿元，超额完成了年度目标任务，未出现工程质量问题。严格落实安全监管责任，全年组织安全相关会议 22次，各类检查38次，发现和消除各类问题隐患106项，全年未发生生产安全事故，安全生产形势平稳可控。</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b/>
          <w:bCs/>
          <w:highlight w:val="none"/>
          <w:lang w:val="en-US" w:eastAsia="zh-CN"/>
        </w:rPr>
      </w:pPr>
      <w:r>
        <w:rPr>
          <w:rFonts w:hint="default" w:ascii="Times New Roman" w:hAnsi="Times New Roman" w:eastAsia="仿宋" w:cs="Times New Roman"/>
          <w:b/>
          <w:bCs/>
          <w:highlight w:val="none"/>
          <w:lang w:val="en-US" w:eastAsia="zh-CN"/>
        </w:rPr>
        <w:t>2、全面推动第二期建设规划报批工作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eastAsia="zh-CN"/>
        </w:rPr>
        <w:t>绩效目标实现情况：</w:t>
      </w:r>
      <w:r>
        <w:rPr>
          <w:rFonts w:hint="default" w:ascii="Times New Roman" w:hAnsi="Times New Roman" w:eastAsia="仿宋_GB2312" w:cs="Times New Roman"/>
          <w:strike w:val="0"/>
          <w:dstrike w:val="0"/>
          <w:sz w:val="32"/>
          <w:szCs w:val="32"/>
          <w:highlight w:val="none"/>
          <w:lang w:val="en-US" w:eastAsia="zh-CN"/>
        </w:rPr>
        <w:t>2021年12月，经市委市政府批准，我办重新启动第二期建设规划的报批程序。2022年8月，第二期建设规划获批，提前实现绩效目标。</w:t>
      </w:r>
    </w:p>
    <w:p>
      <w:pPr>
        <w:pStyle w:val="2"/>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eastAsia="zh-CN"/>
        </w:rPr>
        <w:t>绩效指标分析：</w:t>
      </w:r>
      <w:r>
        <w:rPr>
          <w:rFonts w:hint="default" w:ascii="Times New Roman" w:hAnsi="Times New Roman" w:cs="Times New Roman"/>
          <w:b w:val="0"/>
          <w:bCs w:val="0"/>
          <w:sz w:val="32"/>
          <w:szCs w:val="32"/>
          <w:highlight w:val="none"/>
          <w:lang w:val="en-US" w:eastAsia="zh-CN"/>
        </w:rPr>
        <w:t>（1）我办</w:t>
      </w:r>
      <w:r>
        <w:rPr>
          <w:rFonts w:hint="default" w:ascii="Times New Roman" w:hAnsi="Times New Roman" w:eastAsia="仿宋_GB2312" w:cs="Times New Roman"/>
          <w:b w:val="0"/>
          <w:bCs w:val="0"/>
          <w:sz w:val="32"/>
          <w:szCs w:val="32"/>
          <w:highlight w:val="none"/>
          <w:lang w:val="en-US" w:eastAsia="zh-CN"/>
        </w:rPr>
        <w:t>组织专班制定详细工作计划，根据国家最新政策对第二期建设规划中的客流效果评估、投融资方案、站点综合开发等8个专题进行补充更新，</w:t>
      </w:r>
      <w:r>
        <w:rPr>
          <w:rFonts w:hint="default" w:ascii="Times New Roman" w:hAnsi="Times New Roman" w:cs="Times New Roman"/>
          <w:b w:val="0"/>
          <w:bCs w:val="0"/>
          <w:sz w:val="32"/>
          <w:szCs w:val="32"/>
          <w:highlight w:val="none"/>
          <w:lang w:val="en-US" w:eastAsia="zh-CN"/>
        </w:rPr>
        <w:t>1月5日前</w:t>
      </w:r>
      <w:r>
        <w:rPr>
          <w:rFonts w:hint="default" w:ascii="Times New Roman" w:hAnsi="Times New Roman" w:eastAsia="仿宋_GB2312" w:cs="Times New Roman"/>
          <w:b w:val="0"/>
          <w:bCs w:val="0"/>
          <w:sz w:val="32"/>
          <w:szCs w:val="32"/>
          <w:highlight w:val="none"/>
          <w:lang w:val="en-US" w:eastAsia="zh-CN"/>
        </w:rPr>
        <w:t>完成了近50万字的2个专题报告编制及6个专题报告修改工作,做好了报批前的准备工作。</w:t>
      </w:r>
      <w:r>
        <w:rPr>
          <w:rFonts w:hint="default" w:ascii="Times New Roman" w:hAnsi="Times New Roman" w:cs="Times New Roman"/>
          <w:b w:val="0"/>
          <w:bCs w:val="0"/>
          <w:sz w:val="32"/>
          <w:szCs w:val="32"/>
          <w:highlight w:val="none"/>
          <w:lang w:val="en-US" w:eastAsia="zh-CN"/>
        </w:rPr>
        <w:t>（2）</w:t>
      </w:r>
      <w:r>
        <w:rPr>
          <w:rFonts w:hint="default" w:ascii="Times New Roman" w:hAnsi="Times New Roman" w:eastAsia="仿宋_GB2312" w:cs="Times New Roman"/>
          <w:b w:val="0"/>
          <w:bCs w:val="0"/>
          <w:sz w:val="32"/>
          <w:szCs w:val="32"/>
          <w:highlight w:val="none"/>
          <w:lang w:val="en-US" w:eastAsia="zh-CN"/>
        </w:rPr>
        <w:t>2022年1月10日，省发改委和住建厅、自然资源厅联合对第二期建设规划进行补充初审，并于1月20日出具补充初审报告。</w:t>
      </w:r>
      <w:r>
        <w:rPr>
          <w:rFonts w:hint="default" w:ascii="Times New Roman" w:hAnsi="Times New Roman" w:cs="Times New Roman"/>
          <w:b w:val="0"/>
          <w:bCs w:val="0"/>
          <w:sz w:val="32"/>
          <w:szCs w:val="32"/>
          <w:highlight w:val="none"/>
          <w:lang w:val="en-US" w:eastAsia="zh-CN"/>
        </w:rPr>
        <w:t>（3）</w:t>
      </w:r>
      <w:r>
        <w:rPr>
          <w:rFonts w:hint="default" w:ascii="Times New Roman" w:hAnsi="Times New Roman" w:eastAsia="仿宋_GB2312" w:cs="Times New Roman"/>
          <w:b w:val="0"/>
          <w:bCs w:val="0"/>
          <w:sz w:val="32"/>
          <w:szCs w:val="32"/>
          <w:highlight w:val="none"/>
          <w:lang w:val="en-US" w:eastAsia="zh-CN"/>
        </w:rPr>
        <w:t>2021年12月，经市委市政府批准，我办重新启动第二期建设规划的报批程序。2022年8月，第二期建设规划获批。</w:t>
      </w:r>
      <w:r>
        <w:rPr>
          <w:rFonts w:hint="default" w:ascii="Times New Roman" w:hAnsi="Times New Roman" w:eastAsia="仿宋_GB2312" w:cs="Times New Roman"/>
          <w:color w:val="auto"/>
          <w:sz w:val="32"/>
          <w:szCs w:val="32"/>
          <w:highlight w:val="none"/>
          <w:lang w:val="en-US" w:eastAsia="zh-CN"/>
        </w:rPr>
        <w:t>本项工作已按照年初制定的绩效目标、指标</w:t>
      </w:r>
      <w:r>
        <w:rPr>
          <w:rFonts w:hint="default" w:ascii="Times New Roman" w:hAnsi="Times New Roman" w:eastAsia="仿宋_GB2312" w:cs="Times New Roman"/>
          <w:b w:val="0"/>
          <w:bCs w:val="0"/>
          <w:sz w:val="32"/>
          <w:szCs w:val="32"/>
          <w:highlight w:val="none"/>
          <w:lang w:val="en-US" w:eastAsia="zh-CN"/>
        </w:rPr>
        <w:t>均保质保量</w:t>
      </w:r>
      <w:r>
        <w:rPr>
          <w:rFonts w:hint="default" w:ascii="Times New Roman" w:hAnsi="Times New Roman" w:eastAsia="仿宋_GB2312" w:cs="Times New Roman"/>
          <w:color w:val="auto"/>
          <w:sz w:val="32"/>
          <w:szCs w:val="32"/>
          <w:highlight w:val="none"/>
          <w:lang w:val="en-US" w:eastAsia="zh-CN"/>
        </w:rPr>
        <w:t>全部完成</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b/>
          <w:bCs/>
          <w:highlight w:val="none"/>
          <w:lang w:val="en-US" w:eastAsia="zh-CN"/>
        </w:rPr>
      </w:pPr>
      <w:r>
        <w:rPr>
          <w:rFonts w:hint="default" w:ascii="Times New Roman" w:hAnsi="Times New Roman" w:eastAsia="仿宋" w:cs="Times New Roman"/>
          <w:b/>
          <w:bCs/>
          <w:highlight w:val="none"/>
          <w:lang w:val="en-US" w:eastAsia="zh-CN"/>
        </w:rPr>
        <w:t>3、开展轨道交通运营服务质量评价工作</w:t>
      </w:r>
    </w:p>
    <w:p>
      <w:pPr>
        <w:pStyle w:val="2"/>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目标实现情况：按照《城市轨道交通服务质量评价管理办法》和《城市轨道交通服务质量评价规范》要求，市轨道办圆满完成了石家庄市轨道交通服务质量评价工作，包括乘客满意度、服务保障能力、运营服务关键指标评价三部分。</w:t>
      </w:r>
    </w:p>
    <w:p>
      <w:pPr>
        <w:pStyle w:val="2"/>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指标分析：2022年石家庄市城市轨道交通运营服务质量评价得分（满分1000分）：1号线（西王—福泽）得分921.64分，2号线（柳辛庄—嘉华路）得分961.31分，3号线（西三庄—乐乡）得分952.63分。3条线路共计发放调查问卷1260份，乘客满意度为97.2%，列车运行图兑现率为100%，电梯检票闸机可靠度为99.99%，列车正点率为99.95%，自动扶梯可靠度为99.93% ；售票机、储值卡充值机、乘客信息系统可靠度为99.92% ，首末班车正点运行，有效投诉回复率100%，圆满完成了绩效目标和指标要求。</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highlight w:val="none"/>
          <w:lang w:val="en-US" w:eastAsia="zh-CN"/>
        </w:rPr>
      </w:pPr>
      <w:r>
        <w:rPr>
          <w:rFonts w:hint="default" w:ascii="Times New Roman" w:hAnsi="Times New Roman" w:eastAsia="仿宋" w:cs="Times New Roman"/>
          <w:b/>
          <w:bCs/>
          <w:highlight w:val="none"/>
          <w:lang w:val="en-US" w:eastAsia="zh-CN"/>
        </w:rPr>
        <w:t>4、保障塔北路地下综合管廊项目正常运营</w:t>
      </w:r>
    </w:p>
    <w:p>
      <w:pPr>
        <w:pStyle w:val="2"/>
        <w:ind w:left="0" w:leftChars="0" w:firstLine="640" w:firstLineChars="200"/>
        <w:jc w:val="both"/>
        <w:rPr>
          <w:rFonts w:hint="eastAsia" w:ascii="仿宋" w:hAnsi="仿宋" w:eastAsia="仿宋" w:cs="仿宋"/>
          <w:b/>
          <w:bCs/>
          <w:color w:val="FF0000"/>
          <w:sz w:val="32"/>
          <w:szCs w:val="32"/>
          <w:lang w:eastAsia="zh-CN"/>
        </w:rPr>
      </w:pPr>
      <w:r>
        <w:rPr>
          <w:rFonts w:hint="eastAsia" w:ascii="仿宋" w:hAnsi="仿宋" w:eastAsia="仿宋" w:cs="仿宋"/>
          <w:b w:val="0"/>
          <w:bCs w:val="0"/>
          <w:color w:val="auto"/>
          <w:sz w:val="32"/>
          <w:szCs w:val="32"/>
          <w:lang w:eastAsia="zh-CN"/>
        </w:rPr>
        <w:t>绩效目标实现情况：</w:t>
      </w:r>
      <w:r>
        <w:rPr>
          <w:rFonts w:hint="eastAsia" w:ascii="仿宋" w:hAnsi="仿宋" w:eastAsia="仿宋" w:cs="仿宋"/>
          <w:b w:val="0"/>
          <w:bCs w:val="0"/>
          <w:color w:val="auto"/>
          <w:sz w:val="32"/>
          <w:szCs w:val="32"/>
          <w:lang w:val="en-US" w:eastAsia="zh-CN"/>
        </w:rPr>
        <w:t>本年度完成了塔北路管廊项目运营期可行性缺口补助的支付工作，共发放补助5200万元，保障管廊项目正常平稳运营，无安全事故发生，全年对管廊项目进行5次绩效评价，每次考核分数均达标，全年考核均分为90.49分。</w:t>
      </w:r>
    </w:p>
    <w:p>
      <w:pPr>
        <w:pStyle w:val="2"/>
        <w:ind w:left="0" w:leftChars="0" w:firstLine="640" w:firstLineChars="200"/>
        <w:jc w:val="both"/>
        <w:rPr>
          <w:rFonts w:hint="eastAsia" w:ascii="仿宋" w:hAnsi="仿宋" w:eastAsia="仿宋" w:cs="仿宋"/>
          <w:b w:val="0"/>
          <w:bCs w:val="0"/>
          <w:color w:val="auto"/>
          <w:sz w:val="32"/>
          <w:szCs w:val="32"/>
          <w:lang w:eastAsia="zh-CN"/>
        </w:rPr>
      </w:pPr>
      <w:r>
        <w:rPr>
          <w:rFonts w:hint="eastAsia" w:ascii="仿宋" w:hAnsi="仿宋" w:eastAsia="仿宋" w:cs="仿宋"/>
          <w:b w:val="0"/>
          <w:bCs w:val="0"/>
          <w:color w:val="auto"/>
          <w:sz w:val="32"/>
          <w:szCs w:val="32"/>
          <w:lang w:eastAsia="zh-CN"/>
        </w:rPr>
        <w:t>绩效指标分析：</w:t>
      </w:r>
      <w:r>
        <w:rPr>
          <w:rFonts w:hint="eastAsia" w:ascii="仿宋" w:hAnsi="仿宋" w:eastAsia="仿宋" w:cs="仿宋"/>
          <w:b w:val="0"/>
          <w:bCs w:val="0"/>
          <w:color w:val="auto"/>
          <w:sz w:val="32"/>
          <w:szCs w:val="32"/>
          <w:lang w:val="en-US" w:eastAsia="zh-CN"/>
        </w:rPr>
        <w:t>2022年2月完成第一季度绩效评价，得分为90.5分，为管廊申请发放2021年四季度、2022一季度运营期可行性缺口补助2900万元。2022年6月和9月分别完成第二、三季度绩效评价，得分均为90分，为管廊申请发放2022年二、三季度运营期可行性缺口补助2300万元。</w:t>
      </w:r>
      <w:r>
        <w:rPr>
          <w:rFonts w:hint="eastAsia" w:ascii="仿宋" w:hAnsi="仿宋" w:eastAsia="仿宋" w:cs="仿宋"/>
          <w:b w:val="0"/>
          <w:bCs w:val="0"/>
          <w:sz w:val="32"/>
          <w:szCs w:val="32"/>
          <w:lang w:val="en-US" w:eastAsia="zh-CN"/>
        </w:rPr>
        <w:t>绩效</w:t>
      </w:r>
      <w:r>
        <w:rPr>
          <w:rFonts w:hint="eastAsia" w:ascii="仿宋" w:hAnsi="仿宋" w:eastAsia="仿宋" w:cs="仿宋"/>
          <w:b w:val="0"/>
          <w:bCs w:val="0"/>
          <w:sz w:val="32"/>
          <w:szCs w:val="32"/>
          <w:lang w:eastAsia="zh-CN"/>
        </w:rPr>
        <w:t>指标实现情况总体良好，</w:t>
      </w:r>
      <w:r>
        <w:rPr>
          <w:rFonts w:hint="eastAsia" w:ascii="仿宋" w:hAnsi="仿宋" w:eastAsia="仿宋" w:cs="仿宋"/>
          <w:b w:val="0"/>
          <w:bCs w:val="0"/>
          <w:color w:val="auto"/>
          <w:sz w:val="32"/>
          <w:szCs w:val="32"/>
          <w:lang w:val="en-US" w:eastAsia="zh-CN"/>
        </w:rPr>
        <w:t>完成了</w:t>
      </w:r>
      <w:r>
        <w:rPr>
          <w:rFonts w:hint="eastAsia" w:ascii="仿宋" w:hAnsi="仿宋" w:eastAsia="仿宋" w:cs="仿宋"/>
          <w:b w:val="0"/>
          <w:bCs w:val="0"/>
          <w:color w:val="auto"/>
          <w:sz w:val="32"/>
          <w:szCs w:val="32"/>
          <w:lang w:eastAsia="zh-CN"/>
        </w:rPr>
        <w:t>塔北路管廊</w:t>
      </w:r>
      <w:r>
        <w:rPr>
          <w:rFonts w:hint="eastAsia" w:ascii="仿宋" w:hAnsi="仿宋" w:eastAsia="仿宋" w:cs="仿宋"/>
          <w:b w:val="0"/>
          <w:bCs w:val="0"/>
          <w:color w:val="auto"/>
          <w:sz w:val="32"/>
          <w:szCs w:val="32"/>
          <w:lang w:val="en-US" w:eastAsia="zh-CN"/>
        </w:rPr>
        <w:t>可行性缺口</w:t>
      </w:r>
      <w:r>
        <w:rPr>
          <w:rFonts w:hint="eastAsia" w:ascii="仿宋" w:hAnsi="仿宋" w:eastAsia="仿宋" w:cs="仿宋"/>
          <w:b w:val="0"/>
          <w:bCs w:val="0"/>
          <w:color w:val="auto"/>
          <w:sz w:val="32"/>
          <w:szCs w:val="32"/>
          <w:lang w:eastAsia="zh-CN"/>
        </w:rPr>
        <w:t>补助</w:t>
      </w:r>
      <w:r>
        <w:rPr>
          <w:rFonts w:hint="eastAsia" w:ascii="仿宋" w:hAnsi="仿宋" w:eastAsia="仿宋" w:cs="仿宋"/>
          <w:b w:val="0"/>
          <w:bCs w:val="0"/>
          <w:color w:val="auto"/>
          <w:sz w:val="32"/>
          <w:szCs w:val="32"/>
          <w:lang w:val="en-US" w:eastAsia="zh-CN"/>
        </w:rPr>
        <w:t>的</w:t>
      </w:r>
      <w:r>
        <w:rPr>
          <w:rFonts w:hint="eastAsia" w:ascii="仿宋" w:hAnsi="仿宋" w:eastAsia="仿宋" w:cs="仿宋"/>
          <w:b w:val="0"/>
          <w:bCs w:val="0"/>
          <w:color w:val="auto"/>
          <w:sz w:val="32"/>
          <w:szCs w:val="32"/>
          <w:lang w:eastAsia="zh-CN"/>
        </w:rPr>
        <w:t>申请发放，保障管廊正常安全运营。</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b/>
          <w:bCs/>
          <w:highlight w:val="none"/>
          <w:lang w:val="en-US" w:eastAsia="zh-CN"/>
        </w:rPr>
      </w:pPr>
      <w:r>
        <w:rPr>
          <w:rFonts w:hint="default" w:ascii="Times New Roman" w:hAnsi="Times New Roman" w:eastAsia="仿宋" w:cs="Times New Roman"/>
          <w:b/>
          <w:bCs/>
          <w:highlight w:val="none"/>
          <w:lang w:val="en-US" w:eastAsia="zh-CN"/>
        </w:rPr>
        <w:t>5、完成塔北路地下综合管廊项目绩效评价考核</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绩效目标实现情况：</w:t>
      </w:r>
      <w:r>
        <w:rPr>
          <w:rFonts w:hint="default" w:ascii="Times New Roman" w:hAnsi="Times New Roman" w:eastAsia="仿宋" w:cs="Times New Roman"/>
          <w:b w:val="0"/>
          <w:bCs w:val="0"/>
          <w:color w:val="auto"/>
          <w:sz w:val="32"/>
          <w:szCs w:val="32"/>
          <w:highlight w:val="none"/>
          <w:lang w:val="en-US" w:eastAsia="zh-CN"/>
        </w:rPr>
        <w:t>本年度</w:t>
      </w:r>
      <w:r>
        <w:rPr>
          <w:rFonts w:hint="default" w:ascii="Times New Roman" w:hAnsi="Times New Roman" w:eastAsia="仿宋" w:cs="Times New Roman"/>
          <w:b w:val="0"/>
          <w:bCs w:val="0"/>
          <w:sz w:val="32"/>
          <w:szCs w:val="32"/>
          <w:highlight w:val="none"/>
          <w:lang w:val="en-US" w:eastAsia="zh-CN"/>
        </w:rPr>
        <w:t>聘请河北中科建研工程检测有限公司对管廊运营维护情况进行了5次绩效评价</w:t>
      </w:r>
      <w:r>
        <w:rPr>
          <w:rFonts w:hint="default" w:ascii="Times New Roman" w:hAnsi="Times New Roman" w:eastAsia="仿宋" w:cs="Times New Roman"/>
          <w:b w:val="0"/>
          <w:bCs w:val="0"/>
          <w:color w:val="auto"/>
          <w:sz w:val="32"/>
          <w:szCs w:val="32"/>
          <w:highlight w:val="none"/>
          <w:lang w:val="en-US" w:eastAsia="zh-CN"/>
        </w:rPr>
        <w:t>，并出具了评价报告。</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绩效指标分析：</w:t>
      </w:r>
      <w:r>
        <w:rPr>
          <w:rFonts w:hint="default" w:ascii="Times New Roman" w:hAnsi="Times New Roman" w:eastAsia="仿宋" w:cs="Times New Roman"/>
          <w:b w:val="0"/>
          <w:bCs w:val="0"/>
          <w:color w:val="auto"/>
          <w:sz w:val="32"/>
          <w:szCs w:val="32"/>
          <w:highlight w:val="none"/>
          <w:lang w:val="en-US" w:eastAsia="zh-CN"/>
        </w:rPr>
        <w:t>全年对管廊项目进行了4次季度绩效评价和1次随机绩效评价，均出具了评价报告。</w:t>
      </w:r>
      <w:r>
        <w:rPr>
          <w:rFonts w:hint="default" w:ascii="Times New Roman" w:hAnsi="Times New Roman" w:eastAsia="仿宋" w:cs="Times New Roman"/>
          <w:b w:val="0"/>
          <w:bCs w:val="0"/>
          <w:sz w:val="32"/>
          <w:szCs w:val="32"/>
          <w:highlight w:val="none"/>
          <w:lang w:val="en-US" w:eastAsia="zh-CN"/>
        </w:rPr>
        <w:t>2022年2月进行了第一季度绩效评价，6月进行了第二季度绩效评价，9月进行了第三季度绩效评价，10月进行了一次随机绩效评价，12月进行了第四季度绩效评价。历次考核均将发现的问题通报嘉泰管廊公司，并督促其进行整改。全年所有绩效评价完成后，出具了年度报告，对全年绩效评价情况进行了总结。</w:t>
      </w:r>
    </w:p>
    <w:p>
      <w:pPr>
        <w:pStyle w:val="2"/>
        <w:keepNext w:val="0"/>
        <w:keepLines w:val="0"/>
        <w:pageBreakBefore w:val="0"/>
        <w:kinsoku/>
        <w:wordWrap/>
        <w:overflowPunct/>
        <w:topLinePunct w:val="0"/>
        <w:autoSpaceDE/>
        <w:autoSpaceDN/>
        <w:bidi w:val="0"/>
        <w:spacing w:line="600" w:lineRule="exact"/>
        <w:ind w:left="0" w:leftChars="0" w:firstLine="643" w:firstLineChars="200"/>
        <w:textAlignment w:val="auto"/>
        <w:rPr>
          <w:rFonts w:hint="default" w:ascii="Times New Roman" w:hAnsi="Times New Roman" w:eastAsia="仿宋" w:cs="Times New Roman"/>
          <w:b/>
          <w:bCs/>
          <w:highlight w:val="none"/>
          <w:lang w:val="en-US" w:eastAsia="zh-CN"/>
        </w:rPr>
      </w:pPr>
      <w:r>
        <w:rPr>
          <w:rFonts w:hint="default" w:ascii="Times New Roman" w:hAnsi="Times New Roman" w:eastAsia="仿宋" w:cs="Times New Roman"/>
          <w:b/>
          <w:bCs/>
          <w:highlight w:val="none"/>
          <w:lang w:val="en-US" w:eastAsia="zh-CN"/>
        </w:rPr>
        <w:t>6、安装值班室视频值班系统</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绩效目标实现情况：按要求完成了市政府值班室视频值班系统的安装工作，确保视频值班系统正常使用。</w:t>
      </w:r>
    </w:p>
    <w:p>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仿宋" w:cs="Times New Roman"/>
          <w:b w:val="0"/>
          <w:bCs w:val="0"/>
          <w:color w:val="auto"/>
          <w:sz w:val="32"/>
          <w:szCs w:val="32"/>
          <w:highlight w:val="none"/>
          <w:lang w:eastAsia="zh-CN"/>
        </w:rPr>
      </w:pPr>
      <w:r>
        <w:rPr>
          <w:rFonts w:hint="default" w:ascii="Times New Roman" w:hAnsi="Times New Roman" w:eastAsia="仿宋" w:cs="Times New Roman"/>
          <w:b w:val="0"/>
          <w:bCs w:val="0"/>
          <w:color w:val="auto"/>
          <w:sz w:val="32"/>
          <w:szCs w:val="32"/>
          <w:highlight w:val="none"/>
          <w:lang w:eastAsia="zh-CN"/>
        </w:rPr>
        <w:t>绩效指标分析</w:t>
      </w:r>
      <w:r>
        <w:rPr>
          <w:rFonts w:hint="default" w:ascii="Times New Roman" w:hAnsi="Times New Roman" w:eastAsia="仿宋" w:cs="Times New Roman"/>
          <w:b w:val="0"/>
          <w:bCs w:val="0"/>
          <w:color w:val="auto"/>
          <w:sz w:val="32"/>
          <w:szCs w:val="32"/>
          <w:highlight w:val="none"/>
          <w:lang w:val="en-US" w:eastAsia="zh-CN"/>
        </w:rPr>
        <w:t>：</w:t>
      </w:r>
      <w:r>
        <w:rPr>
          <w:rFonts w:hint="default" w:ascii="Times New Roman" w:hAnsi="Times New Roman" w:eastAsia="仿宋" w:cs="Times New Roman"/>
          <w:b w:val="0"/>
          <w:bCs w:val="0"/>
          <w:color w:val="auto"/>
          <w:sz w:val="32"/>
          <w:szCs w:val="32"/>
          <w:highlight w:val="none"/>
          <w:lang w:eastAsia="zh-CN"/>
        </w:rPr>
        <w:t>按照省、市政府值班工作要求，我办积极与市政府值班室、设备厂家沟通对接，在轨道办值班室安装视频值班系统，设备、网络正常使用，每周三、周五按时参加市政府值班室视频点名，并按市政府值班值守工作要求做好相关工作。</w:t>
      </w:r>
    </w:p>
    <w:p>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四、评价结论和评价等级</w:t>
      </w:r>
    </w:p>
    <w:p>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eastAsia" w:ascii="Times New Roman" w:hAnsi="Times New Roman" w:eastAsia="仿宋_GB2312" w:cs="Times New Roman"/>
          <w:strike w:val="0"/>
          <w:dstrike w:val="0"/>
          <w:color w:val="auto"/>
          <w:sz w:val="32"/>
          <w:szCs w:val="32"/>
          <w:lang w:eastAsia="zh-CN"/>
        </w:rPr>
      </w:pPr>
      <w:r>
        <w:rPr>
          <w:rFonts w:hint="eastAsia" w:ascii="Times New Roman" w:hAnsi="Times New Roman" w:eastAsia="仿宋" w:cs="Times New Roman"/>
          <w:strike w:val="0"/>
          <w:dstrike w:val="0"/>
          <w:color w:val="auto"/>
          <w:sz w:val="32"/>
          <w:szCs w:val="32"/>
          <w:lang w:val="en-US" w:eastAsia="zh-CN"/>
        </w:rPr>
        <w:t>2022年我办财政调整预算数45319.57万元，截至2022年12月31日实际支出45318.000033万元，预算执行率100%，结余交回财政资金1.569967万元。经过整体评价，我办较好地完成了2022年年度目标任务，</w:t>
      </w:r>
      <w:r>
        <w:rPr>
          <w:rFonts w:hint="default" w:ascii="Times New Roman" w:hAnsi="Times New Roman" w:eastAsia="仿宋" w:cs="Times New Roman"/>
          <w:strike w:val="0"/>
          <w:dstrike w:val="0"/>
          <w:color w:val="auto"/>
          <w:sz w:val="32"/>
          <w:szCs w:val="32"/>
          <w:lang w:val="en-US" w:eastAsia="zh-CN"/>
        </w:rPr>
        <w:t>支出绩效总体良好，各项目标达到了相应时期执行进度，各项目经费按预算实施，使财政收支预算执行都得到了良好的制度保障和实施效果，</w:t>
      </w:r>
      <w:r>
        <w:rPr>
          <w:rFonts w:hint="default" w:ascii="Times New Roman" w:hAnsi="Times New Roman" w:eastAsia="仿宋_GB2312" w:cs="Times New Roman"/>
          <w:strike w:val="0"/>
          <w:dstrike w:val="0"/>
          <w:color w:val="auto"/>
          <w:sz w:val="32"/>
          <w:szCs w:val="32"/>
        </w:rPr>
        <w:t>项目具有明确的目标，项目实施过程中能够严格按照省市有关项目管理和资金管理规定执行，使用得当</w:t>
      </w:r>
      <w:r>
        <w:rPr>
          <w:rFonts w:hint="eastAsia" w:ascii="Times New Roman" w:hAnsi="Times New Roman" w:eastAsia="仿宋_GB2312" w:cs="Times New Roman"/>
          <w:strike w:val="0"/>
          <w:dstrike w:val="0"/>
          <w:color w:val="auto"/>
          <w:sz w:val="32"/>
          <w:szCs w:val="32"/>
          <w:lang w:eastAsia="zh-CN"/>
        </w:rPr>
        <w:t>。</w:t>
      </w:r>
    </w:p>
    <w:p>
      <w:pPr>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 w:cs="Times New Roman"/>
          <w:strike w:val="0"/>
          <w:dstrike w:val="0"/>
          <w:color w:val="auto"/>
          <w:sz w:val="32"/>
          <w:szCs w:val="32"/>
          <w:lang w:val="en-US" w:eastAsia="zh-CN"/>
        </w:rPr>
      </w:pPr>
      <w:r>
        <w:rPr>
          <w:rFonts w:hint="eastAsia" w:ascii="Times New Roman" w:hAnsi="Times New Roman" w:eastAsia="仿宋" w:cs="Times New Roman"/>
          <w:strike w:val="0"/>
          <w:dstrike w:val="0"/>
          <w:color w:val="auto"/>
          <w:sz w:val="32"/>
          <w:szCs w:val="32"/>
          <w:lang w:val="en-US" w:eastAsia="zh-CN"/>
        </w:rPr>
        <w:t>我办</w:t>
      </w:r>
      <w:r>
        <w:rPr>
          <w:rFonts w:hint="eastAsia" w:ascii="Times New Roman" w:hAnsi="Times New Roman" w:eastAsia="仿宋_GB2312" w:cs="Times New Roman"/>
          <w:strike w:val="0"/>
          <w:dstrike w:val="0"/>
          <w:color w:val="auto"/>
          <w:sz w:val="32"/>
          <w:szCs w:val="32"/>
          <w:lang w:val="en-US" w:eastAsia="zh-CN"/>
        </w:rPr>
        <w:t>2022年度部门整体支出绩效评价</w:t>
      </w:r>
      <w:r>
        <w:rPr>
          <w:rFonts w:hint="default" w:ascii="Times New Roman" w:hAnsi="Times New Roman" w:eastAsia="仿宋" w:cs="Times New Roman"/>
          <w:strike w:val="0"/>
          <w:dstrike w:val="0"/>
          <w:color w:val="auto"/>
          <w:sz w:val="32"/>
          <w:szCs w:val="32"/>
          <w:lang w:val="en-US" w:eastAsia="zh-CN"/>
        </w:rPr>
        <w:t>自评得分</w:t>
      </w:r>
      <w:r>
        <w:rPr>
          <w:rFonts w:hint="eastAsia" w:ascii="Times New Roman" w:hAnsi="Times New Roman" w:eastAsia="仿宋" w:cs="Times New Roman"/>
          <w:strike w:val="0"/>
          <w:dstrike w:val="0"/>
          <w:color w:val="auto"/>
          <w:sz w:val="32"/>
          <w:szCs w:val="32"/>
          <w:lang w:val="en-US" w:eastAsia="zh-CN"/>
        </w:rPr>
        <w:t>99.9</w:t>
      </w:r>
      <w:r>
        <w:rPr>
          <w:rFonts w:hint="default" w:ascii="Times New Roman" w:hAnsi="Times New Roman" w:eastAsia="仿宋" w:cs="Times New Roman"/>
          <w:strike w:val="0"/>
          <w:dstrike w:val="0"/>
          <w:color w:val="auto"/>
          <w:sz w:val="32"/>
          <w:szCs w:val="32"/>
          <w:lang w:val="en-US" w:eastAsia="zh-CN"/>
        </w:rPr>
        <w:t>分，综合绩效评价等级为</w:t>
      </w:r>
      <w:r>
        <w:rPr>
          <w:rFonts w:hint="eastAsia" w:ascii="Times New Roman" w:hAnsi="Times New Roman" w:eastAsia="仿宋" w:cs="Times New Roman"/>
          <w:strike w:val="0"/>
          <w:dstrike w:val="0"/>
          <w:color w:val="auto"/>
          <w:sz w:val="32"/>
          <w:szCs w:val="32"/>
          <w:lang w:val="en-US" w:eastAsia="zh-CN"/>
        </w:rPr>
        <w:t>“</w:t>
      </w:r>
      <w:r>
        <w:rPr>
          <w:rFonts w:hint="default" w:ascii="Times New Roman" w:hAnsi="Times New Roman" w:eastAsia="仿宋" w:cs="Times New Roman"/>
          <w:strike w:val="0"/>
          <w:dstrike w:val="0"/>
          <w:color w:val="auto"/>
          <w:sz w:val="32"/>
          <w:szCs w:val="32"/>
          <w:lang w:val="en-US" w:eastAsia="zh-CN"/>
        </w:rPr>
        <w:t>优秀</w:t>
      </w:r>
      <w:r>
        <w:rPr>
          <w:rFonts w:hint="eastAsia" w:ascii="Times New Roman" w:hAnsi="Times New Roman" w:eastAsia="仿宋" w:cs="Times New Roman"/>
          <w:strike w:val="0"/>
          <w:dstrike w:val="0"/>
          <w:color w:val="auto"/>
          <w:sz w:val="32"/>
          <w:szCs w:val="32"/>
          <w:lang w:val="en-US" w:eastAsia="zh-CN"/>
        </w:rPr>
        <w:t>”</w:t>
      </w:r>
      <w:r>
        <w:rPr>
          <w:rFonts w:hint="default" w:ascii="Times New Roman" w:hAnsi="Times New Roman" w:eastAsia="仿宋" w:cs="Times New Roman"/>
          <w:strike w:val="0"/>
          <w:dstrike w:val="0"/>
          <w:color w:val="auto"/>
          <w:sz w:val="32"/>
          <w:szCs w:val="32"/>
          <w:lang w:val="en-US" w:eastAsia="zh-CN"/>
        </w:rPr>
        <w:t>。</w:t>
      </w:r>
    </w:p>
    <w:p>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spacing w:line="60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rPr>
        <w:t>（一）存在的主要问题</w:t>
      </w:r>
    </w:p>
    <w:p>
      <w:pPr>
        <w:pStyle w:val="2"/>
        <w:keepNext w:val="0"/>
        <w:keepLines w:val="0"/>
        <w:pageBreakBefore w:val="0"/>
        <w:kinsoku/>
        <w:wordWrap/>
        <w:overflowPunct/>
        <w:topLinePunct w:val="0"/>
        <w:autoSpaceDE/>
        <w:autoSpaceDN/>
        <w:bidi w:val="0"/>
        <w:spacing w:line="60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eastAsia" w:eastAsia="仿宋" w:cs="Times New Roman"/>
          <w:b w:val="0"/>
          <w:bCs w:val="0"/>
          <w:color w:val="auto"/>
          <w:lang w:val="en-US" w:eastAsia="zh-CN"/>
        </w:rPr>
        <w:t>个别项目绩效指标设置中效益指标设置不够量化，不能完整清晰体现工作活动的产出和效果，应增加更为具体或可量化的指标</w:t>
      </w:r>
      <w:r>
        <w:rPr>
          <w:rFonts w:hint="default" w:ascii="Times New Roman" w:hAnsi="Times New Roman" w:eastAsia="仿宋" w:cs="Times New Roman"/>
          <w:color w:val="auto"/>
          <w:lang w:val="en-US" w:eastAsia="zh-CN"/>
        </w:rPr>
        <w:t>。</w:t>
      </w:r>
    </w:p>
    <w:p>
      <w:pPr>
        <w:keepNext w:val="0"/>
        <w:keepLines w:val="0"/>
        <w:pageBreakBefore w:val="0"/>
        <w:widowControl w:val="0"/>
        <w:numPr>
          <w:ilvl w:val="0"/>
          <w:numId w:val="3"/>
        </w:numPr>
        <w:kinsoku/>
        <w:wordWrap/>
        <w:overflowPunct/>
        <w:topLinePunct w:val="0"/>
        <w:autoSpaceDE/>
        <w:autoSpaceDN/>
        <w:bidi w:val="0"/>
        <w:spacing w:line="60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rPr>
        <w:t>针对问题提出具体的改进措施或建议</w:t>
      </w:r>
    </w:p>
    <w:p>
      <w:pPr>
        <w:pStyle w:val="2"/>
        <w:keepNext w:val="0"/>
        <w:keepLines w:val="0"/>
        <w:pageBreakBefore w:val="0"/>
        <w:numPr>
          <w:ilvl w:val="0"/>
          <w:numId w:val="0"/>
        </w:numPr>
        <w:kinsoku/>
        <w:wordWrap/>
        <w:overflowPunct/>
        <w:topLinePunct w:val="0"/>
        <w:autoSpaceDE/>
        <w:autoSpaceDN/>
        <w:bidi w:val="0"/>
        <w:spacing w:line="600" w:lineRule="exact"/>
        <w:ind w:firstLine="640" w:firstLineChars="200"/>
        <w:textAlignment w:val="auto"/>
        <w:rPr>
          <w:rFonts w:hint="default" w:eastAsia="仿宋" w:cs="Times New Roman"/>
          <w:b w:val="0"/>
          <w:bCs w:val="0"/>
          <w:color w:val="auto"/>
          <w:lang w:val="en-US" w:eastAsia="zh-CN"/>
        </w:rPr>
      </w:pPr>
      <w:r>
        <w:rPr>
          <w:rFonts w:hint="eastAsia" w:eastAsia="仿宋" w:cs="Times New Roman"/>
          <w:b w:val="0"/>
          <w:bCs w:val="0"/>
          <w:color w:val="auto"/>
          <w:lang w:val="en-US" w:eastAsia="zh-CN"/>
        </w:rPr>
        <w:t>1.科学设定绩效目标和指标，将绩效目标做实，在设定绩效指标值注意细化量化，便于对项目进行整体监控和考核。</w:t>
      </w:r>
    </w:p>
    <w:p>
      <w:pPr>
        <w:spacing w:line="600" w:lineRule="exact"/>
        <w:ind w:firstLine="640" w:firstLineChars="200"/>
      </w:pPr>
      <w:r>
        <w:rPr>
          <w:rFonts w:hint="default" w:ascii="Times New Roman" w:hAnsi="Times New Roman" w:eastAsia="仿宋" w:cs="Times New Roman"/>
          <w:b w:val="0"/>
          <w:bCs w:val="0"/>
          <w:color w:val="auto"/>
          <w:kern w:val="2"/>
          <w:sz w:val="32"/>
          <w:szCs w:val="22"/>
          <w:lang w:val="en-US" w:eastAsia="zh-CN" w:bidi="ar-SA"/>
        </w:rPr>
        <w:t>2.</w:t>
      </w:r>
      <w:r>
        <w:rPr>
          <w:rFonts w:hint="eastAsia" w:eastAsia="仿宋" w:cs="Times New Roman"/>
          <w:b w:val="0"/>
          <w:bCs w:val="0"/>
          <w:color w:val="auto"/>
          <w:kern w:val="2"/>
          <w:sz w:val="32"/>
          <w:szCs w:val="22"/>
          <w:lang w:val="en-US" w:eastAsia="zh-CN" w:bidi="ar-SA"/>
        </w:rPr>
        <w:t>提高部门绩效管理意识，把绩效理念融入到预算编制、执行、监督管理的全过程，不断完善制度建设，规范内部管理，坚持建章立制。进一步明确各部门工作职责和岗位标准，不断加强制度建设，通过制定统一的工作规划、管理制度体系，加强对预算绩效管理的保障支撑性</w:t>
      </w:r>
      <w:r>
        <w:rPr>
          <w:rFonts w:hint="default" w:ascii="Times New Roman" w:hAnsi="Times New Roman" w:eastAsia="仿宋" w:cs="Times New Roman"/>
          <w:b w:val="0"/>
          <w:bCs w:val="0"/>
          <w:color w:val="auto"/>
          <w:kern w:val="2"/>
          <w:sz w:val="32"/>
          <w:szCs w:val="22"/>
          <w:lang w:val="en-US" w:eastAsia="zh-CN" w:bidi="ar-SA"/>
        </w:rPr>
        <w:t>。</w:t>
      </w:r>
    </w:p>
    <w:p>
      <w:pPr>
        <w:spacing w:line="600" w:lineRule="exact"/>
        <w:ind w:firstLine="640" w:firstLineChars="200"/>
      </w:pPr>
      <w:r>
        <w:rPr>
          <w:rFonts w:hint="eastAsia" w:eastAsia="仿宋" w:cs="Times New Roman"/>
          <w:b w:val="0"/>
          <w:bCs w:val="0"/>
          <w:color w:val="auto"/>
          <w:kern w:val="2"/>
          <w:sz w:val="32"/>
          <w:szCs w:val="22"/>
          <w:lang w:val="en-US" w:eastAsia="zh-CN" w:bidi="ar-SA"/>
        </w:rPr>
        <w:t>3、重视绩效评价工作，切实发挥绩效评价结果应用的作用。</w:t>
      </w:r>
      <w:r>
        <w:rPr>
          <w:rFonts w:hint="eastAsia" w:ascii="仿宋" w:hAnsi="仿宋" w:eastAsia="仿宋" w:cs="Times New Roman"/>
          <w:sz w:val="32"/>
          <w:szCs w:val="32"/>
        </w:rPr>
        <w:t>通过组织培训，加强宣传等方式，加强部门工作人员对预算绩效管理的认识，充分理解财政绩效评价指标体系，强化全过程预算绩效管理理念，积极主动的开展绩效管理工作，</w:t>
      </w:r>
      <w:r>
        <w:rPr>
          <w:rFonts w:hint="eastAsia" w:ascii="仿宋" w:hAnsi="仿宋" w:eastAsia="仿宋" w:cs="Times New Roman"/>
          <w:sz w:val="32"/>
          <w:szCs w:val="32"/>
          <w:lang w:val="en-US" w:eastAsia="zh-CN"/>
        </w:rPr>
        <w:t>把绩效评价应用与实际工作相结合，总结经验和教训，强化财政资金管理水平，</w:t>
      </w:r>
      <w:r>
        <w:rPr>
          <w:rFonts w:hint="eastAsia" w:ascii="仿宋" w:hAnsi="仿宋" w:eastAsia="仿宋" w:cs="Times New Roman"/>
          <w:sz w:val="32"/>
          <w:szCs w:val="32"/>
        </w:rPr>
        <w:t>以提高财政资金使用效益。</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六、评价工作组人员名单及签字</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陈宝京</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党组书记、主任</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肖卫洲</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党组成员、副主任</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张  龙</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党组成员、副主任</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杨立众</w:t>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总工程师</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高  达</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综合办公室 主任</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张利锋</w:t>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资源开发管理科 科长</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梁丽华</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规划发展科 科长/高级工程师</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王语夫</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工程管理科 科长/高级工程师</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常  昆</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运营管理科 科长</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汤  玮</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综合办公室 副主任</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秦  静</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综合办公室 科员</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李  康</w:t>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default" w:ascii="Times New Roman" w:hAnsi="Times New Roman" w:eastAsia="仿宋_GB2312" w:cs="Times New Roman"/>
          <w:i w:val="0"/>
          <w:caps w:val="0"/>
          <w:color w:val="auto"/>
          <w:spacing w:val="0"/>
          <w:sz w:val="32"/>
          <w:szCs w:val="32"/>
          <w:shd w:val="clear" w:fill="FFFFFF"/>
          <w:lang w:val="en-US" w:eastAsia="zh-CN"/>
        </w:rPr>
        <w:t>综合办公室 科员</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任向达</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资源开发管理科 科员</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杨  潇</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规划发展科 科员/工程师</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张  勇</w:t>
      </w:r>
      <w:r>
        <w:rPr>
          <w:rFonts w:hint="default" w:ascii="Times New Roman" w:hAnsi="Times New Roman" w:eastAsia="仿宋_GB2312" w:cs="Times New Roman"/>
          <w:i w:val="0"/>
          <w:caps w:val="0"/>
          <w:color w:val="auto"/>
          <w:spacing w:val="0"/>
          <w:sz w:val="32"/>
          <w:szCs w:val="32"/>
          <w:shd w:val="clear" w:fill="FFFFFF"/>
          <w:lang w:val="en-US" w:eastAsia="zh-CN"/>
        </w:rPr>
        <w:tab/>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r>
        <w:rPr>
          <w:rFonts w:hint="default" w:ascii="Times New Roman" w:hAnsi="Times New Roman" w:eastAsia="仿宋_GB2312" w:cs="Times New Roman"/>
          <w:i w:val="0"/>
          <w:caps w:val="0"/>
          <w:color w:val="auto"/>
          <w:spacing w:val="0"/>
          <w:sz w:val="32"/>
          <w:szCs w:val="32"/>
          <w:shd w:val="clear" w:fill="FFFFFF"/>
          <w:lang w:val="en-US" w:eastAsia="zh-CN"/>
        </w:rPr>
        <w:t>运营管理科 科员</w:t>
      </w:r>
    </w:p>
    <w:p>
      <w:pPr>
        <w:pStyle w:val="2"/>
        <w:rPr>
          <w:rFonts w:hint="default" w:ascii="Times New Roman" w:hAnsi="Times New Roman" w:eastAsia="仿宋_GB2312" w:cs="Times New Roman"/>
          <w:i w:val="0"/>
          <w:caps w:val="0"/>
          <w:color w:val="auto"/>
          <w:spacing w:val="0"/>
          <w:sz w:val="32"/>
          <w:szCs w:val="32"/>
          <w:shd w:val="clear" w:fill="FFFFFF"/>
          <w:lang w:val="en-US" w:eastAsia="zh-CN"/>
        </w:rPr>
      </w:pPr>
    </w:p>
    <w:p>
      <w:pPr>
        <w:pStyle w:val="2"/>
        <w:ind w:left="0" w:leftChars="0" w:firstLine="0" w:firstLineChars="0"/>
        <w:rPr>
          <w:rFonts w:hint="default" w:ascii="Times New Roman" w:hAnsi="Times New Roman" w:eastAsia="仿宋_GB2312" w:cs="Times New Roman"/>
          <w:i w:val="0"/>
          <w:caps w:val="0"/>
          <w:color w:val="auto"/>
          <w:spacing w:val="0"/>
          <w:sz w:val="32"/>
          <w:szCs w:val="32"/>
          <w:shd w:val="clear" w:fill="FFFFFF"/>
          <w:lang w:val="en-US" w:eastAsia="zh-CN"/>
        </w:rPr>
      </w:pPr>
      <w:r>
        <w:rPr>
          <w:rFonts w:hint="eastAsia" w:cs="Times New Roman"/>
          <w:i w:val="0"/>
          <w:caps w:val="0"/>
          <w:color w:val="auto"/>
          <w:spacing w:val="0"/>
          <w:sz w:val="32"/>
          <w:szCs w:val="32"/>
          <w:shd w:val="clear" w:fill="FFFFFF"/>
          <w:lang w:val="en-US" w:eastAsia="zh-CN"/>
        </w:rPr>
        <w:t xml:space="preserve">    （此页无正文）</w:t>
      </w:r>
    </w:p>
    <w:p>
      <w:pPr>
        <w:pStyle w:val="2"/>
        <w:rPr>
          <w:rFonts w:hint="default"/>
          <w:lang w:val="en-US" w:eastAsia="zh-CN"/>
        </w:rPr>
      </w:pPr>
    </w:p>
    <w:p>
      <w:pPr>
        <w:pStyle w:val="2"/>
        <w:rPr>
          <w:rFonts w:hint="default"/>
          <w:lang w:val="en-US" w:eastAsia="zh-CN"/>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4480" w:firstLineChars="1400"/>
        <w:jc w:val="both"/>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lang w:val="en-US" w:eastAsia="zh-CN"/>
        </w:rPr>
        <w:t>石家庄市轨道交通建设办公室</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 w:cs="Times New Roman"/>
        </w:rPr>
      </w:pPr>
      <w:r>
        <w:rPr>
          <w:rFonts w:hint="default" w:ascii="Times New Roman" w:hAnsi="Times New Roman" w:eastAsia="仿宋_GB2312" w:cs="Times New Roman"/>
          <w:i w:val="0"/>
          <w:caps w:val="0"/>
          <w:color w:val="auto"/>
          <w:spacing w:val="0"/>
          <w:sz w:val="32"/>
          <w:szCs w:val="32"/>
          <w:shd w:val="clear" w:fill="FFFFFF"/>
          <w:lang w:val="en-US" w:eastAsia="zh-CN"/>
        </w:rPr>
        <w:t xml:space="preserve">                              2023年4月7日</w:t>
      </w:r>
    </w:p>
    <w:sectPr>
      <w:footerReference r:id="rId3" w:type="default"/>
      <w:pgSz w:w="11906" w:h="16838"/>
      <w:pgMar w:top="1417" w:right="1474" w:bottom="1417" w:left="1474" w:header="851" w:footer="850"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04CFA08"/>
    <w:multiLevelType w:val="singleLevel"/>
    <w:tmpl w:val="504CFA08"/>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5458BC"/>
    <w:rsid w:val="07956271"/>
    <w:rsid w:val="09721397"/>
    <w:rsid w:val="09ED1058"/>
    <w:rsid w:val="0BB63BED"/>
    <w:rsid w:val="0EB97A43"/>
    <w:rsid w:val="0EBD2122"/>
    <w:rsid w:val="0F214EAE"/>
    <w:rsid w:val="11B71E6A"/>
    <w:rsid w:val="18CD6848"/>
    <w:rsid w:val="193522B5"/>
    <w:rsid w:val="1AAF0063"/>
    <w:rsid w:val="1ADF27C6"/>
    <w:rsid w:val="1AE30F4A"/>
    <w:rsid w:val="1BE140DE"/>
    <w:rsid w:val="21F75835"/>
    <w:rsid w:val="22615613"/>
    <w:rsid w:val="248C197D"/>
    <w:rsid w:val="252959AF"/>
    <w:rsid w:val="277A6671"/>
    <w:rsid w:val="28D34D93"/>
    <w:rsid w:val="292D35B7"/>
    <w:rsid w:val="297B20E3"/>
    <w:rsid w:val="2B3A14AE"/>
    <w:rsid w:val="2F3817BA"/>
    <w:rsid w:val="2F6E3F7C"/>
    <w:rsid w:val="3104359D"/>
    <w:rsid w:val="33EB6CFF"/>
    <w:rsid w:val="33FE397B"/>
    <w:rsid w:val="35A12947"/>
    <w:rsid w:val="37387040"/>
    <w:rsid w:val="39BD58F2"/>
    <w:rsid w:val="3A38794F"/>
    <w:rsid w:val="3B625C0A"/>
    <w:rsid w:val="3CEE1963"/>
    <w:rsid w:val="3F600DC0"/>
    <w:rsid w:val="3F8B0177"/>
    <w:rsid w:val="42160E1B"/>
    <w:rsid w:val="47723773"/>
    <w:rsid w:val="49E515C0"/>
    <w:rsid w:val="4C1D629A"/>
    <w:rsid w:val="4C9C27FE"/>
    <w:rsid w:val="4E463BD6"/>
    <w:rsid w:val="512260B4"/>
    <w:rsid w:val="526567C7"/>
    <w:rsid w:val="527239C2"/>
    <w:rsid w:val="52BD6ACB"/>
    <w:rsid w:val="54D30FF8"/>
    <w:rsid w:val="55537534"/>
    <w:rsid w:val="55630992"/>
    <w:rsid w:val="561A74F1"/>
    <w:rsid w:val="597244E8"/>
    <w:rsid w:val="598B7721"/>
    <w:rsid w:val="5ADC0716"/>
    <w:rsid w:val="5B214476"/>
    <w:rsid w:val="5C0A30B5"/>
    <w:rsid w:val="5EB71C30"/>
    <w:rsid w:val="60892D6D"/>
    <w:rsid w:val="60EF79E8"/>
    <w:rsid w:val="61BE79C8"/>
    <w:rsid w:val="658B0492"/>
    <w:rsid w:val="66AF0CE5"/>
    <w:rsid w:val="6AC537CF"/>
    <w:rsid w:val="6E4B572D"/>
    <w:rsid w:val="6E5B14A6"/>
    <w:rsid w:val="6EF03E28"/>
    <w:rsid w:val="711B255E"/>
    <w:rsid w:val="795A36AC"/>
    <w:rsid w:val="7BB51E06"/>
    <w:rsid w:val="7BDF02DC"/>
    <w:rsid w:val="7C387F7C"/>
    <w:rsid w:val="7D1B36F8"/>
    <w:rsid w:val="7E9A3BC8"/>
    <w:rsid w:val="7FA1408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line="600" w:lineRule="exact"/>
      <w:ind w:firstLine="834" w:firstLineChars="200"/>
      <w:jc w:val="left"/>
    </w:pPr>
    <w:rPr>
      <w:rFonts w:ascii="Times New Roman" w:hAnsi="Times New Roman" w:eastAsia="仿宋_GB2312"/>
      <w:sz w:val="32"/>
    </w:rPr>
  </w:style>
  <w:style w:type="paragraph" w:styleId="3">
    <w:name w:val="Body Text Indent"/>
    <w:basedOn w:val="1"/>
    <w:next w:val="4"/>
    <w:qFormat/>
    <w:uiPriority w:val="0"/>
    <w:pPr>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TotalTime>
  <ScaleCrop>false</ScaleCrop>
  <LinksUpToDate>false</LinksUpToDate>
  <CharactersWithSpaces>669</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T</cp:lastModifiedBy>
  <cp:lastPrinted>2023-03-21T02:45:00Z</cp:lastPrinted>
  <dcterms:modified xsi:type="dcterms:W3CDTF">2025-05-19T06:34:09Z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