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47093F">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rPr>
      </w:pPr>
      <w:r>
        <w:rPr>
          <w:rFonts w:hint="eastAsia" w:ascii="黑体" w:hAnsi="黑体" w:eastAsia="黑体" w:cs="黑体"/>
          <w:sz w:val="32"/>
          <w:szCs w:val="32"/>
        </w:rPr>
        <w:t>附件4</w:t>
      </w:r>
    </w:p>
    <w:p w14:paraId="6E6623A8">
      <w:pPr>
        <w:keepNext w:val="0"/>
        <w:keepLines w:val="0"/>
        <w:pageBreakBefore w:val="0"/>
        <w:widowControl w:val="0"/>
        <w:kinsoku/>
        <w:wordWrap/>
        <w:overflowPunct/>
        <w:topLinePunct w:val="0"/>
        <w:autoSpaceDE/>
        <w:autoSpaceDN/>
        <w:bidi w:val="0"/>
        <w:spacing w:line="560" w:lineRule="exact"/>
        <w:jc w:val="center"/>
        <w:textAlignment w:val="auto"/>
        <w:rPr>
          <w:rFonts w:ascii="宋体" w:hAnsi="宋体" w:cs="宋体"/>
          <w:b/>
          <w:bCs/>
          <w:sz w:val="44"/>
          <w:szCs w:val="44"/>
        </w:rPr>
      </w:pPr>
    </w:p>
    <w:p w14:paraId="70D1C405">
      <w:pPr>
        <w:keepNext w:val="0"/>
        <w:keepLines w:val="0"/>
        <w:pageBreakBefore w:val="0"/>
        <w:widowControl w:val="0"/>
        <w:kinsoku/>
        <w:wordWrap/>
        <w:overflowPunct/>
        <w:topLinePunct w:val="0"/>
        <w:autoSpaceDE/>
        <w:autoSpaceDN/>
        <w:bidi w:val="0"/>
        <w:spacing w:line="560" w:lineRule="exact"/>
        <w:jc w:val="center"/>
        <w:textAlignment w:val="auto"/>
        <w:rPr>
          <w:rFonts w:hint="eastAsia" w:ascii="宋体" w:hAnsi="宋体" w:cs="宋体"/>
          <w:b/>
          <w:bCs/>
          <w:sz w:val="44"/>
          <w:szCs w:val="44"/>
        </w:rPr>
      </w:pPr>
      <w:r>
        <w:rPr>
          <w:rFonts w:hint="eastAsia" w:ascii="宋体" w:hAnsi="宋体" w:cs="宋体"/>
          <w:b/>
          <w:bCs/>
          <w:sz w:val="44"/>
          <w:szCs w:val="44"/>
          <w:lang w:val="en-US" w:eastAsia="zh-CN"/>
        </w:rPr>
        <w:t>石家庄市鹿泉区人民法院</w:t>
      </w:r>
      <w:r>
        <w:rPr>
          <w:rFonts w:hint="eastAsia" w:ascii="宋体" w:hAnsi="宋体" w:cs="宋体"/>
          <w:b/>
          <w:bCs/>
          <w:sz w:val="44"/>
          <w:szCs w:val="44"/>
        </w:rPr>
        <w:t>部门</w:t>
      </w:r>
    </w:p>
    <w:p w14:paraId="1E32B05B">
      <w:pPr>
        <w:keepNext w:val="0"/>
        <w:keepLines w:val="0"/>
        <w:pageBreakBefore w:val="0"/>
        <w:widowControl w:val="0"/>
        <w:kinsoku/>
        <w:wordWrap/>
        <w:overflowPunct/>
        <w:topLinePunct w:val="0"/>
        <w:autoSpaceDE/>
        <w:autoSpaceDN/>
        <w:bidi w:val="0"/>
        <w:spacing w:line="560" w:lineRule="exact"/>
        <w:jc w:val="center"/>
        <w:textAlignment w:val="auto"/>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6032248E">
      <w:pPr>
        <w:keepNext w:val="0"/>
        <w:keepLines w:val="0"/>
        <w:pageBreakBefore w:val="0"/>
        <w:widowControl w:val="0"/>
        <w:kinsoku/>
        <w:wordWrap/>
        <w:overflowPunct/>
        <w:topLinePunct w:val="0"/>
        <w:autoSpaceDE/>
        <w:autoSpaceDN/>
        <w:bidi w:val="0"/>
        <w:spacing w:line="560" w:lineRule="exact"/>
        <w:jc w:val="center"/>
        <w:textAlignment w:val="auto"/>
        <w:rPr>
          <w:rFonts w:ascii="华文楷体" w:eastAsia="华文楷体"/>
          <w:sz w:val="32"/>
          <w:szCs w:val="32"/>
        </w:rPr>
      </w:pPr>
    </w:p>
    <w:p w14:paraId="7340562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石家庄市鹿泉区人民法院</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0D263414">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2848925A">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Times New Roman"/>
          <w:b/>
          <w:sz w:val="32"/>
          <w:szCs w:val="32"/>
          <w:lang w:val="en-US" w:eastAsia="zh-CN"/>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r>
        <w:rPr>
          <w:rFonts w:hint="eastAsia" w:ascii="仿宋" w:hAnsi="仿宋" w:eastAsia="仿宋" w:cs="Times New Roman"/>
          <w:b/>
          <w:sz w:val="32"/>
          <w:szCs w:val="32"/>
          <w:lang w:val="en-US" w:eastAsia="zh-CN"/>
        </w:rPr>
        <w:t xml:space="preserve"> </w:t>
      </w:r>
    </w:p>
    <w:p w14:paraId="61AB652A">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default" w:ascii="仿宋" w:hAnsi="仿宋" w:eastAsia="仿宋" w:cs="Times New Roman"/>
          <w:b/>
          <w:sz w:val="32"/>
          <w:szCs w:val="32"/>
          <w:lang w:val="en-US" w:eastAsia="zh-CN"/>
        </w:rPr>
      </w:pPr>
      <w:r>
        <w:rPr>
          <w:rFonts w:hint="eastAsia" w:ascii="仿宋" w:hAnsi="仿宋" w:eastAsia="仿宋" w:cs="Times New Roman"/>
          <w:b/>
          <w:sz w:val="32"/>
          <w:szCs w:val="32"/>
          <w:lang w:val="en-US" w:eastAsia="zh-CN"/>
        </w:rPr>
        <w:t xml:space="preserve">1.部门职责                                       </w:t>
      </w:r>
    </w:p>
    <w:p w14:paraId="05523695">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Times New Roman"/>
          <w:sz w:val="32"/>
          <w:szCs w:val="32"/>
          <w:lang w:val="en-US" w:eastAsia="zh-CN" w:bidi="ar-SA"/>
        </w:rPr>
      </w:pPr>
      <w:r>
        <w:t>（</w:t>
      </w:r>
      <w:r>
        <w:rPr>
          <w:rFonts w:hint="eastAsia" w:ascii="仿宋" w:hAnsi="仿宋" w:eastAsia="仿宋" w:cs="Times New Roman"/>
          <w:sz w:val="32"/>
          <w:szCs w:val="32"/>
          <w:lang w:val="en-US" w:eastAsia="zh-CN" w:bidi="ar-SA"/>
        </w:rPr>
        <w:t>一)深入贯彻习近平新时代中国特色社会主义思想，深入贯彻党的路线方针政策和决策部署，坚持党对法院工作的绝对领导，坚决维护习近平总书记的核心地位，坚决维护党中央权威和集中统一领导。</w:t>
      </w:r>
    </w:p>
    <w:p w14:paraId="3831E58E">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Times New Roman"/>
          <w:sz w:val="32"/>
          <w:szCs w:val="32"/>
          <w:lang w:val="en-US" w:eastAsia="zh-CN" w:bidi="ar-SA"/>
        </w:rPr>
      </w:pPr>
      <w:r>
        <w:rPr>
          <w:rFonts w:hint="eastAsia" w:ascii="仿宋" w:hAnsi="仿宋" w:eastAsia="仿宋" w:cs="Times New Roman"/>
          <w:sz w:val="32"/>
          <w:szCs w:val="32"/>
          <w:lang w:val="en-US" w:eastAsia="zh-CN" w:bidi="ar-SA"/>
        </w:rPr>
        <w:t>（二)依法审判法律规定由鹿泉区人民法院管辖的刑事、民事、行政等第一审案件。</w:t>
      </w:r>
    </w:p>
    <w:p w14:paraId="7D99A381">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Times New Roman"/>
          <w:sz w:val="32"/>
          <w:szCs w:val="32"/>
          <w:lang w:val="en-US" w:eastAsia="zh-CN" w:bidi="ar-SA"/>
        </w:rPr>
      </w:pPr>
      <w:r>
        <w:rPr>
          <w:rFonts w:hint="eastAsia" w:ascii="仿宋" w:hAnsi="仿宋" w:eastAsia="仿宋" w:cs="Times New Roman"/>
          <w:sz w:val="32"/>
          <w:szCs w:val="32"/>
          <w:lang w:val="en-US" w:eastAsia="zh-CN" w:bidi="ar-SA"/>
        </w:rPr>
        <w:t>（三）依法审判上级人民法院指定、同级人民法院移送的刑事、民事、行政等第一审案件。</w:t>
      </w:r>
    </w:p>
    <w:p w14:paraId="3120B711">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Times New Roman"/>
          <w:sz w:val="32"/>
          <w:szCs w:val="32"/>
          <w:lang w:val="en-US" w:eastAsia="zh-CN" w:bidi="ar-SA"/>
        </w:rPr>
      </w:pPr>
      <w:r>
        <w:rPr>
          <w:rFonts w:hint="eastAsia" w:ascii="仿宋" w:hAnsi="仿宋" w:eastAsia="仿宋" w:cs="Times New Roman"/>
          <w:sz w:val="32"/>
          <w:szCs w:val="32"/>
          <w:lang w:val="en-US" w:eastAsia="zh-CN" w:bidi="ar-SA"/>
        </w:rPr>
        <w:t>（四）审查和受理各类申诉案件，审判各类再审案件，处理来信来访。</w:t>
      </w:r>
    </w:p>
    <w:p w14:paraId="303DC3C9">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Times New Roman"/>
          <w:sz w:val="32"/>
          <w:szCs w:val="32"/>
          <w:lang w:val="en-US" w:eastAsia="zh-CN" w:bidi="ar-SA"/>
        </w:rPr>
      </w:pPr>
      <w:r>
        <w:rPr>
          <w:rFonts w:hint="eastAsia" w:ascii="仿宋" w:hAnsi="仿宋" w:eastAsia="仿宋" w:cs="Times New Roman"/>
          <w:sz w:val="32"/>
          <w:szCs w:val="32"/>
          <w:lang w:val="en-US" w:eastAsia="zh-CN" w:bidi="ar-SA"/>
        </w:rPr>
        <w:t>（五）依法办理发生法律效力的民事、行政案件判决和裁定执行事项及刑事案件判决和裁定中关于财产部分的执行事项；办理法律规定由基层人民法院执行的其他法律文书的执行事项。</w:t>
      </w:r>
    </w:p>
    <w:p w14:paraId="227F1E69">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Times New Roman"/>
          <w:sz w:val="32"/>
          <w:szCs w:val="32"/>
          <w:lang w:val="en-US" w:eastAsia="zh-CN" w:bidi="ar-SA"/>
        </w:rPr>
      </w:pPr>
      <w:r>
        <w:rPr>
          <w:rFonts w:hint="eastAsia" w:ascii="仿宋" w:hAnsi="仿宋" w:eastAsia="仿宋" w:cs="Times New Roman"/>
          <w:sz w:val="32"/>
          <w:szCs w:val="32"/>
          <w:lang w:val="en-US" w:eastAsia="zh-CN" w:bidi="ar-SA"/>
        </w:rPr>
        <w:t>（六）负责审判工作的调查研究，总结审判工作经验。</w:t>
      </w:r>
    </w:p>
    <w:p w14:paraId="2855EE27">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Times New Roman"/>
          <w:sz w:val="32"/>
          <w:szCs w:val="32"/>
          <w:lang w:val="en-US" w:eastAsia="zh-CN" w:bidi="ar-SA"/>
        </w:rPr>
      </w:pPr>
      <w:r>
        <w:rPr>
          <w:rFonts w:hint="eastAsia" w:ascii="仿宋" w:hAnsi="仿宋" w:eastAsia="仿宋" w:cs="Times New Roman"/>
          <w:sz w:val="32"/>
          <w:szCs w:val="32"/>
          <w:lang w:val="en-US" w:eastAsia="zh-CN" w:bidi="ar-SA"/>
        </w:rPr>
        <w:t>（七）负责干警思想政治教育和业务培训工作；按照权限管理法官和其他工作人员。</w:t>
      </w:r>
    </w:p>
    <w:p w14:paraId="28A30CCD">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Times New Roman"/>
          <w:sz w:val="32"/>
          <w:szCs w:val="32"/>
          <w:lang w:val="en-US" w:eastAsia="zh-CN" w:bidi="ar-SA"/>
        </w:rPr>
      </w:pPr>
      <w:r>
        <w:rPr>
          <w:rFonts w:hint="eastAsia" w:ascii="仿宋" w:hAnsi="仿宋" w:eastAsia="仿宋" w:cs="Times New Roman"/>
          <w:sz w:val="32"/>
          <w:szCs w:val="32"/>
          <w:lang w:val="en-US" w:eastAsia="zh-CN" w:bidi="ar-SA"/>
        </w:rPr>
        <w:t>（八）管理有关经费及物资装备。</w:t>
      </w:r>
    </w:p>
    <w:p w14:paraId="03D607C9">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Times New Roman"/>
          <w:sz w:val="32"/>
          <w:szCs w:val="32"/>
          <w:lang w:val="en-US" w:eastAsia="zh-CN" w:bidi="ar-SA"/>
        </w:rPr>
      </w:pPr>
      <w:r>
        <w:rPr>
          <w:rFonts w:hint="eastAsia" w:ascii="仿宋" w:hAnsi="仿宋" w:eastAsia="仿宋" w:cs="Times New Roman"/>
          <w:sz w:val="32"/>
          <w:szCs w:val="32"/>
          <w:lang w:val="en-US" w:eastAsia="zh-CN" w:bidi="ar-SA"/>
        </w:rPr>
        <w:t>（九）负责司法鉴定、通讯、计算机等技术管理工作。</w:t>
      </w:r>
    </w:p>
    <w:p w14:paraId="5475001B">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Times New Roman"/>
          <w:sz w:val="32"/>
          <w:szCs w:val="32"/>
          <w:lang w:val="en-US" w:eastAsia="zh-CN" w:bidi="ar-SA"/>
        </w:rPr>
      </w:pPr>
      <w:r>
        <w:rPr>
          <w:rFonts w:hint="eastAsia" w:ascii="仿宋" w:hAnsi="仿宋" w:eastAsia="仿宋" w:cs="Times New Roman"/>
          <w:sz w:val="32"/>
          <w:szCs w:val="32"/>
          <w:lang w:val="en-US" w:eastAsia="zh-CN" w:bidi="ar-SA"/>
        </w:rPr>
        <w:t>（十）负责审判工作中的法制宣传，教育公民忠于祖国，自觉遵守宪法、法律和社会公德。</w:t>
      </w:r>
    </w:p>
    <w:p w14:paraId="4163C7C8">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Times New Roman"/>
          <w:sz w:val="32"/>
          <w:szCs w:val="32"/>
          <w:lang w:val="en-US" w:eastAsia="zh-CN" w:bidi="ar-SA"/>
        </w:rPr>
      </w:pPr>
      <w:r>
        <w:rPr>
          <w:rFonts w:hint="eastAsia" w:ascii="仿宋" w:hAnsi="仿宋" w:eastAsia="仿宋" w:cs="Times New Roman"/>
          <w:sz w:val="32"/>
          <w:szCs w:val="32"/>
          <w:lang w:val="en-US" w:eastAsia="zh-CN" w:bidi="ar-SA"/>
        </w:rPr>
        <w:t>2、组织机构及人员情况</w:t>
      </w:r>
    </w:p>
    <w:p w14:paraId="2AD18F0D">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Times New Roman"/>
          <w:sz w:val="32"/>
          <w:szCs w:val="32"/>
          <w:lang w:val="en-US" w:eastAsia="zh-CN" w:bidi="ar-SA"/>
        </w:rPr>
      </w:pPr>
      <w:r>
        <w:rPr>
          <w:rFonts w:hint="eastAsia" w:ascii="仿宋" w:hAnsi="仿宋" w:eastAsia="仿宋" w:cs="Times New Roman"/>
          <w:sz w:val="32"/>
          <w:szCs w:val="32"/>
          <w:lang w:val="en-US" w:eastAsia="zh-CN" w:bidi="ar-SA"/>
        </w:rPr>
        <w:t>石家庄市鹿泉区人民法院是正处级单位</w:t>
      </w:r>
    </w:p>
    <w:p w14:paraId="3141EADE">
      <w:pPr>
        <w:pStyle w:val="6"/>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cs="Times New Roman"/>
          <w:sz w:val="32"/>
          <w:szCs w:val="32"/>
          <w:lang w:val="en-US" w:eastAsia="zh-CN" w:bidi="ar-SA"/>
        </w:rPr>
      </w:pPr>
      <w:r>
        <w:rPr>
          <w:rFonts w:hint="eastAsia" w:ascii="仿宋" w:hAnsi="仿宋" w:eastAsia="仿宋" w:cs="Times New Roman"/>
          <w:sz w:val="32"/>
          <w:szCs w:val="32"/>
          <w:lang w:val="en-US" w:eastAsia="zh-CN" w:bidi="ar-SA"/>
        </w:rPr>
        <w:t>人员情况。石家庄市鹿泉区人民法院编制84人，实有人数82人，退休人员45人，聘用制书记员32人，劳务派遣人员</w:t>
      </w:r>
      <w:r>
        <w:rPr>
          <w:rFonts w:hint="eastAsia" w:ascii="仿宋" w:hAnsi="仿宋" w:eastAsia="仿宋" w:cs="Times New Roman"/>
          <w:color w:val="000000" w:themeColor="text1"/>
          <w:sz w:val="32"/>
          <w:szCs w:val="32"/>
          <w:lang w:val="en-US" w:eastAsia="zh-CN" w:bidi="ar-SA"/>
          <w14:textFill>
            <w14:solidFill>
              <w14:schemeClr w14:val="tx1"/>
            </w14:solidFill>
          </w14:textFill>
        </w:rPr>
        <w:t>87</w:t>
      </w:r>
      <w:r>
        <w:rPr>
          <w:rFonts w:hint="eastAsia" w:ascii="仿宋" w:hAnsi="仿宋" w:eastAsia="仿宋" w:cs="Times New Roman"/>
          <w:sz w:val="32"/>
          <w:szCs w:val="32"/>
          <w:lang w:val="en-US" w:eastAsia="zh-CN" w:bidi="ar-SA"/>
        </w:rPr>
        <w:t>人。</w:t>
      </w:r>
    </w:p>
    <w:p w14:paraId="3263730D">
      <w:pPr>
        <w:pStyle w:val="6"/>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default" w:ascii="仿宋" w:hAnsi="仿宋" w:eastAsia="仿宋" w:cs="Times New Roman"/>
          <w:sz w:val="32"/>
          <w:szCs w:val="32"/>
          <w:lang w:val="en-US" w:eastAsia="zh-CN" w:bidi="ar-SA"/>
        </w:rPr>
      </w:pPr>
      <w:r>
        <w:rPr>
          <w:rFonts w:hint="eastAsia" w:ascii="仿宋" w:hAnsi="仿宋" w:eastAsia="仿宋" w:cs="Times New Roman"/>
          <w:sz w:val="32"/>
          <w:szCs w:val="32"/>
          <w:lang w:val="en-US" w:eastAsia="zh-CN" w:bidi="ar-SA"/>
        </w:rPr>
        <w:t>车辆情况。现有车辆14辆。</w:t>
      </w:r>
    </w:p>
    <w:p w14:paraId="350ADA68">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rPr>
        <w:t>（二）</w:t>
      </w:r>
      <w:r>
        <w:rPr>
          <w:rFonts w:hint="eastAsia" w:ascii="仿宋" w:hAnsi="仿宋" w:eastAsia="仿宋" w:cs="楷体_GB2312"/>
          <w:b/>
          <w:bCs/>
          <w:sz w:val="32"/>
          <w:szCs w:val="32"/>
          <w:lang w:eastAsia="zh-CN"/>
        </w:rPr>
        <w:t>部门收支预决算情况</w:t>
      </w:r>
    </w:p>
    <w:p w14:paraId="73C4481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 w:hAnsi="仿宋" w:eastAsia="仿宋_GB2312" w:cs="楷体_GB2312"/>
          <w:b/>
          <w:bCs/>
          <w:sz w:val="32"/>
          <w:szCs w:val="32"/>
          <w:lang w:val="en-US" w:eastAsia="zh-CN"/>
        </w:rPr>
      </w:pP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4</w:t>
      </w:r>
      <w:r>
        <w:rPr>
          <w:rFonts w:hint="eastAsia" w:ascii="仿宋_GB2312" w:hAnsi="Times New Roman" w:eastAsia="仿宋_GB2312" w:cs="仿宋_GB2312"/>
          <w:sz w:val="32"/>
          <w:szCs w:val="32"/>
        </w:rPr>
        <w:t>年度财政拨款</w:t>
      </w:r>
      <w:r>
        <w:rPr>
          <w:rFonts w:hint="eastAsia" w:ascii="仿宋_GB2312" w:hAnsi="Times New Roman" w:eastAsia="仿宋_GB2312" w:cs="仿宋_GB2312"/>
          <w:sz w:val="32"/>
          <w:szCs w:val="32"/>
          <w:lang w:val="en-US" w:eastAsia="zh-CN"/>
        </w:rPr>
        <w:t>收入3925.44</w:t>
      </w:r>
      <w:r>
        <w:rPr>
          <w:rFonts w:hint="eastAsia" w:ascii="仿宋_GB2312" w:hAnsi="Times New Roman" w:eastAsia="仿宋_GB2312" w:cs="仿宋_GB2312"/>
          <w:sz w:val="32"/>
          <w:szCs w:val="32"/>
        </w:rPr>
        <w:t>万元，其中</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人员经费</w:t>
      </w:r>
      <w:r>
        <w:rPr>
          <w:rFonts w:hint="eastAsia" w:ascii="仿宋_GB2312" w:hAnsi="Times New Roman" w:eastAsia="仿宋_GB2312" w:cs="仿宋_GB2312"/>
          <w:sz w:val="32"/>
          <w:szCs w:val="32"/>
          <w:lang w:val="en-US" w:eastAsia="zh-CN"/>
        </w:rPr>
        <w:t>1888.18</w:t>
      </w:r>
      <w:r>
        <w:rPr>
          <w:rFonts w:hint="eastAsia" w:ascii="仿宋_GB2312" w:hAnsi="Times New Roman" w:eastAsia="仿宋_GB2312" w:cs="仿宋_GB2312"/>
          <w:sz w:val="32"/>
          <w:szCs w:val="32"/>
        </w:rPr>
        <w:t>万元，主要包括基本工资、津贴补贴、奖金、机关事业</w:t>
      </w:r>
      <w:r>
        <w:rPr>
          <w:rFonts w:hint="eastAsia" w:ascii="仿宋_GB2312" w:hAnsi="Times New Roman" w:eastAsia="仿宋_GB2312" w:cs="仿宋_GB2312"/>
          <w:sz w:val="32"/>
          <w:szCs w:val="32"/>
          <w:lang w:eastAsia="zh-CN"/>
        </w:rPr>
        <w:t>部门</w:t>
      </w:r>
      <w:r>
        <w:rPr>
          <w:rFonts w:hint="eastAsia" w:ascii="仿宋_GB2312" w:hAnsi="Times New Roman" w:eastAsia="仿宋_GB2312" w:cs="仿宋_GB2312"/>
          <w:sz w:val="32"/>
          <w:szCs w:val="32"/>
        </w:rPr>
        <w:t>基本养老保险缴费、职工基本医疗保险缴费、公务员医疗补助缴费、住房公积金、其他社会保障缴费、离休费、退休费、生活补助支出。公用经费</w:t>
      </w:r>
      <w:r>
        <w:rPr>
          <w:rFonts w:hint="eastAsia" w:ascii="仿宋_GB2312" w:hAnsi="Times New Roman" w:eastAsia="仿宋_GB2312" w:cs="仿宋_GB2312"/>
          <w:sz w:val="32"/>
          <w:szCs w:val="32"/>
          <w:lang w:val="en-US" w:eastAsia="zh-CN"/>
        </w:rPr>
        <w:t>217.09</w:t>
      </w:r>
      <w:r>
        <w:rPr>
          <w:rFonts w:hint="eastAsia" w:ascii="仿宋_GB2312" w:hAnsi="Times New Roman" w:eastAsia="仿宋_GB2312" w:cs="仿宋_GB2312"/>
          <w:sz w:val="32"/>
          <w:szCs w:val="32"/>
        </w:rPr>
        <w:t>万元，主要包括办公费、印刷费、水费、邮电费、取暖费</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会议费、培训费、委托业务费、工会经费、福利费、公务用车运行维护费、其他交通费用、其他商品和服务支出。</w:t>
      </w:r>
      <w:r>
        <w:rPr>
          <w:rFonts w:hint="eastAsia" w:ascii="仿宋_GB2312" w:hAnsi="Times New Roman" w:eastAsia="仿宋_GB2312" w:cs="仿宋_GB2312"/>
          <w:sz w:val="32"/>
          <w:szCs w:val="32"/>
          <w:lang w:val="en-US" w:eastAsia="zh-CN"/>
        </w:rPr>
        <w:t>项目支出1820.16万元，包括法院业务费、安保费、案件送达费、法院建设补助资金等。决算支出数3925.44万元。</w:t>
      </w:r>
    </w:p>
    <w:p w14:paraId="661A4382">
      <w:pPr>
        <w:keepNext w:val="0"/>
        <w:keepLines w:val="0"/>
        <w:pageBreakBefore w:val="0"/>
        <w:widowControl w:val="0"/>
        <w:kinsoku/>
        <w:wordWrap/>
        <w:overflowPunct/>
        <w:topLinePunct w:val="0"/>
        <w:autoSpaceDE/>
        <w:autoSpaceDN/>
        <w:bidi w:val="0"/>
        <w:spacing w:before="0" w:after="0" w:line="560" w:lineRule="exact"/>
        <w:ind w:firstLine="640"/>
        <w:jc w:val="left"/>
        <w:textAlignment w:val="auto"/>
        <w:outlineLvl w:val="9"/>
      </w:pPr>
    </w:p>
    <w:p w14:paraId="3DE9CEE4">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部门整体支出绩效目标、指标</w:t>
      </w:r>
    </w:p>
    <w:p w14:paraId="179662C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rPr>
        <w:t>依法审判法律规定由</w:t>
      </w:r>
      <w:r>
        <w:rPr>
          <w:rFonts w:hint="eastAsia" w:ascii="仿宋_GB2312" w:hAnsi="Times New Roman" w:eastAsia="仿宋_GB2312" w:cs="仿宋_GB2312"/>
          <w:sz w:val="32"/>
          <w:szCs w:val="32"/>
          <w:lang w:eastAsia="zh-CN"/>
        </w:rPr>
        <w:t>鹿泉</w:t>
      </w:r>
      <w:r>
        <w:rPr>
          <w:rFonts w:hint="eastAsia" w:ascii="仿宋_GB2312" w:hAnsi="Times New Roman" w:eastAsia="仿宋_GB2312" w:cs="仿宋_GB2312"/>
          <w:sz w:val="32"/>
          <w:szCs w:val="32"/>
        </w:rPr>
        <w:t>区人民法院管辖的刑事、民事、行政等第一审案件。审判上级人民法院指定、同级人民法院移送的刑事、民事、行政等第一审案件。审查和受理各类申诉案件，审判各类再审案件，处理来信来访。坚持以人民为中心，不断满足新时代人民群众司法需求，坚定不移推进司法改革，使司法改革不断深入</w:t>
      </w:r>
      <w:r>
        <w:rPr>
          <w:rFonts w:hint="eastAsia" w:ascii="仿宋_GB2312" w:hAnsi="Times New Roman" w:eastAsia="仿宋_GB2312" w:cs="仿宋_GB2312"/>
          <w:sz w:val="32"/>
          <w:szCs w:val="32"/>
          <w:lang w:eastAsia="zh-CN"/>
        </w:rPr>
        <w:t>。</w:t>
      </w:r>
    </w:p>
    <w:p w14:paraId="4CB7D38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3F73852F">
      <w:pPr>
        <w:keepNext w:val="0"/>
        <w:keepLines w:val="0"/>
        <w:pageBreakBefore w:val="0"/>
        <w:widowControl w:val="0"/>
        <w:kinsoku/>
        <w:wordWrap/>
        <w:overflowPunct/>
        <w:topLinePunct w:val="0"/>
        <w:autoSpaceDE/>
        <w:autoSpaceDN/>
        <w:bidi w:val="0"/>
        <w:spacing w:line="560" w:lineRule="exact"/>
        <w:textAlignment w:val="auto"/>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04856C04">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val="en-US" w:eastAsia="zh-CN"/>
        </w:rPr>
        <w:t>按照石家庄市财政局《关于全面落实预算绩效管理的实施意见》（石发【2019】8号）文件要求，鹿泉法院结合自身实际，专门成立了绩效评价小组，对2024年市级预算项目进行了全面评价。</w:t>
      </w:r>
    </w:p>
    <w:p w14:paraId="655488AB">
      <w:pPr>
        <w:keepNext w:val="0"/>
        <w:keepLines w:val="0"/>
        <w:pageBreakBefore w:val="0"/>
        <w:widowControl w:val="0"/>
        <w:numPr>
          <w:ilvl w:val="0"/>
          <w:numId w:val="3"/>
        </w:numPr>
        <w:kinsoku/>
        <w:wordWrap/>
        <w:overflowPunct/>
        <w:topLinePunct w:val="0"/>
        <w:autoSpaceDE/>
        <w:autoSpaceDN/>
        <w:bidi w:val="0"/>
        <w:spacing w:line="560" w:lineRule="exact"/>
        <w:textAlignment w:val="auto"/>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592DE6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ascii="楷体" w:hAnsi="楷体" w:eastAsia="楷体" w:cs="楷体_GB2312"/>
          <w:bCs/>
          <w:sz w:val="32"/>
          <w:szCs w:val="32"/>
        </w:rPr>
      </w:pPr>
      <w:r>
        <w:rPr>
          <w:rFonts w:hint="eastAsia" w:ascii="仿宋" w:hAnsi="仿宋" w:eastAsia="仿宋" w:cs="仿宋"/>
          <w:sz w:val="32"/>
          <w:szCs w:val="32"/>
          <w:lang w:val="en-US" w:eastAsia="zh-CN"/>
        </w:rPr>
        <w:t>定期对绩效监控情况进行收集、汇总、整理、分析。在绩效监控过程中，对于项目进行较慢、出现绩效目标偏差、发现存在问题的及时进行整改，调整绩效目标，扎实推进绩效监控工作有序开展，提高财政资金使用效益。</w:t>
      </w:r>
    </w:p>
    <w:p w14:paraId="0A813A8D">
      <w:pPr>
        <w:keepNext w:val="0"/>
        <w:keepLines w:val="0"/>
        <w:pageBreakBefore w:val="0"/>
        <w:widowControl w:val="0"/>
        <w:kinsoku/>
        <w:wordWrap/>
        <w:overflowPunct/>
        <w:topLinePunct w:val="0"/>
        <w:autoSpaceDE/>
        <w:autoSpaceDN/>
        <w:bidi w:val="0"/>
        <w:spacing w:line="560" w:lineRule="exact"/>
        <w:textAlignment w:val="auto"/>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3097C6E">
      <w:pPr>
        <w:keepNext w:val="0"/>
        <w:keepLines w:val="0"/>
        <w:pageBreakBefore w:val="0"/>
        <w:widowControl w:val="0"/>
        <w:numPr>
          <w:ilvl w:val="0"/>
          <w:numId w:val="4"/>
        </w:numPr>
        <w:kinsoku/>
        <w:wordWrap/>
        <w:overflowPunct/>
        <w:topLinePunct w:val="0"/>
        <w:autoSpaceDE/>
        <w:autoSpaceDN/>
        <w:bidi w:val="0"/>
        <w:spacing w:line="560" w:lineRule="exact"/>
        <w:ind w:left="0" w:leftChars="0" w:right="0" w:firstLine="643" w:firstLineChars="200"/>
        <w:textAlignment w:val="auto"/>
        <w:outlineLvl w:val="9"/>
        <w:rPr>
          <w:rFonts w:hint="eastAsia" w:ascii="仿宋" w:hAnsi="仿宋" w:eastAsia="仿宋"/>
          <w:color w:val="auto"/>
          <w:sz w:val="32"/>
          <w:szCs w:val="32"/>
          <w:lang w:eastAsia="zh-CN"/>
        </w:rPr>
      </w:pPr>
      <w:r>
        <w:rPr>
          <w:rFonts w:hint="eastAsia" w:ascii="仿宋" w:hAnsi="仿宋" w:eastAsia="仿宋" w:cs="楷体_GB2312"/>
          <w:b/>
          <w:bCs/>
          <w:color w:val="auto"/>
          <w:sz w:val="32"/>
          <w:szCs w:val="32"/>
          <w:lang w:eastAsia="zh-CN"/>
        </w:rPr>
        <w:t>总体绩效目标实现情况</w:t>
      </w:r>
    </w:p>
    <w:p w14:paraId="61C13342">
      <w:pPr>
        <w:pStyle w:val="7"/>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2024年依法审判法律规定由鹿泉区人民法院管辖的刑事、民事、行政等第一审案件。审判上级人民法院指定、同级人民法院移送的刑事、民事、行政等第一审案件。审查和受理各类申诉案件，审判各类再审案件，处理来信来访。坚持以人民为中心，不断满足新时代人民群众司法需求，坚定不移推进司法改革，使司法改革不断深入；创新执行工作方式方法和机制，着力解决执行难题；提高执行专项行动精准性，利用现代网络、媒体等信息技术，精准出击“老赖”。</w:t>
      </w:r>
    </w:p>
    <w:p w14:paraId="213F7DB0">
      <w:pPr>
        <w:keepNext w:val="0"/>
        <w:keepLines w:val="0"/>
        <w:pageBreakBefore w:val="0"/>
        <w:widowControl w:val="0"/>
        <w:numPr>
          <w:ilvl w:val="0"/>
          <w:numId w:val="4"/>
        </w:numPr>
        <w:kinsoku/>
        <w:wordWrap/>
        <w:overflowPunct/>
        <w:topLinePunct w:val="0"/>
        <w:autoSpaceDE/>
        <w:autoSpaceDN/>
        <w:bidi w:val="0"/>
        <w:spacing w:line="560" w:lineRule="exact"/>
        <w:ind w:left="-13" w:leftChars="0" w:right="0" w:firstLine="643" w:firstLineChars="0"/>
        <w:textAlignment w:val="auto"/>
        <w:outlineLvl w:val="9"/>
        <w:rPr>
          <w:rFonts w:hint="eastAsia" w:ascii="仿宋_GB2312" w:hAnsi="Times New Roman" w:eastAsia="仿宋_GB2312" w:cs="仿宋_GB2312"/>
          <w:sz w:val="32"/>
          <w:szCs w:val="32"/>
          <w:lang w:eastAsia="zh-CN"/>
        </w:rPr>
      </w:pPr>
      <w:r>
        <w:rPr>
          <w:rFonts w:hint="eastAsia" w:ascii="仿宋" w:hAnsi="仿宋" w:eastAsia="仿宋" w:cs="楷体_GB2312"/>
          <w:b/>
          <w:bCs/>
          <w:color w:val="auto"/>
          <w:sz w:val="32"/>
          <w:szCs w:val="32"/>
          <w:lang w:eastAsia="zh-CN"/>
        </w:rPr>
        <w:t>分项绩效目标实现情况及指标分析</w:t>
      </w:r>
    </w:p>
    <w:p w14:paraId="5449AE6E">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1、法院业务费</w:t>
      </w:r>
    </w:p>
    <w:p w14:paraId="5B20014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 w:hAnsi="仿宋" w:eastAsia="仿宋" w:cs="仿宋"/>
          <w:sz w:val="32"/>
          <w:szCs w:val="32"/>
          <w:lang w:val="en-US" w:eastAsia="zh-CN" w:bidi="ar-SA"/>
        </w:rPr>
      </w:pPr>
      <w:r>
        <w:rPr>
          <w:rFonts w:hint="eastAsia" w:ascii="仿宋" w:hAnsi="仿宋" w:eastAsia="仿宋" w:cs="仿宋"/>
          <w:color w:val="auto"/>
          <w:sz w:val="32"/>
          <w:szCs w:val="32"/>
          <w:lang w:val="en-US" w:eastAsia="zh-CN"/>
        </w:rPr>
        <w:t>根据年初设定的绩效目标，保障办案业务费资金支出，持续做优刑事审判，做强民事审判，做实执行力度，做好公平、公正诉讼。</w:t>
      </w:r>
    </w:p>
    <w:p w14:paraId="1D96E561">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color w:val="000000" w:themeColor="text1"/>
          <w:sz w:val="32"/>
          <w:szCs w:val="32"/>
          <w:lang w:val="en-US" w:eastAsia="zh-CN" w:bidi="ar-SA"/>
          <w14:textFill>
            <w14:solidFill>
              <w14:schemeClr w14:val="tx1"/>
            </w14:solidFill>
          </w14:textFill>
        </w:rPr>
      </w:pPr>
      <w:r>
        <w:rPr>
          <w:rFonts w:hint="eastAsia" w:ascii="仿宋" w:hAnsi="仿宋" w:eastAsia="仿宋" w:cs="仿宋"/>
          <w:sz w:val="32"/>
          <w:szCs w:val="32"/>
          <w:lang w:val="en-US" w:eastAsia="zh-CN" w:bidi="ar-SA"/>
        </w:rPr>
        <w:t>2、提前下达2023年中央政法纪检监察转移支付资金</w:t>
      </w:r>
      <w:r>
        <w:rPr>
          <w:rFonts w:hint="eastAsia" w:ascii="仿宋" w:hAnsi="仿宋" w:eastAsia="仿宋" w:cs="仿宋"/>
          <w:color w:val="000000" w:themeColor="text1"/>
          <w:sz w:val="32"/>
          <w:szCs w:val="32"/>
          <w:lang w:val="en-US" w:eastAsia="zh-CN" w:bidi="ar-SA"/>
          <w14:textFill>
            <w14:solidFill>
              <w14:schemeClr w14:val="tx1"/>
            </w14:solidFill>
          </w14:textFill>
        </w:rPr>
        <w:t>（业务费）</w:t>
      </w:r>
    </w:p>
    <w:p w14:paraId="6E988DFE">
      <w:pPr>
        <w:keepNext w:val="0"/>
        <w:keepLines w:val="0"/>
        <w:pageBreakBefore w:val="0"/>
        <w:widowControl w:val="0"/>
        <w:kinsoku/>
        <w:wordWrap/>
        <w:overflowPunct/>
        <w:topLinePunct w:val="0"/>
        <w:autoSpaceDE/>
        <w:autoSpaceDN/>
        <w:bidi w:val="0"/>
        <w:spacing w:before="0" w:after="0" w:line="560" w:lineRule="exact"/>
        <w:ind w:firstLine="560"/>
        <w:jc w:val="left"/>
        <w:textAlignment w:val="auto"/>
        <w:outlineLvl w:val="9"/>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根据绩效目标积极运用中央转移支付资金，充分发挥司法行政职能优势，缓解办案和业务经费缺口，提高了办案效率，维持正常的办案需要。</w:t>
      </w:r>
    </w:p>
    <w:p w14:paraId="12D12780">
      <w:pPr>
        <w:keepNext w:val="0"/>
        <w:keepLines w:val="0"/>
        <w:pageBreakBefore w:val="0"/>
        <w:widowControl w:val="0"/>
        <w:numPr>
          <w:ilvl w:val="0"/>
          <w:numId w:val="5"/>
        </w:numPr>
        <w:kinsoku/>
        <w:wordWrap/>
        <w:overflowPunct/>
        <w:topLinePunct w:val="0"/>
        <w:autoSpaceDE/>
        <w:autoSpaceDN/>
        <w:bidi w:val="0"/>
        <w:spacing w:before="0" w:after="0" w:line="560" w:lineRule="exact"/>
        <w:ind w:firstLine="560"/>
        <w:jc w:val="left"/>
        <w:textAlignment w:val="auto"/>
        <w:outlineLvl w:val="9"/>
        <w:rPr>
          <w:rFonts w:hint="eastAsia" w:ascii="仿宋" w:hAnsi="仿宋" w:eastAsia="仿宋" w:cs="仿宋"/>
          <w:color w:val="000000" w:themeColor="text1"/>
          <w:sz w:val="32"/>
          <w:szCs w:val="32"/>
          <w:lang w:val="en-US" w:eastAsia="zh-CN" w:bidi="ar-SA"/>
          <w14:textFill>
            <w14:solidFill>
              <w14:schemeClr w14:val="tx1"/>
            </w14:solidFill>
          </w14:textFill>
        </w:rPr>
      </w:pPr>
      <w:r>
        <w:rPr>
          <w:rFonts w:hint="eastAsia" w:ascii="仿宋" w:hAnsi="仿宋" w:eastAsia="仿宋" w:cs="仿宋"/>
          <w:sz w:val="32"/>
          <w:szCs w:val="32"/>
          <w:lang w:val="en-US" w:eastAsia="zh-CN" w:bidi="ar-SA"/>
        </w:rPr>
        <w:t>提前下达2023年省级基层公检法司转移支付资金</w:t>
      </w:r>
      <w:r>
        <w:rPr>
          <w:rFonts w:hint="eastAsia" w:ascii="仿宋" w:hAnsi="仿宋" w:eastAsia="仿宋" w:cs="仿宋"/>
          <w:color w:val="000000" w:themeColor="text1"/>
          <w:sz w:val="32"/>
          <w:szCs w:val="32"/>
          <w:lang w:val="en-US" w:eastAsia="zh-CN" w:bidi="ar-SA"/>
          <w14:textFill>
            <w14:solidFill>
              <w14:schemeClr w14:val="tx1"/>
            </w14:solidFill>
          </w14:textFill>
        </w:rPr>
        <w:t>（业务费）</w:t>
      </w:r>
    </w:p>
    <w:p w14:paraId="2129E92D">
      <w:pPr>
        <w:keepNext w:val="0"/>
        <w:keepLines w:val="0"/>
        <w:pageBreakBefore w:val="0"/>
        <w:widowControl w:val="0"/>
        <w:numPr>
          <w:ilvl w:val="0"/>
          <w:numId w:val="0"/>
        </w:numPr>
        <w:kinsoku/>
        <w:wordWrap/>
        <w:overflowPunct/>
        <w:topLinePunct w:val="0"/>
        <w:autoSpaceDE/>
        <w:autoSpaceDN/>
        <w:bidi w:val="0"/>
        <w:spacing w:before="0" w:after="0" w:line="560" w:lineRule="exact"/>
        <w:ind w:firstLine="640" w:firstLineChars="200"/>
        <w:jc w:val="left"/>
        <w:textAlignment w:val="auto"/>
        <w:outlineLvl w:val="9"/>
        <w:rPr>
          <w:rFonts w:hint="default" w:ascii="仿宋" w:hAnsi="仿宋" w:eastAsia="仿宋" w:cs="仿宋"/>
          <w:sz w:val="32"/>
          <w:szCs w:val="32"/>
          <w:lang w:val="en-US" w:eastAsia="zh-CN" w:bidi="ar-SA"/>
        </w:rPr>
      </w:pPr>
      <w:r>
        <w:rPr>
          <w:rFonts w:hint="eastAsia" w:ascii="仿宋" w:hAnsi="仿宋" w:eastAsia="仿宋" w:cs="仿宋"/>
          <w:sz w:val="32"/>
          <w:szCs w:val="32"/>
          <w:lang w:val="en-US" w:eastAsia="zh-CN" w:bidi="ar-SA"/>
        </w:rPr>
        <w:t>根据绩效目标积极运用省级基层公检法司转移支付资金，充分发挥司法行政职能优势，缓解办案和业务经费缺口，提高了办案效率，维持正常的办案需要。</w:t>
      </w:r>
    </w:p>
    <w:p w14:paraId="12E3928A">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14:paraId="3E725514">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根据部门职责定位和各项工作履职情况进行综合评价，</w:t>
      </w:r>
      <w:r>
        <w:rPr>
          <w:rFonts w:hint="eastAsia" w:ascii="仿宋" w:hAnsi="仿宋" w:eastAsia="仿宋"/>
          <w:sz w:val="32"/>
          <w:szCs w:val="32"/>
          <w:lang w:val="en-US" w:eastAsia="zh-CN"/>
        </w:rPr>
        <w:t>综合得分96</w:t>
      </w:r>
      <w:r>
        <w:rPr>
          <w:rFonts w:hint="eastAsia" w:ascii="仿宋" w:hAnsi="仿宋" w:eastAsia="仿宋"/>
          <w:sz w:val="32"/>
          <w:szCs w:val="32"/>
        </w:rPr>
        <w:t>分，综合绩效评价等级</w:t>
      </w:r>
      <w:r>
        <w:rPr>
          <w:rFonts w:hint="eastAsia" w:ascii="仿宋" w:hAnsi="仿宋" w:eastAsia="仿宋"/>
          <w:sz w:val="32"/>
          <w:szCs w:val="32"/>
          <w:lang w:val="en-US" w:eastAsia="zh-CN"/>
        </w:rPr>
        <w:t>为优秀</w:t>
      </w:r>
      <w:r>
        <w:rPr>
          <w:rFonts w:hint="eastAsia" w:ascii="仿宋" w:hAnsi="仿宋" w:eastAsia="仿宋"/>
          <w:sz w:val="32"/>
          <w:szCs w:val="32"/>
        </w:rPr>
        <w:t>。</w:t>
      </w:r>
    </w:p>
    <w:p w14:paraId="5A26B8A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14:paraId="7FC8CE7B">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 w:hAnsi="楷体" w:eastAsia="楷体"/>
          <w:bCs/>
          <w:sz w:val="32"/>
          <w:szCs w:val="32"/>
        </w:rPr>
      </w:pPr>
      <w:r>
        <w:rPr>
          <w:rFonts w:hint="eastAsia" w:ascii="楷体" w:hAnsi="楷体" w:eastAsia="楷体"/>
          <w:bCs/>
          <w:sz w:val="32"/>
          <w:szCs w:val="32"/>
        </w:rPr>
        <w:t>（一）存在的主要问题</w:t>
      </w:r>
    </w:p>
    <w:p w14:paraId="6CD5A3B8">
      <w:pPr>
        <w:keepNext w:val="0"/>
        <w:keepLines w:val="0"/>
        <w:pageBreakBefore w:val="0"/>
        <w:widowControl w:val="0"/>
        <w:kinsoku/>
        <w:wordWrap/>
        <w:overflowPunct/>
        <w:topLinePunct w:val="0"/>
        <w:autoSpaceDE/>
        <w:autoSpaceDN/>
        <w:bidi w:val="0"/>
        <w:spacing w:before="0" w:after="0" w:line="560" w:lineRule="exact"/>
        <w:ind w:firstLine="560"/>
        <w:jc w:val="left"/>
        <w:textAlignment w:val="auto"/>
        <w:outlineLvl w:val="9"/>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1、绩效目标设定工作有待提升。因事前绩效评估不足，项目数据库数据不够全面，完整，导致部分项目绩效目标设置不够简明扼要，清晰直观，不便于理解和衡量。部分项目预算数量关键点不突出，数量不够精准。</w:t>
      </w:r>
    </w:p>
    <w:p w14:paraId="4E8D1733">
      <w:pPr>
        <w:keepNext w:val="0"/>
        <w:keepLines w:val="0"/>
        <w:pageBreakBefore w:val="0"/>
        <w:widowControl w:val="0"/>
        <w:kinsoku/>
        <w:wordWrap/>
        <w:overflowPunct/>
        <w:topLinePunct w:val="0"/>
        <w:autoSpaceDE/>
        <w:autoSpaceDN/>
        <w:bidi w:val="0"/>
        <w:spacing w:before="0" w:after="0" w:line="560" w:lineRule="exact"/>
        <w:ind w:firstLine="560"/>
        <w:jc w:val="left"/>
        <w:textAlignment w:val="auto"/>
        <w:outlineLvl w:val="9"/>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2、</w:t>
      </w:r>
      <w:r>
        <w:rPr>
          <w:rFonts w:hint="eastAsia" w:ascii="仿宋" w:hAnsi="仿宋" w:eastAsia="仿宋" w:cs="仿宋"/>
          <w:color w:val="000000" w:themeColor="text1"/>
          <w:sz w:val="32"/>
          <w:szCs w:val="32"/>
          <w:lang w:val="en-US" w:eastAsia="zh-CN" w:bidi="ar-SA"/>
          <w14:textFill>
            <w14:solidFill>
              <w14:schemeClr w14:val="tx1"/>
            </w14:solidFill>
          </w14:textFill>
        </w:rPr>
        <w:t>绩效工作</w:t>
      </w:r>
      <w:r>
        <w:rPr>
          <w:rFonts w:hint="eastAsia" w:ascii="仿宋" w:hAnsi="仿宋" w:eastAsia="仿宋" w:cs="仿宋"/>
          <w:sz w:val="32"/>
          <w:szCs w:val="32"/>
          <w:lang w:val="en-US" w:eastAsia="zh-CN" w:bidi="ar-SA"/>
        </w:rPr>
        <w:t>管理有待加强。绩效工作管理还存在一定的薄弱环节，绩效管理相关制度不够健全，个别庭科室绩效理念尚未全面树立、绩效管理职责不明确，绩效指标激励约束作用不强，存在重投入轻管理、重支出轻绩效的问题，绩效工作管理的广度和深度不足。</w:t>
      </w:r>
    </w:p>
    <w:p w14:paraId="351AFF15">
      <w:pPr>
        <w:keepNext w:val="0"/>
        <w:keepLines w:val="0"/>
        <w:pageBreakBefore w:val="0"/>
        <w:widowControl w:val="0"/>
        <w:kinsoku/>
        <w:wordWrap/>
        <w:overflowPunct/>
        <w:topLinePunct w:val="0"/>
        <w:autoSpaceDE/>
        <w:autoSpaceDN/>
        <w:bidi w:val="0"/>
        <w:spacing w:before="0" w:after="0" w:line="560" w:lineRule="exact"/>
        <w:ind w:firstLine="560"/>
        <w:jc w:val="left"/>
        <w:textAlignment w:val="auto"/>
        <w:outlineLvl w:val="9"/>
        <w:rPr>
          <w:rFonts w:hint="default" w:ascii="仿宋" w:hAnsi="仿宋" w:eastAsia="仿宋" w:cs="仿宋"/>
          <w:sz w:val="32"/>
          <w:szCs w:val="32"/>
          <w:lang w:val="en-US" w:eastAsia="zh-CN" w:bidi="ar-SA"/>
        </w:rPr>
      </w:pPr>
      <w:r>
        <w:rPr>
          <w:rFonts w:hint="eastAsia" w:ascii="仿宋" w:hAnsi="仿宋" w:eastAsia="仿宋" w:cs="仿宋"/>
          <w:sz w:val="32"/>
          <w:szCs w:val="32"/>
          <w:lang w:val="en-US" w:eastAsia="zh-CN" w:bidi="ar-SA"/>
        </w:rPr>
        <w:t>3、部分庭科室未能有效协同推进实施绩效管理，未做好预算项目的树立和总结工作，不能全面掌握绩效目标、指标的实际完成情况以及预算资金执行情况。部分较复杂的综合性预算项目，所设指标涉及多个庭、科室，部分庭科室志健未能协同推进实施绩效管理，不能综合地反映预算项目的产出和效果。</w:t>
      </w:r>
    </w:p>
    <w:p w14:paraId="5F935E72">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51375018">
      <w:pPr>
        <w:keepNext w:val="0"/>
        <w:keepLines w:val="0"/>
        <w:pageBreakBefore w:val="0"/>
        <w:widowControl w:val="0"/>
        <w:kinsoku/>
        <w:wordWrap/>
        <w:overflowPunct/>
        <w:topLinePunct w:val="0"/>
        <w:autoSpaceDE/>
        <w:autoSpaceDN/>
        <w:bidi w:val="0"/>
        <w:spacing w:before="0" w:after="0" w:line="560" w:lineRule="exact"/>
        <w:ind w:firstLine="560"/>
        <w:jc w:val="left"/>
        <w:textAlignment w:val="auto"/>
        <w:outlineLvl w:val="9"/>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1、科学规范的设定绩效目标，提升绩效目标的质量。使绩效目标清晰的反映预算资金的预期产出和效果，并以精准的指向性绩效指标予以细化。能量化的绩效指标尽可能的量化，既要符合法院工作的特点和实际情况，又要实事求是，客观公正。</w:t>
      </w:r>
    </w:p>
    <w:p w14:paraId="08CBBC01">
      <w:pPr>
        <w:keepNext w:val="0"/>
        <w:keepLines w:val="0"/>
        <w:pageBreakBefore w:val="0"/>
        <w:widowControl w:val="0"/>
        <w:kinsoku/>
        <w:wordWrap/>
        <w:overflowPunct/>
        <w:topLinePunct w:val="0"/>
        <w:autoSpaceDE/>
        <w:autoSpaceDN/>
        <w:bidi w:val="0"/>
        <w:spacing w:before="0" w:after="0" w:line="560" w:lineRule="exact"/>
        <w:ind w:firstLine="560"/>
        <w:jc w:val="left"/>
        <w:textAlignment w:val="auto"/>
        <w:outlineLvl w:val="9"/>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2、建立健全相关绩效管理制度，强化预算绩效约束。</w:t>
      </w:r>
    </w:p>
    <w:p w14:paraId="7FE032AF">
      <w:pPr>
        <w:keepNext w:val="0"/>
        <w:keepLines w:val="0"/>
        <w:pageBreakBefore w:val="0"/>
        <w:widowControl w:val="0"/>
        <w:kinsoku/>
        <w:wordWrap/>
        <w:overflowPunct/>
        <w:topLinePunct w:val="0"/>
        <w:autoSpaceDE/>
        <w:autoSpaceDN/>
        <w:bidi w:val="0"/>
        <w:spacing w:before="0" w:after="0" w:line="560" w:lineRule="exact"/>
        <w:ind w:firstLine="560"/>
        <w:jc w:val="left"/>
        <w:textAlignment w:val="auto"/>
        <w:outlineLvl w:val="9"/>
        <w:rPr>
          <w:rFonts w:hint="default" w:ascii="仿宋" w:hAnsi="仿宋" w:eastAsia="仿宋" w:cs="仿宋"/>
          <w:sz w:val="32"/>
          <w:szCs w:val="32"/>
          <w:lang w:val="en-US" w:eastAsia="zh-CN" w:bidi="ar-SA"/>
        </w:rPr>
      </w:pPr>
      <w:r>
        <w:rPr>
          <w:rFonts w:hint="eastAsia" w:ascii="仿宋" w:hAnsi="仿宋" w:eastAsia="仿宋" w:cs="仿宋"/>
          <w:sz w:val="32"/>
          <w:szCs w:val="32"/>
          <w:lang w:val="en-US" w:eastAsia="zh-CN" w:bidi="ar-SA"/>
        </w:rPr>
        <w:t>坚持权责对等、约束有力，明确各责任庭科室的预算绩效申报和管理责任，做到“谁支出，谁自评”“花钱必问效，无效必问责”。建立健全激励约束机制，实现绩效评价结果与预算安排相挂钩。增强预算统筹能力，优化预算管理流程，调动各庭科室的积极性、主动性。</w:t>
      </w:r>
    </w:p>
    <w:p w14:paraId="40A279D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7153628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李  辉  常务副院长</w:t>
      </w:r>
    </w:p>
    <w:p w14:paraId="165B7BC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孙青旺  副院长</w:t>
      </w:r>
    </w:p>
    <w:p w14:paraId="1F8964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姬文鹏  审判专职委员</w:t>
      </w:r>
    </w:p>
    <w:p w14:paraId="4BDAB36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刘  超  综合办公室主任</w:t>
      </w:r>
    </w:p>
    <w:p w14:paraId="6CA176A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石玉娇  综合办公室会计</w:t>
      </w:r>
    </w:p>
    <w:p w14:paraId="126DCD7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岳  越  综合办公室出纳</w:t>
      </w:r>
    </w:p>
    <w:p w14:paraId="64F93BC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p>
    <w:p w14:paraId="2E8DEB8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p>
    <w:p w14:paraId="3E7C5237">
      <w:pPr>
        <w:keepNext w:val="0"/>
        <w:keepLines w:val="0"/>
        <w:pageBreakBefore w:val="0"/>
        <w:widowControl w:val="0"/>
        <w:kinsoku/>
        <w:wordWrap/>
        <w:overflowPunct/>
        <w:topLinePunct w:val="0"/>
        <w:autoSpaceDE/>
        <w:autoSpaceDN/>
        <w:bidi w:val="0"/>
        <w:spacing w:before="0" w:after="0" w:line="560" w:lineRule="exact"/>
        <w:ind w:firstLine="560"/>
        <w:jc w:val="left"/>
        <w:textAlignment w:val="auto"/>
        <w:outlineLvl w:val="9"/>
        <w:rPr>
          <w:rFonts w:hint="eastAsia" w:ascii="仿宋" w:hAnsi="仿宋" w:eastAsia="仿宋" w:cs="仿宋"/>
          <w:sz w:val="32"/>
          <w:szCs w:val="32"/>
          <w:lang w:val="en-US" w:eastAsia="zh-CN" w:bidi="ar-SA"/>
        </w:rPr>
      </w:pPr>
    </w:p>
    <w:p w14:paraId="549AF710">
      <w:pPr>
        <w:keepNext w:val="0"/>
        <w:keepLines w:val="0"/>
        <w:pageBreakBefore w:val="0"/>
        <w:widowControl w:val="0"/>
        <w:kinsoku/>
        <w:wordWrap/>
        <w:overflowPunct/>
        <w:topLinePunct w:val="0"/>
        <w:autoSpaceDE/>
        <w:autoSpaceDN/>
        <w:bidi w:val="0"/>
        <w:spacing w:before="0" w:after="0" w:line="560" w:lineRule="exact"/>
        <w:ind w:firstLine="560"/>
        <w:jc w:val="right"/>
        <w:textAlignment w:val="auto"/>
        <w:outlineLvl w:val="9"/>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石家庄市鹿泉区人民法院</w:t>
      </w:r>
    </w:p>
    <w:p w14:paraId="6ECB728F">
      <w:pPr>
        <w:keepNext w:val="0"/>
        <w:keepLines w:val="0"/>
        <w:pageBreakBefore w:val="0"/>
        <w:widowControl w:val="0"/>
        <w:kinsoku/>
        <w:wordWrap/>
        <w:overflowPunct/>
        <w:topLinePunct w:val="0"/>
        <w:autoSpaceDE/>
        <w:autoSpaceDN/>
        <w:bidi w:val="0"/>
        <w:spacing w:before="0" w:after="0" w:line="560" w:lineRule="exact"/>
        <w:ind w:firstLine="560"/>
        <w:jc w:val="center"/>
        <w:textAlignment w:val="auto"/>
        <w:outlineLvl w:val="9"/>
        <w:rPr>
          <w:rFonts w:hint="default" w:ascii="仿宋" w:hAnsi="仿宋" w:eastAsia="仿宋" w:cs="仿宋"/>
          <w:sz w:val="32"/>
          <w:szCs w:val="32"/>
          <w:lang w:val="en-US" w:eastAsia="zh-CN" w:bidi="ar-SA"/>
        </w:rPr>
      </w:pPr>
      <w:r>
        <w:rPr>
          <w:rFonts w:hint="eastAsia" w:ascii="仿宋" w:hAnsi="仿宋" w:eastAsia="仿宋" w:cs="仿宋"/>
          <w:sz w:val="32"/>
          <w:szCs w:val="32"/>
          <w:lang w:val="en-US" w:eastAsia="zh-CN" w:bidi="ar-SA"/>
        </w:rPr>
        <w:t xml:space="preserve">                                  2025年4月9</w:t>
      </w:r>
      <w:bookmarkStart w:id="0" w:name="_GoBack"/>
      <w:bookmarkEnd w:id="0"/>
      <w:r>
        <w:rPr>
          <w:rFonts w:hint="eastAsia" w:ascii="仿宋" w:hAnsi="仿宋" w:eastAsia="仿宋" w:cs="仿宋"/>
          <w:sz w:val="32"/>
          <w:szCs w:val="32"/>
          <w:lang w:val="en-US" w:eastAsia="zh-CN" w:bidi="ar-SA"/>
        </w:rPr>
        <w:t>日</w:t>
      </w:r>
    </w:p>
    <w:p w14:paraId="7D6A457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6EF596">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AF705E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AF705E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A7C3C3"/>
    <w:multiLevelType w:val="singleLevel"/>
    <w:tmpl w:val="88A7C3C3"/>
    <w:lvl w:ilvl="0" w:tentative="0">
      <w:start w:val="3"/>
      <w:numFmt w:val="chineseCounting"/>
      <w:suff w:val="nothing"/>
      <w:lvlText w:val="（%1）"/>
      <w:lvlJc w:val="left"/>
      <w:rPr>
        <w:rFonts w:hint="eastAsia"/>
      </w:rPr>
    </w:lvl>
  </w:abstractNum>
  <w:abstractNum w:abstractNumId="1">
    <w:nsid w:val="BEE69B10"/>
    <w:multiLevelType w:val="singleLevel"/>
    <w:tmpl w:val="BEE69B10"/>
    <w:lvl w:ilvl="0" w:tentative="0">
      <w:start w:val="3"/>
      <w:numFmt w:val="decimal"/>
      <w:suff w:val="nothing"/>
      <w:lvlText w:val="%1、"/>
      <w:lvlJc w:val="left"/>
    </w:lvl>
  </w:abstractNum>
  <w:abstractNum w:abstractNumId="2">
    <w:nsid w:val="F1159A63"/>
    <w:multiLevelType w:val="singleLevel"/>
    <w:tmpl w:val="F1159A63"/>
    <w:lvl w:ilvl="0" w:tentative="0">
      <w:start w:val="1"/>
      <w:numFmt w:val="decimal"/>
      <w:suff w:val="nothing"/>
      <w:lvlText w:val="（%1）"/>
      <w:lvlJc w:val="left"/>
    </w:lvl>
  </w:abstractNum>
  <w:abstractNum w:abstractNumId="3">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4">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2"/>
  </w:num>
  <w:num w:numId="2">
    <w:abstractNumId w:val="0"/>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VjYmM0OTMwMTQyNzk0ODk0NTI4ZjVhYjFmMmQ0YjcifQ=="/>
  </w:docVars>
  <w:rsids>
    <w:rsidRoot w:val="0EBD2122"/>
    <w:rsid w:val="00052199"/>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9B646DB"/>
    <w:rsid w:val="0BB63BED"/>
    <w:rsid w:val="0EB97A43"/>
    <w:rsid w:val="0EBD2122"/>
    <w:rsid w:val="0F214EAE"/>
    <w:rsid w:val="11B71E6A"/>
    <w:rsid w:val="17DB20C9"/>
    <w:rsid w:val="1AAF0063"/>
    <w:rsid w:val="1BE140DE"/>
    <w:rsid w:val="1C184BBF"/>
    <w:rsid w:val="20C74807"/>
    <w:rsid w:val="248C197D"/>
    <w:rsid w:val="252959AF"/>
    <w:rsid w:val="277A6671"/>
    <w:rsid w:val="292D35B7"/>
    <w:rsid w:val="32F57524"/>
    <w:rsid w:val="33EB6CFF"/>
    <w:rsid w:val="34D87ADB"/>
    <w:rsid w:val="350C0402"/>
    <w:rsid w:val="35A12947"/>
    <w:rsid w:val="37387040"/>
    <w:rsid w:val="3B625C0A"/>
    <w:rsid w:val="3CEE1963"/>
    <w:rsid w:val="417F24F0"/>
    <w:rsid w:val="436B78D3"/>
    <w:rsid w:val="4C9C27FE"/>
    <w:rsid w:val="512260B4"/>
    <w:rsid w:val="52BD6ACB"/>
    <w:rsid w:val="55537534"/>
    <w:rsid w:val="561A74F1"/>
    <w:rsid w:val="597244E8"/>
    <w:rsid w:val="5EB71C30"/>
    <w:rsid w:val="665F0EEB"/>
    <w:rsid w:val="66AF0CE5"/>
    <w:rsid w:val="6AC537CF"/>
    <w:rsid w:val="6E5B14A6"/>
    <w:rsid w:val="6F747386"/>
    <w:rsid w:val="711B255E"/>
    <w:rsid w:val="7AC65F62"/>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2560</Words>
  <Characters>2628</Characters>
  <Lines>4</Lines>
  <Paragraphs>1</Paragraphs>
  <TotalTime>101</TotalTime>
  <ScaleCrop>false</ScaleCrop>
  <LinksUpToDate>false</LinksUpToDate>
  <CharactersWithSpaces>2732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转身的松树</cp:lastModifiedBy>
  <cp:lastPrinted>2024-03-06T07:40:00Z</cp:lastPrinted>
  <dcterms:modified xsi:type="dcterms:W3CDTF">2025-05-09T01:03:23Z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0172333248B14540A5AAEA0D71BDF3E7</vt:lpwstr>
  </property>
  <property fmtid="{D5CDD505-2E9C-101B-9397-08002B2CF9AE}" pid="4" name="KSOTemplateDocerSaveRecord">
    <vt:lpwstr>eyJoZGlkIjoiZmQzNjYxYzAyMTQ1YjRkNjg3NWIwMDhiMmE2YTJhNmYiLCJ1c2VySWQiOiIxMDMxOTAxOTczIn0=</vt:lpwstr>
  </property>
</Properties>
</file>