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AD1A8C">
      <w:pPr>
        <w:adjustRightInd w:val="0"/>
        <w:snapToGrid w:val="0"/>
        <w:spacing w:line="560" w:lineRule="exact"/>
        <w:rPr>
          <w:rFonts w:ascii="仿宋_GB2312" w:eastAsia="仿宋_GB2312"/>
          <w:sz w:val="32"/>
          <w:szCs w:val="32"/>
        </w:rPr>
      </w:pPr>
      <w:r>
        <w:rPr>
          <w:rFonts w:hint="eastAsia" w:ascii="仿宋_GB2312" w:eastAsia="仿宋_GB2312"/>
          <w:sz w:val="32"/>
          <w:szCs w:val="32"/>
        </w:rPr>
        <w:t>附件4</w:t>
      </w:r>
    </w:p>
    <w:p w14:paraId="520B6EBC">
      <w:pPr>
        <w:spacing w:line="560" w:lineRule="exact"/>
        <w:jc w:val="center"/>
        <w:rPr>
          <w:rFonts w:ascii="宋体" w:hAnsi="宋体" w:cs="宋体"/>
          <w:b/>
          <w:bCs/>
          <w:sz w:val="44"/>
          <w:szCs w:val="44"/>
        </w:rPr>
      </w:pPr>
    </w:p>
    <w:p w14:paraId="3F4ACC91">
      <w:pPr>
        <w:keepNext w:val="0"/>
        <w:keepLines w:val="0"/>
        <w:pageBreakBefore w:val="0"/>
        <w:widowControl w:val="0"/>
        <w:kinsoku/>
        <w:wordWrap/>
        <w:overflowPunct/>
        <w:topLinePunct w:val="0"/>
        <w:autoSpaceDE/>
        <w:autoSpaceDN/>
        <w:bidi w:val="0"/>
        <w:spacing w:line="570" w:lineRule="exact"/>
        <w:ind w:left="0" w:firstLine="883" w:firstLineChars="200"/>
        <w:jc w:val="center"/>
        <w:textAlignment w:val="auto"/>
        <w:rPr>
          <w:rFonts w:ascii="宋体" w:hAnsi="宋体" w:cs="宋体"/>
          <w:b/>
          <w:bCs/>
          <w:sz w:val="44"/>
          <w:szCs w:val="44"/>
        </w:rPr>
      </w:pPr>
      <w:r>
        <w:rPr>
          <w:rFonts w:hint="eastAsia" w:ascii="宋体" w:hAnsi="宋体" w:cs="宋体"/>
          <w:b/>
          <w:bCs/>
          <w:sz w:val="44"/>
          <w:szCs w:val="44"/>
        </w:rPr>
        <w:t>赞皇县人民检察院部门</w:t>
      </w:r>
    </w:p>
    <w:p w14:paraId="66CC345E">
      <w:pPr>
        <w:keepNext w:val="0"/>
        <w:keepLines w:val="0"/>
        <w:pageBreakBefore w:val="0"/>
        <w:widowControl w:val="0"/>
        <w:kinsoku/>
        <w:wordWrap/>
        <w:overflowPunct/>
        <w:topLinePunct w:val="0"/>
        <w:autoSpaceDE/>
        <w:autoSpaceDN/>
        <w:bidi w:val="0"/>
        <w:spacing w:line="570" w:lineRule="exact"/>
        <w:ind w:left="0" w:firstLine="883" w:firstLineChars="200"/>
        <w:jc w:val="center"/>
        <w:textAlignment w:val="auto"/>
        <w:rPr>
          <w:rFonts w:ascii="宋体" w:hAnsi="宋体" w:cs="宋体"/>
          <w:sz w:val="32"/>
          <w:szCs w:val="32"/>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44B652AA">
      <w:pPr>
        <w:keepNext w:val="0"/>
        <w:keepLines w:val="0"/>
        <w:pageBreakBefore w:val="0"/>
        <w:widowControl w:val="0"/>
        <w:kinsoku/>
        <w:wordWrap/>
        <w:overflowPunct/>
        <w:topLinePunct w:val="0"/>
        <w:autoSpaceDE/>
        <w:autoSpaceDN/>
        <w:bidi w:val="0"/>
        <w:spacing w:line="570" w:lineRule="exact"/>
        <w:ind w:left="0" w:firstLine="640" w:firstLineChars="200"/>
        <w:jc w:val="center"/>
        <w:textAlignment w:val="auto"/>
        <w:rPr>
          <w:rFonts w:ascii="华文楷体" w:eastAsia="华文楷体"/>
          <w:sz w:val="32"/>
          <w:szCs w:val="32"/>
        </w:rPr>
      </w:pPr>
    </w:p>
    <w:p w14:paraId="787433E2">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贯彻落实市委市政府《关于全面落实预算绩效管理的实施意见》（石发﹝2019﹞8号）文件精神，遵循“科学性、规范性、客观性和公正性”的原则，对我院</w:t>
      </w:r>
      <w:r>
        <w:rPr>
          <w:rFonts w:hint="eastAsia" w:ascii="仿宋" w:hAnsi="仿宋" w:eastAsia="仿宋"/>
          <w:sz w:val="32"/>
          <w:szCs w:val="32"/>
          <w:lang w:eastAsia="zh-CN"/>
        </w:rPr>
        <w:t>2024</w:t>
      </w:r>
      <w:r>
        <w:rPr>
          <w:rFonts w:hint="eastAsia" w:ascii="仿宋" w:hAnsi="仿宋" w:eastAsia="仿宋"/>
          <w:sz w:val="32"/>
          <w:szCs w:val="32"/>
        </w:rPr>
        <w:t>年整体支出情况实施了财政支出绩效自评价，形成本评价报告。</w:t>
      </w:r>
    </w:p>
    <w:p w14:paraId="2233A7AF">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14:paraId="0DA5E37B">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（一）部门概况</w:t>
      </w:r>
    </w:p>
    <w:p w14:paraId="0FE19615">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1.部门职能</w:t>
      </w:r>
    </w:p>
    <w:p w14:paraId="79461022">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（1）深入贯彻习近平新时代中国特色社会主义思想，深入贯彻党的路线方针和决策部署，坚持党对检察工作的绝对领导，坚决维护习近平总书记的核心地位，坚决维护党中央权威和集中统一领导。</w:t>
      </w:r>
    </w:p>
    <w:p w14:paraId="0617D912">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（2）依法向人民代表大会及其常务委员会提出议案。</w:t>
      </w:r>
    </w:p>
    <w:p w14:paraId="350F2295">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（3）贯彻落实检察工作方针、总体规划，研究制定检察工作计划并组织实施。</w:t>
      </w:r>
    </w:p>
    <w:p w14:paraId="6934C73F">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（4）依照法律规定对直接受理的刑事案件行使侦查权。</w:t>
      </w:r>
    </w:p>
    <w:p w14:paraId="56452E95">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（5）负责对管辖的各类刑事案件依法审查批准逮捕、决定逮捕、提起公诉。</w:t>
      </w:r>
    </w:p>
    <w:p w14:paraId="02D866F2">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（6）负责应由本院承办的刑事、民事、行政诉讼活动及刑事、民事、行政判决和裁定等生效法律文书执行的法律监督工作。</w:t>
      </w:r>
    </w:p>
    <w:p w14:paraId="2DEF829A">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（7）负责应由本院承办的提起公益诉讼工作。</w:t>
      </w:r>
    </w:p>
    <w:p w14:paraId="4014C85C">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（8）依法受理核准追诉案件，审查是否上报。</w:t>
      </w:r>
    </w:p>
    <w:p w14:paraId="2409DC7B">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（9）负责应由本院承办的对看守所、社区矫正等执法活动的法律监督工作。</w:t>
      </w:r>
    </w:p>
    <w:p w14:paraId="1184ED01">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（10）受理向本院的控告申诉。</w:t>
      </w:r>
    </w:p>
    <w:p w14:paraId="0C515F19">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（11）组织检察工作中法律政策具体应用问题的研究；组织开展检察理论研究工作。</w:t>
      </w:r>
    </w:p>
    <w:p w14:paraId="469D227E">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（12）负责检察人员思想政治教育和业务培训工作；按照权限管理检察官和其他工作人员。</w:t>
      </w:r>
    </w:p>
    <w:p w14:paraId="28681FB3">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（13）负责本院检务督察工作。</w:t>
      </w:r>
    </w:p>
    <w:p w14:paraId="4829B401">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（14）负责本院检务保障以及检察技术、信息化建设工作。</w:t>
      </w:r>
    </w:p>
    <w:p w14:paraId="1D6F2A66">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sz w:val="32"/>
          <w:szCs w:val="32"/>
        </w:rPr>
        <w:t>（15）完成其他应当由本院负责的工作。</w:t>
      </w:r>
    </w:p>
    <w:p w14:paraId="6D0909F8">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仿宋_GB2312" w:hAnsi="仿宋" w:eastAsia="仿宋_GB2312" w:cs="仿宋"/>
          <w:sz w:val="32"/>
          <w:szCs w:val="32"/>
        </w:rPr>
      </w:pPr>
      <w:r>
        <w:rPr>
          <w:rFonts w:hint="eastAsia" w:ascii="仿宋" w:hAnsi="仿宋" w:eastAsia="仿宋"/>
          <w:sz w:val="32"/>
          <w:szCs w:val="32"/>
        </w:rPr>
        <w:t>2.</w:t>
      </w:r>
      <w:r>
        <w:rPr>
          <w:rFonts w:hint="eastAsia" w:ascii="仿宋_GB2312" w:hAnsi="仿宋" w:eastAsia="仿宋_GB2312" w:cs="仿宋"/>
          <w:sz w:val="32"/>
          <w:szCs w:val="32"/>
        </w:rPr>
        <w:t>组织机构及人员情况</w:t>
      </w:r>
    </w:p>
    <w:p w14:paraId="64945B3C">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赞皇县人民检察院纳入</w:t>
      </w:r>
      <w:r>
        <w:rPr>
          <w:rFonts w:hint="eastAsia" w:ascii="仿宋_GB2312" w:hAnsi="仿宋" w:eastAsia="仿宋_GB2312" w:cs="仿宋"/>
          <w:sz w:val="32"/>
          <w:szCs w:val="32"/>
          <w:lang w:eastAsia="zh-CN"/>
        </w:rPr>
        <w:t>2024</w:t>
      </w:r>
      <w:r>
        <w:rPr>
          <w:rFonts w:hint="eastAsia" w:ascii="仿宋_GB2312" w:hAnsi="仿宋" w:eastAsia="仿宋_GB2312" w:cs="仿宋"/>
          <w:sz w:val="32"/>
          <w:szCs w:val="32"/>
        </w:rPr>
        <w:t>年度本部门预算汇编范围的独立核算单位共 1 个，为行政单位，经费形式为全额财政拨款。</w:t>
      </w:r>
    </w:p>
    <w:p w14:paraId="7C204BB7">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仿宋" w:hAnsi="仿宋" w:eastAsia="仿宋"/>
          <w:sz w:val="32"/>
          <w:szCs w:val="32"/>
        </w:rPr>
      </w:pPr>
      <w:r>
        <w:rPr>
          <w:rFonts w:hint="eastAsia" w:ascii="仿宋_GB2312" w:hAnsi="仿宋" w:eastAsia="仿宋_GB2312" w:cs="仿宋"/>
          <w:sz w:val="32"/>
          <w:szCs w:val="32"/>
        </w:rPr>
        <w:t>赞皇县人民检察院内设机构5个。中央政法编制31名。</w:t>
      </w:r>
    </w:p>
    <w:p w14:paraId="37ECBD89">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56B98E7A">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我院</w:t>
      </w:r>
      <w:r>
        <w:rPr>
          <w:rFonts w:hint="eastAsia" w:ascii="仿宋_GB2312" w:hAnsi="仿宋" w:eastAsia="仿宋_GB2312" w:cs="仿宋"/>
          <w:sz w:val="32"/>
          <w:szCs w:val="32"/>
          <w:lang w:eastAsia="zh-CN"/>
        </w:rPr>
        <w:t>2024</w:t>
      </w:r>
      <w:r>
        <w:rPr>
          <w:rFonts w:hint="eastAsia" w:ascii="仿宋_GB2312" w:hAnsi="仿宋" w:eastAsia="仿宋_GB2312" w:cs="仿宋"/>
          <w:sz w:val="32"/>
          <w:szCs w:val="32"/>
        </w:rPr>
        <w:t>年预算为</w:t>
      </w:r>
      <w:r>
        <w:rPr>
          <w:rFonts w:hint="eastAsia" w:ascii="仿宋_GB2312" w:hAnsi="仿宋" w:eastAsia="仿宋_GB2312" w:cs="仿宋"/>
          <w:sz w:val="32"/>
          <w:szCs w:val="32"/>
          <w:lang w:val="en-US" w:eastAsia="zh-CN"/>
        </w:rPr>
        <w:t>1003.32</w:t>
      </w:r>
      <w:r>
        <w:rPr>
          <w:rFonts w:hint="eastAsia" w:ascii="仿宋_GB2312" w:hAnsi="仿宋" w:eastAsia="仿宋_GB2312" w:cs="仿宋"/>
          <w:sz w:val="32"/>
          <w:szCs w:val="32"/>
        </w:rPr>
        <w:t>万元，其中财政拨款</w:t>
      </w:r>
      <w:r>
        <w:rPr>
          <w:rFonts w:hint="eastAsia" w:ascii="仿宋_GB2312" w:hAnsi="仿宋" w:eastAsia="仿宋_GB2312" w:cs="仿宋"/>
          <w:sz w:val="32"/>
          <w:szCs w:val="32"/>
          <w:lang w:val="en-US" w:eastAsia="zh-CN"/>
        </w:rPr>
        <w:t>1003.32</w:t>
      </w:r>
      <w:r>
        <w:rPr>
          <w:rFonts w:hint="eastAsia" w:ascii="仿宋_GB2312" w:hAnsi="仿宋" w:eastAsia="仿宋_GB2312" w:cs="仿宋"/>
          <w:sz w:val="32"/>
          <w:szCs w:val="32"/>
        </w:rPr>
        <w:t>万元，占总预算的100%。整体预算中，人员经费预算</w:t>
      </w:r>
      <w:r>
        <w:rPr>
          <w:rFonts w:hint="eastAsia" w:ascii="仿宋_GB2312" w:hAnsi="仿宋" w:eastAsia="仿宋_GB2312" w:cs="仿宋"/>
          <w:sz w:val="32"/>
          <w:szCs w:val="32"/>
          <w:lang w:val="en-US" w:eastAsia="zh-CN"/>
        </w:rPr>
        <w:t>546.46</w:t>
      </w:r>
      <w:r>
        <w:rPr>
          <w:rFonts w:hint="eastAsia" w:ascii="仿宋_GB2312" w:hAnsi="仿宋" w:eastAsia="仿宋_GB2312" w:cs="仿宋"/>
          <w:sz w:val="32"/>
          <w:szCs w:val="32"/>
        </w:rPr>
        <w:t>万元，日常公用经费预算</w:t>
      </w:r>
      <w:r>
        <w:rPr>
          <w:rFonts w:hint="eastAsia" w:ascii="仿宋_GB2312" w:hAnsi="仿宋" w:eastAsia="仿宋_GB2312" w:cs="仿宋"/>
          <w:sz w:val="32"/>
          <w:szCs w:val="32"/>
          <w:lang w:val="en-US" w:eastAsia="zh-CN"/>
        </w:rPr>
        <w:t>92.91</w:t>
      </w:r>
      <w:r>
        <w:rPr>
          <w:rFonts w:hint="eastAsia" w:ascii="仿宋_GB2312" w:hAnsi="仿宋" w:eastAsia="仿宋_GB2312" w:cs="仿宋"/>
          <w:sz w:val="32"/>
          <w:szCs w:val="32"/>
        </w:rPr>
        <w:t>万元（包含“三公经费”预算</w:t>
      </w:r>
      <w:r>
        <w:rPr>
          <w:rFonts w:hint="eastAsia" w:ascii="仿宋_GB2312" w:hAnsi="仿宋" w:eastAsia="仿宋_GB2312" w:cs="仿宋"/>
          <w:sz w:val="32"/>
          <w:szCs w:val="32"/>
          <w:lang w:val="en-US" w:eastAsia="zh-CN"/>
        </w:rPr>
        <w:t>14</w:t>
      </w:r>
      <w:r>
        <w:rPr>
          <w:rFonts w:hint="eastAsia" w:ascii="仿宋_GB2312" w:hAnsi="仿宋" w:eastAsia="仿宋_GB2312" w:cs="仿宋"/>
          <w:sz w:val="32"/>
          <w:szCs w:val="32"/>
        </w:rPr>
        <w:t>万元），项目经费预算</w:t>
      </w:r>
      <w:r>
        <w:rPr>
          <w:rFonts w:hint="eastAsia" w:ascii="仿宋_GB2312" w:hAnsi="仿宋" w:eastAsia="仿宋_GB2312" w:cs="仿宋"/>
          <w:sz w:val="32"/>
          <w:szCs w:val="32"/>
          <w:lang w:val="en-US" w:eastAsia="zh-CN"/>
        </w:rPr>
        <w:t>363.95</w:t>
      </w:r>
      <w:r>
        <w:rPr>
          <w:rFonts w:hint="eastAsia" w:ascii="仿宋_GB2312" w:hAnsi="仿宋" w:eastAsia="仿宋_GB2312" w:cs="仿宋"/>
          <w:sz w:val="32"/>
          <w:szCs w:val="32"/>
        </w:rPr>
        <w:t>万元。</w:t>
      </w:r>
    </w:p>
    <w:p w14:paraId="4187E4F0">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我院</w:t>
      </w:r>
      <w:r>
        <w:rPr>
          <w:rFonts w:hint="eastAsia" w:ascii="仿宋_GB2312" w:hAnsi="仿宋" w:eastAsia="仿宋_GB2312" w:cs="仿宋"/>
          <w:sz w:val="32"/>
          <w:szCs w:val="32"/>
          <w:lang w:eastAsia="zh-CN"/>
        </w:rPr>
        <w:t>2024</w:t>
      </w:r>
      <w:r>
        <w:rPr>
          <w:rFonts w:hint="eastAsia" w:ascii="仿宋_GB2312" w:hAnsi="仿宋" w:eastAsia="仿宋_GB2312" w:cs="仿宋"/>
          <w:sz w:val="32"/>
          <w:szCs w:val="32"/>
        </w:rPr>
        <w:t>年度实际收入</w:t>
      </w:r>
      <w:r>
        <w:rPr>
          <w:rFonts w:hint="eastAsia" w:ascii="仿宋_GB2312" w:hAnsi="仿宋" w:eastAsia="仿宋_GB2312" w:cs="仿宋"/>
          <w:sz w:val="32"/>
          <w:szCs w:val="32"/>
          <w:lang w:val="en-US" w:eastAsia="zh-CN"/>
        </w:rPr>
        <w:t>991.45</w:t>
      </w:r>
      <w:r>
        <w:rPr>
          <w:rFonts w:hint="eastAsia" w:ascii="仿宋_GB2312" w:hAnsi="仿宋" w:eastAsia="仿宋_GB2312" w:cs="仿宋"/>
          <w:sz w:val="32"/>
          <w:szCs w:val="32"/>
        </w:rPr>
        <w:t>万元，其中财政拨款收入</w:t>
      </w:r>
      <w:r>
        <w:rPr>
          <w:rFonts w:hint="eastAsia" w:ascii="仿宋_GB2312" w:hAnsi="仿宋" w:eastAsia="仿宋_GB2312" w:cs="仿宋"/>
          <w:sz w:val="32"/>
          <w:szCs w:val="32"/>
          <w:lang w:val="en-US" w:eastAsia="zh-CN"/>
        </w:rPr>
        <w:t>991.45</w:t>
      </w:r>
      <w:r>
        <w:rPr>
          <w:rFonts w:hint="eastAsia" w:ascii="仿宋_GB2312" w:hAnsi="仿宋" w:eastAsia="仿宋_GB2312" w:cs="仿宋"/>
          <w:sz w:val="32"/>
          <w:szCs w:val="32"/>
        </w:rPr>
        <w:t>万元。</w:t>
      </w:r>
    </w:p>
    <w:p w14:paraId="4FBFD24A">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我院</w:t>
      </w:r>
      <w:r>
        <w:rPr>
          <w:rFonts w:hint="eastAsia" w:ascii="仿宋_GB2312" w:hAnsi="仿宋" w:eastAsia="仿宋_GB2312" w:cs="仿宋"/>
          <w:sz w:val="32"/>
          <w:szCs w:val="32"/>
          <w:lang w:eastAsia="zh-CN"/>
        </w:rPr>
        <w:t>2024</w:t>
      </w:r>
      <w:r>
        <w:rPr>
          <w:rFonts w:hint="eastAsia" w:ascii="仿宋_GB2312" w:hAnsi="仿宋" w:eastAsia="仿宋_GB2312" w:cs="仿宋"/>
          <w:sz w:val="32"/>
          <w:szCs w:val="32"/>
        </w:rPr>
        <w:t>年整体支出为</w:t>
      </w:r>
      <w:r>
        <w:rPr>
          <w:rFonts w:hint="eastAsia" w:ascii="仿宋_GB2312" w:hAnsi="仿宋" w:eastAsia="仿宋_GB2312" w:cs="仿宋"/>
          <w:sz w:val="32"/>
          <w:szCs w:val="32"/>
          <w:lang w:val="en-US" w:eastAsia="zh-CN"/>
        </w:rPr>
        <w:t>925.96</w:t>
      </w:r>
      <w:r>
        <w:rPr>
          <w:rFonts w:hint="eastAsia" w:ascii="仿宋_GB2312" w:hAnsi="仿宋" w:eastAsia="仿宋_GB2312" w:cs="仿宋"/>
          <w:sz w:val="32"/>
          <w:szCs w:val="32"/>
        </w:rPr>
        <w:t>万元。</w:t>
      </w:r>
    </w:p>
    <w:p w14:paraId="6D7DE968">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仿宋" w:hAnsi="仿宋" w:eastAsia="仿宋"/>
          <w:sz w:val="32"/>
          <w:szCs w:val="32"/>
        </w:rPr>
      </w:pPr>
      <w:r>
        <w:rPr>
          <w:rFonts w:hint="eastAsia" w:ascii="仿宋_GB2312" w:hAnsi="仿宋" w:eastAsia="仿宋_GB2312" w:cs="仿宋"/>
          <w:sz w:val="32"/>
          <w:szCs w:val="32"/>
        </w:rPr>
        <w:t>1.基本支出情况</w:t>
      </w:r>
    </w:p>
    <w:p w14:paraId="5DF7C1A2">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基本支出是保障机构正常运转、完成日常工作任务而发生的支出，包括人员经费支出和日常公用经费（含“三公经费”）支出。</w:t>
      </w:r>
    </w:p>
    <w:p w14:paraId="7279595C">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lang w:eastAsia="zh-CN"/>
        </w:rPr>
        <w:t>2024</w:t>
      </w:r>
      <w:r>
        <w:rPr>
          <w:rFonts w:hint="eastAsia" w:ascii="仿宋_GB2312" w:hAnsi="仿宋" w:eastAsia="仿宋_GB2312" w:cs="仿宋"/>
          <w:sz w:val="32"/>
          <w:szCs w:val="32"/>
        </w:rPr>
        <w:t>年度本院基本支出</w:t>
      </w:r>
      <w:r>
        <w:rPr>
          <w:rFonts w:hint="eastAsia" w:ascii="仿宋_GB2312" w:hAnsi="仿宋" w:eastAsia="仿宋_GB2312" w:cs="仿宋"/>
          <w:sz w:val="32"/>
          <w:szCs w:val="32"/>
          <w:lang w:val="en-US" w:eastAsia="zh-CN"/>
        </w:rPr>
        <w:t>564.29</w:t>
      </w:r>
      <w:r>
        <w:rPr>
          <w:rFonts w:hint="eastAsia" w:ascii="仿宋_GB2312" w:hAnsi="仿宋" w:eastAsia="仿宋_GB2312" w:cs="仿宋"/>
          <w:sz w:val="32"/>
          <w:szCs w:val="32"/>
        </w:rPr>
        <w:t>万元，人员经费支出</w:t>
      </w:r>
      <w:r>
        <w:rPr>
          <w:rFonts w:hint="eastAsia" w:ascii="仿宋_GB2312" w:hAnsi="仿宋" w:eastAsia="仿宋_GB2312" w:cs="仿宋"/>
          <w:sz w:val="32"/>
          <w:szCs w:val="32"/>
          <w:lang w:val="en-US" w:eastAsia="zh-CN"/>
        </w:rPr>
        <w:t>480.98</w:t>
      </w:r>
      <w:r>
        <w:rPr>
          <w:rFonts w:hint="eastAsia" w:ascii="仿宋_GB2312" w:hAnsi="仿宋" w:eastAsia="仿宋_GB2312" w:cs="仿宋"/>
          <w:sz w:val="32"/>
          <w:szCs w:val="32"/>
        </w:rPr>
        <w:t>万元,占基本支出比例</w:t>
      </w:r>
      <w:r>
        <w:rPr>
          <w:rFonts w:hint="eastAsia" w:ascii="仿宋_GB2312" w:hAnsi="仿宋" w:eastAsia="仿宋_GB2312" w:cs="仿宋"/>
          <w:sz w:val="32"/>
          <w:szCs w:val="32"/>
          <w:lang w:val="en-US" w:eastAsia="zh-CN"/>
        </w:rPr>
        <w:t>85.2</w:t>
      </w:r>
      <w:r>
        <w:rPr>
          <w:rFonts w:hint="eastAsia" w:ascii="仿宋_GB2312" w:hAnsi="仿宋" w:eastAsia="仿宋_GB2312" w:cs="仿宋"/>
          <w:sz w:val="32"/>
          <w:szCs w:val="32"/>
        </w:rPr>
        <w:t xml:space="preserve"> %，日常公用经费支出</w:t>
      </w:r>
      <w:r>
        <w:rPr>
          <w:rFonts w:hint="eastAsia" w:ascii="仿宋_GB2312" w:hAnsi="仿宋" w:eastAsia="仿宋_GB2312" w:cs="仿宋"/>
          <w:sz w:val="32"/>
          <w:szCs w:val="32"/>
          <w:lang w:val="en-US" w:eastAsia="zh-CN"/>
        </w:rPr>
        <w:t>83.3</w:t>
      </w:r>
      <w:r>
        <w:rPr>
          <w:rFonts w:hint="eastAsia" w:ascii="仿宋_GB2312" w:hAnsi="仿宋" w:eastAsia="仿宋_GB2312" w:cs="仿宋"/>
          <w:sz w:val="32"/>
          <w:szCs w:val="32"/>
        </w:rPr>
        <w:t>万元，占基本支出比例</w:t>
      </w:r>
      <w:r>
        <w:rPr>
          <w:rFonts w:hint="eastAsia" w:ascii="仿宋_GB2312" w:hAnsi="仿宋" w:eastAsia="仿宋_GB2312" w:cs="仿宋"/>
          <w:sz w:val="32"/>
          <w:szCs w:val="32"/>
          <w:lang w:val="en-US" w:eastAsia="zh-CN"/>
        </w:rPr>
        <w:t>14.8</w:t>
      </w:r>
      <w:r>
        <w:rPr>
          <w:rFonts w:hint="eastAsia" w:ascii="仿宋_GB2312" w:hAnsi="仿宋" w:eastAsia="仿宋_GB2312" w:cs="仿宋"/>
          <w:sz w:val="32"/>
          <w:szCs w:val="32"/>
        </w:rPr>
        <w:t>%。其中，“三公”经费支出为</w:t>
      </w:r>
      <w:r>
        <w:rPr>
          <w:rFonts w:hint="eastAsia" w:ascii="仿宋_GB2312" w:hAnsi="仿宋" w:eastAsia="仿宋_GB2312" w:cs="仿宋"/>
          <w:sz w:val="32"/>
          <w:szCs w:val="32"/>
          <w:lang w:val="en-US" w:eastAsia="zh-CN"/>
        </w:rPr>
        <w:t>7</w:t>
      </w:r>
      <w:r>
        <w:rPr>
          <w:rFonts w:hint="eastAsia" w:ascii="仿宋_GB2312" w:hAnsi="仿宋" w:eastAsia="仿宋_GB2312" w:cs="仿宋"/>
          <w:sz w:val="32"/>
          <w:szCs w:val="32"/>
        </w:rPr>
        <w:t>万元，占日常公用经费支出比例为</w:t>
      </w:r>
      <w:r>
        <w:rPr>
          <w:rFonts w:hint="eastAsia" w:ascii="仿宋_GB2312" w:hAnsi="仿宋" w:eastAsia="仿宋_GB2312" w:cs="仿宋"/>
          <w:sz w:val="32"/>
          <w:szCs w:val="32"/>
          <w:lang w:val="en-US" w:eastAsia="zh-CN"/>
        </w:rPr>
        <w:t>8</w:t>
      </w:r>
      <w:r>
        <w:rPr>
          <w:rFonts w:hint="eastAsia" w:ascii="仿宋_GB2312" w:hAnsi="仿宋" w:eastAsia="仿宋_GB2312" w:cs="仿宋"/>
          <w:sz w:val="32"/>
          <w:szCs w:val="32"/>
        </w:rPr>
        <w:t>.4%。</w:t>
      </w:r>
    </w:p>
    <w:p w14:paraId="430A6E29">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pPr>
      <w:r>
        <w:rPr>
          <w:rFonts w:hint="eastAsia" w:ascii="楷体" w:hAnsi="楷体" w:eastAsia="楷体" w:cs="楷体_GB2312"/>
          <w:bCs/>
          <w:sz w:val="32"/>
          <w:szCs w:val="32"/>
        </w:rPr>
        <w:t>（三）部门整体支出绩效目标、指标</w:t>
      </w:r>
    </w:p>
    <w:p w14:paraId="23CCE493">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sz w:val="32"/>
          <w:szCs w:val="32"/>
        </w:rPr>
      </w:pPr>
      <w:r>
        <w:rPr>
          <w:rFonts w:hint="eastAsia" w:ascii="仿宋_GB2312" w:hAnsi="仿宋" w:eastAsia="仿宋_GB2312" w:cs="仿宋"/>
          <w:sz w:val="32"/>
          <w:szCs w:val="32"/>
        </w:rPr>
        <w:t>（一）总体绩效目标</w:t>
      </w:r>
    </w:p>
    <w:p w14:paraId="7FC687F4">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2024年，我院始终坚持以习近平新时代中国特色社会主义思想为指导，全面贯彻党的二十大和二十届二中、三中全会精神，深入学习贯彻习近平法治思想，充分发挥法律监督职能，做实“高质效办好每一个案件”，更加有力为大局服务、为人民司法、为法治担当，各项检察工作取得新成效。</w:t>
      </w:r>
    </w:p>
    <w:p w14:paraId="2BC8E6A7">
      <w:pPr>
        <w:keepNext w:val="0"/>
        <w:keepLines w:val="0"/>
        <w:pageBreakBefore w:val="0"/>
        <w:widowControl w:val="0"/>
        <w:numPr>
          <w:ilvl w:val="0"/>
          <w:numId w:val="1"/>
        </w:numPr>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sz w:val="32"/>
          <w:szCs w:val="32"/>
        </w:rPr>
      </w:pPr>
      <w:r>
        <w:rPr>
          <w:rFonts w:hint="eastAsia" w:ascii="仿宋_GB2312" w:hAnsi="仿宋" w:eastAsia="仿宋_GB2312" w:cs="仿宋"/>
          <w:sz w:val="32"/>
          <w:szCs w:val="32"/>
        </w:rPr>
        <w:t>分项绩效目标</w:t>
      </w:r>
    </w:p>
    <w:p w14:paraId="3B62EF20">
      <w:pPr>
        <w:pStyle w:val="16"/>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kern w:val="2"/>
          <w:sz w:val="32"/>
          <w:szCs w:val="32"/>
          <w:lang w:val="en-US" w:eastAsia="zh-CN" w:bidi="ar-SA"/>
        </w:rPr>
      </w:pPr>
      <w:r>
        <w:rPr>
          <w:rFonts w:hint="eastAsia" w:ascii="仿宋_GB2312" w:hAnsi="仿宋" w:eastAsia="仿宋_GB2312" w:cs="仿宋"/>
          <w:kern w:val="2"/>
          <w:sz w:val="32"/>
          <w:szCs w:val="32"/>
          <w:lang w:val="en-US" w:eastAsia="zh-CN" w:bidi="ar-SA"/>
        </w:rPr>
        <w:t>（一）保障“四大检察”及各项工作顺利开展</w:t>
      </w:r>
    </w:p>
    <w:p w14:paraId="639F72FF">
      <w:pPr>
        <w:pStyle w:val="16"/>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kern w:val="2"/>
          <w:sz w:val="32"/>
          <w:szCs w:val="32"/>
          <w:lang w:val="en-US" w:eastAsia="zh-CN" w:bidi="ar-SA"/>
        </w:rPr>
      </w:pPr>
      <w:r>
        <w:rPr>
          <w:rFonts w:hint="eastAsia" w:ascii="仿宋_GB2312" w:hAnsi="仿宋" w:eastAsia="仿宋_GB2312" w:cs="仿宋"/>
          <w:kern w:val="2"/>
          <w:sz w:val="32"/>
          <w:szCs w:val="32"/>
          <w:lang w:val="en-US" w:eastAsia="zh-CN" w:bidi="ar-SA"/>
        </w:rPr>
        <w:t>绩效目标：通过经费的使用促进刑事、民事、行政、公益诉讼等各项检察工作的顺利开展，保障扫黑除恶斗争、服务经济发展等中心工作的顺利开展。</w:t>
      </w:r>
    </w:p>
    <w:p w14:paraId="4D6EF46E">
      <w:pPr>
        <w:pStyle w:val="16"/>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kern w:val="2"/>
          <w:sz w:val="32"/>
          <w:szCs w:val="32"/>
          <w:lang w:val="en-US" w:eastAsia="zh-CN" w:bidi="ar-SA"/>
        </w:rPr>
      </w:pPr>
      <w:r>
        <w:rPr>
          <w:rFonts w:hint="eastAsia" w:ascii="仿宋_GB2312" w:hAnsi="仿宋" w:eastAsia="仿宋_GB2312" w:cs="仿宋"/>
          <w:kern w:val="2"/>
          <w:sz w:val="32"/>
          <w:szCs w:val="32"/>
          <w:lang w:val="en-US" w:eastAsia="zh-CN" w:bidi="ar-SA"/>
        </w:rPr>
        <w:t>绩效指标：年度内审结的案件占受理案件的比例大于90%，对涉案未成年人实施心理疏导、亲情会见、庭审教育、不起诉宣布教育、案后帮扶等特殊检察制度占全部案件的比例大于70%，错捕、捕后撤案、不起诉、判无罪率小于或等于1%，认罪认罚适用率占所有认罪认罚案件的比例大于90%,出庭意见被采纳案件占全部案件的比例不小于90%，检察建议采纳率大于80%，群众来信来访答复率100%，收到良好社会效果。</w:t>
      </w:r>
    </w:p>
    <w:p w14:paraId="0138ED8D">
      <w:pPr>
        <w:pStyle w:val="16"/>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kern w:val="2"/>
          <w:sz w:val="32"/>
          <w:szCs w:val="32"/>
          <w:lang w:val="en-US" w:eastAsia="zh-CN" w:bidi="ar-SA"/>
        </w:rPr>
      </w:pPr>
      <w:r>
        <w:rPr>
          <w:rFonts w:hint="eastAsia" w:ascii="仿宋_GB2312" w:hAnsi="仿宋" w:eastAsia="仿宋_GB2312" w:cs="仿宋"/>
          <w:kern w:val="2"/>
          <w:sz w:val="32"/>
          <w:szCs w:val="32"/>
          <w:lang w:val="en-US" w:eastAsia="zh-CN" w:bidi="ar-SA"/>
        </w:rPr>
        <w:t xml:space="preserve">（二）不断加强检察队伍正规化、职业化、专业化建设  </w:t>
      </w:r>
    </w:p>
    <w:p w14:paraId="57EE621A">
      <w:pPr>
        <w:pStyle w:val="16"/>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kern w:val="2"/>
          <w:sz w:val="32"/>
          <w:szCs w:val="32"/>
          <w:lang w:val="en-US" w:eastAsia="zh-CN" w:bidi="ar-SA"/>
        </w:rPr>
      </w:pPr>
      <w:r>
        <w:rPr>
          <w:rFonts w:hint="eastAsia" w:ascii="仿宋_GB2312" w:hAnsi="仿宋" w:eastAsia="仿宋_GB2312" w:cs="仿宋"/>
          <w:kern w:val="2"/>
          <w:sz w:val="32"/>
          <w:szCs w:val="32"/>
          <w:lang w:val="en-US" w:eastAsia="zh-CN" w:bidi="ar-SA"/>
        </w:rPr>
        <w:t>绩效目标：提高检察机关执法办案的良好形象，按时配发检察服，法警服装。根据实际需求情况，及时报废、更换办公设备，改善办公环境，高标准完成检察机关办文、办公、办会保障。加强干警党性修养和政治理论素养，提高干警综合素质，加强党组织和党员队伍建设，保障各类学习教育活动，不断提高干警的政治素质、业务素质、职业道德素质。</w:t>
      </w:r>
    </w:p>
    <w:p w14:paraId="17CADEAC">
      <w:pPr>
        <w:pStyle w:val="16"/>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kern w:val="2"/>
          <w:sz w:val="32"/>
          <w:szCs w:val="32"/>
          <w:lang w:val="en-US" w:eastAsia="zh-CN" w:bidi="ar-SA"/>
        </w:rPr>
      </w:pPr>
      <w:r>
        <w:rPr>
          <w:rFonts w:hint="eastAsia" w:ascii="仿宋_GB2312" w:hAnsi="仿宋" w:eastAsia="仿宋_GB2312" w:cs="仿宋"/>
          <w:kern w:val="2"/>
          <w:sz w:val="32"/>
          <w:szCs w:val="32"/>
          <w:lang w:val="en-US" w:eastAsia="zh-CN" w:bidi="ar-SA"/>
        </w:rPr>
        <w:t>绩效指标：购置设备质量合规的数量占购置总数比例不小于99%，办公设备购置能够对办公环境改善率达到98%。全年组织并参加培训人次不少于150人次。全年组织开展党建活动不少于5次，及时保障所组织的活动经费需求比达到99%。各项综合业务管理工作及各项综合事务管理工作完成率达到100%</w:t>
      </w:r>
    </w:p>
    <w:p w14:paraId="0F1CD0CA">
      <w:pPr>
        <w:pStyle w:val="16"/>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kern w:val="2"/>
          <w:sz w:val="32"/>
          <w:szCs w:val="32"/>
          <w:lang w:val="en-US" w:eastAsia="zh-CN" w:bidi="ar-SA"/>
        </w:rPr>
      </w:pPr>
      <w:r>
        <w:rPr>
          <w:rFonts w:hint="eastAsia" w:ascii="仿宋_GB2312" w:hAnsi="仿宋" w:eastAsia="仿宋_GB2312" w:cs="仿宋"/>
          <w:kern w:val="2"/>
          <w:sz w:val="32"/>
          <w:szCs w:val="32"/>
          <w:lang w:val="en-US" w:eastAsia="zh-CN" w:bidi="ar-SA"/>
        </w:rPr>
        <w:t>（三）着力推进现代新型人民检察院建设</w:t>
      </w:r>
    </w:p>
    <w:p w14:paraId="4CF4F46B">
      <w:pPr>
        <w:pStyle w:val="16"/>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kern w:val="2"/>
          <w:sz w:val="32"/>
          <w:szCs w:val="32"/>
          <w:lang w:val="en-US" w:eastAsia="zh-CN" w:bidi="ar-SA"/>
        </w:rPr>
      </w:pPr>
      <w:r>
        <w:rPr>
          <w:rFonts w:hint="eastAsia" w:ascii="仿宋_GB2312" w:hAnsi="仿宋" w:eastAsia="仿宋_GB2312" w:cs="仿宋"/>
          <w:kern w:val="2"/>
          <w:sz w:val="32"/>
          <w:szCs w:val="32"/>
          <w:lang w:val="en-US" w:eastAsia="zh-CN" w:bidi="ar-SA"/>
        </w:rPr>
        <w:t>绩效目标：保证办公楼的各项设施设备正常运转，及时解决各种故障，避免安全隐患，保证办公、办案安全。加强检察宣传，运用图文、视频等形式展示检察机关亮点工作，做好先进典型、事迹的宣传。</w:t>
      </w:r>
    </w:p>
    <w:p w14:paraId="1CBD7218">
      <w:pPr>
        <w:pStyle w:val="16"/>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kern w:val="2"/>
          <w:sz w:val="32"/>
          <w:szCs w:val="32"/>
          <w:lang w:val="en-US" w:eastAsia="zh-CN" w:bidi="ar-SA"/>
        </w:rPr>
      </w:pPr>
      <w:r>
        <w:rPr>
          <w:rFonts w:hint="eastAsia" w:ascii="仿宋_GB2312" w:hAnsi="仿宋" w:eastAsia="仿宋_GB2312" w:cs="仿宋"/>
          <w:kern w:val="2"/>
          <w:sz w:val="32"/>
          <w:szCs w:val="32"/>
          <w:lang w:val="en-US" w:eastAsia="zh-CN" w:bidi="ar-SA"/>
        </w:rPr>
        <w:t>绩效指标：实际完成故障修复数与故障报修总数比率不小于100%，当年用水、用电、消防的安全检查合格率达到100%。实际政府采购数量占应实施政府采购总数的比例达到100%。全年运用网络、媒体等检察宣传不小于80次。</w:t>
      </w:r>
    </w:p>
    <w:p w14:paraId="2D9371B3">
      <w:pPr>
        <w:pStyle w:val="16"/>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kern w:val="2"/>
          <w:sz w:val="32"/>
          <w:szCs w:val="32"/>
          <w:lang w:val="en-US" w:eastAsia="zh-CN" w:bidi="ar-SA"/>
        </w:rPr>
      </w:pPr>
      <w:r>
        <w:rPr>
          <w:rFonts w:hint="eastAsia" w:ascii="仿宋_GB2312" w:hAnsi="仿宋" w:eastAsia="仿宋_GB2312" w:cs="仿宋"/>
          <w:kern w:val="2"/>
          <w:sz w:val="32"/>
          <w:szCs w:val="32"/>
          <w:lang w:val="en-US" w:eastAsia="zh-CN" w:bidi="ar-SA"/>
        </w:rPr>
        <w:t>（四）积极适应信息化发展新趋势</w:t>
      </w:r>
    </w:p>
    <w:p w14:paraId="244A0A40">
      <w:pPr>
        <w:pStyle w:val="16"/>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kern w:val="2"/>
          <w:sz w:val="32"/>
          <w:szCs w:val="32"/>
          <w:lang w:val="en-US" w:eastAsia="zh-CN" w:bidi="ar-SA"/>
        </w:rPr>
      </w:pPr>
      <w:r>
        <w:rPr>
          <w:rFonts w:hint="eastAsia" w:ascii="仿宋_GB2312" w:hAnsi="仿宋" w:eastAsia="仿宋_GB2312" w:cs="仿宋"/>
          <w:kern w:val="2"/>
          <w:sz w:val="32"/>
          <w:szCs w:val="32"/>
          <w:lang w:val="en-US" w:eastAsia="zh-CN" w:bidi="ar-SA"/>
        </w:rPr>
        <w:t>绩效目标：完成工作网国产化替代改造建设，保障工作网检察业务的正常运转。加强档案室软硬件维护，保证查档准确、完整。</w:t>
      </w:r>
    </w:p>
    <w:p w14:paraId="3C0B13CD">
      <w:pPr>
        <w:pStyle w:val="16"/>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kern w:val="2"/>
          <w:sz w:val="32"/>
          <w:szCs w:val="32"/>
          <w:lang w:val="en-US" w:eastAsia="zh-CN" w:bidi="ar-SA"/>
        </w:rPr>
      </w:pPr>
      <w:r>
        <w:rPr>
          <w:rFonts w:hint="eastAsia" w:ascii="仿宋_GB2312" w:hAnsi="仿宋" w:eastAsia="仿宋_GB2312" w:cs="仿宋"/>
          <w:kern w:val="2"/>
          <w:sz w:val="32"/>
          <w:szCs w:val="32"/>
          <w:lang w:val="en-US" w:eastAsia="zh-CN" w:bidi="ar-SA"/>
        </w:rPr>
        <w:t>绩效指标：招标采购设备完好数量占比达到100%，建设完成后与原网络数据共享比率达到75%。全年档案系统运行故障不超2次，维护软件次数不少于12次，档案资料保存完好程度达到100%，查档人员满意度达到95%以上。</w:t>
      </w:r>
    </w:p>
    <w:p w14:paraId="796C2BFF">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6FC42654">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楷体" w:hAnsi="楷体" w:eastAsia="楷体" w:cs="楷体_GB2312"/>
          <w:sz w:val="32"/>
          <w:szCs w:val="32"/>
        </w:rPr>
      </w:pPr>
      <w:r>
        <w:rPr>
          <w:rFonts w:hint="eastAsia" w:ascii="楷体" w:hAnsi="楷体" w:eastAsia="楷体" w:cs="楷体_GB2312"/>
          <w:bCs/>
          <w:sz w:val="32"/>
          <w:szCs w:val="32"/>
        </w:rPr>
        <w:t>（一）自评的组织工作</w:t>
      </w:r>
    </w:p>
    <w:p w14:paraId="164A5C28">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仿宋" w:hAnsi="仿宋" w:eastAsia="仿宋"/>
          <w:sz w:val="32"/>
          <w:szCs w:val="32"/>
        </w:rPr>
      </w:pPr>
      <w:r>
        <w:rPr>
          <w:rFonts w:hint="eastAsia" w:ascii="仿宋_GB2312" w:eastAsia="仿宋_GB2312"/>
          <w:sz w:val="32"/>
          <w:szCs w:val="32"/>
        </w:rPr>
        <w:t>为保证绩效评价工作顺利开展，成立了绩效评价工作小组，负责绩效评价的组织管理和实施工作，工作组各成员按照任务分工和时间安排开展相关工作。</w:t>
      </w:r>
    </w:p>
    <w:p w14:paraId="10C6B7C5">
      <w:pPr>
        <w:keepNext w:val="0"/>
        <w:keepLines w:val="0"/>
        <w:pageBreakBefore w:val="0"/>
        <w:widowControl w:val="0"/>
        <w:numPr>
          <w:ilvl w:val="0"/>
          <w:numId w:val="2"/>
        </w:numPr>
        <w:kinsoku/>
        <w:wordWrap/>
        <w:overflowPunct/>
        <w:topLinePunct w:val="0"/>
        <w:autoSpaceDE/>
        <w:autoSpaceDN/>
        <w:bidi w:val="0"/>
        <w:spacing w:line="570" w:lineRule="exact"/>
        <w:ind w:left="0"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F2D1171">
      <w:pPr>
        <w:keepNext w:val="0"/>
        <w:keepLines w:val="0"/>
        <w:pageBreakBefore w:val="0"/>
        <w:widowControl w:val="0"/>
        <w:kinsoku/>
        <w:wordWrap/>
        <w:overflowPunct/>
        <w:topLinePunct w:val="0"/>
        <w:autoSpaceDE/>
        <w:autoSpaceDN/>
        <w:bidi w:val="0"/>
        <w:snapToGrid w:val="0"/>
        <w:spacing w:line="570" w:lineRule="exact"/>
        <w:ind w:left="0" w:firstLine="640" w:firstLineChars="200"/>
        <w:textAlignment w:val="auto"/>
        <w:rPr>
          <w:rFonts w:hint="eastAsia"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为提高自评结果的客观公正性，本着科学规范、客观公正、注重实效的原则，院办公室对部门整体支出绩效自评工作进行了部署，明确了绩效自评的办法、步骤，对自评工作提出了明确要求。财务室与相关科室按照自评方案要求，做好数据收集、现场核查、满意度调查等相关工作，积极提供整体支出绩效自评材料，确保按时完成绩效自评工作。</w:t>
      </w:r>
    </w:p>
    <w:p w14:paraId="292BFB93">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317779E6">
      <w:pPr>
        <w:keepNext w:val="0"/>
        <w:keepLines w:val="0"/>
        <w:pageBreakBefore w:val="0"/>
        <w:widowControl w:val="0"/>
        <w:numPr>
          <w:ilvl w:val="0"/>
          <w:numId w:val="3"/>
        </w:numPr>
        <w:kinsoku/>
        <w:wordWrap/>
        <w:overflowPunct/>
        <w:topLinePunct w:val="0"/>
        <w:autoSpaceDE/>
        <w:autoSpaceDN/>
        <w:bidi w:val="0"/>
        <w:spacing w:line="570" w:lineRule="exact"/>
        <w:ind w:left="0"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1F2955C8">
      <w:pPr>
        <w:keepNext w:val="0"/>
        <w:keepLines w:val="0"/>
        <w:pageBreakBefore w:val="0"/>
        <w:widowControl w:val="0"/>
        <w:kinsoku/>
        <w:wordWrap/>
        <w:overflowPunct/>
        <w:topLinePunct w:val="0"/>
        <w:autoSpaceDE/>
        <w:autoSpaceDN/>
        <w:bidi w:val="0"/>
        <w:snapToGrid w:val="0"/>
        <w:spacing w:line="570" w:lineRule="exact"/>
        <w:ind w:left="0" w:firstLine="640" w:firstLineChars="200"/>
        <w:textAlignment w:val="auto"/>
        <w:rPr>
          <w:rFonts w:ascii="仿宋" w:hAnsi="仿宋" w:eastAsia="仿宋"/>
          <w:sz w:val="32"/>
          <w:szCs w:val="32"/>
        </w:rPr>
      </w:pPr>
      <w:r>
        <w:rPr>
          <w:rFonts w:hint="eastAsia" w:ascii="仿宋" w:hAnsi="仿宋" w:eastAsia="仿宋" w:cs="仿宋"/>
          <w:sz w:val="32"/>
          <w:szCs w:val="32"/>
        </w:rPr>
        <w:t>在县委和上级院坚强领导下，在县人大及其常委会有力监督下，在县政府、县政协和社会各界关心支持下，始终坚持以习近平新时代中国特色社会主义思想为指导，深入贯彻党的二十大精神，全面贯彻习近平法治思想，坚持为大局服务、为人民司法、为法治担当，深耕法律监督主责主业，各项检察工作取得新进展。</w:t>
      </w:r>
    </w:p>
    <w:p w14:paraId="4073F8F9">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54B618EE">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sz w:val="32"/>
          <w:szCs w:val="32"/>
          <w:lang w:eastAsia="zh-CN"/>
        </w:rPr>
      </w:pPr>
      <w:r>
        <w:rPr>
          <w:rFonts w:hint="eastAsia" w:ascii="仿宋" w:hAnsi="仿宋" w:eastAsia="仿宋"/>
          <w:sz w:val="32"/>
          <w:szCs w:val="32"/>
          <w:lang w:val="en-US" w:eastAsia="zh-CN"/>
        </w:rPr>
        <w:t>我院</w:t>
      </w:r>
      <w:r>
        <w:rPr>
          <w:rFonts w:hint="eastAsia" w:ascii="仿宋" w:hAnsi="仿宋" w:eastAsia="仿宋"/>
          <w:sz w:val="32"/>
          <w:szCs w:val="32"/>
        </w:rPr>
        <w:t>各项项目立项规范、绩效目标合理、绩效指标明确。</w:t>
      </w:r>
      <w:r>
        <w:rPr>
          <w:rFonts w:hint="eastAsia" w:ascii="仿宋" w:hAnsi="仿宋" w:eastAsia="仿宋"/>
          <w:sz w:val="32"/>
          <w:szCs w:val="32"/>
          <w:lang w:eastAsia="zh-CN"/>
        </w:rPr>
        <w:t>2024</w:t>
      </w:r>
      <w:r>
        <w:rPr>
          <w:rFonts w:hint="eastAsia" w:ascii="仿宋" w:hAnsi="仿宋" w:eastAsia="仿宋"/>
          <w:sz w:val="32"/>
          <w:szCs w:val="32"/>
        </w:rPr>
        <w:t>年</w:t>
      </w:r>
      <w:r>
        <w:rPr>
          <w:rFonts w:hint="eastAsia" w:ascii="仿宋" w:hAnsi="仿宋" w:eastAsia="仿宋"/>
          <w:sz w:val="32"/>
          <w:szCs w:val="32"/>
          <w:lang w:val="en-US" w:eastAsia="zh-CN"/>
        </w:rPr>
        <w:t>专项</w:t>
      </w:r>
      <w:r>
        <w:rPr>
          <w:rFonts w:hint="eastAsia" w:ascii="仿宋" w:hAnsi="仿宋" w:eastAsia="仿宋"/>
          <w:sz w:val="32"/>
          <w:szCs w:val="32"/>
        </w:rPr>
        <w:t>项目共计</w:t>
      </w:r>
      <w:r>
        <w:rPr>
          <w:rFonts w:hint="eastAsia" w:ascii="仿宋" w:hAnsi="仿宋" w:eastAsia="仿宋"/>
          <w:sz w:val="32"/>
          <w:szCs w:val="32"/>
          <w:lang w:val="en-US" w:eastAsia="zh-CN"/>
        </w:rPr>
        <w:t>12</w:t>
      </w:r>
      <w:r>
        <w:rPr>
          <w:rFonts w:hint="eastAsia" w:ascii="仿宋" w:hAnsi="仿宋" w:eastAsia="仿宋"/>
          <w:sz w:val="32"/>
          <w:szCs w:val="32"/>
        </w:rPr>
        <w:t>个，预算金额</w:t>
      </w:r>
      <w:r>
        <w:rPr>
          <w:rFonts w:hint="eastAsia" w:ascii="仿宋" w:hAnsi="仿宋" w:eastAsia="仿宋"/>
          <w:sz w:val="32"/>
          <w:szCs w:val="32"/>
          <w:lang w:val="en-US" w:eastAsia="zh-CN"/>
        </w:rPr>
        <w:t>363.57</w:t>
      </w:r>
      <w:r>
        <w:rPr>
          <w:rFonts w:hint="eastAsia" w:ascii="仿宋" w:hAnsi="仿宋" w:eastAsia="仿宋"/>
          <w:sz w:val="32"/>
          <w:szCs w:val="32"/>
        </w:rPr>
        <w:t>万元，</w:t>
      </w:r>
      <w:r>
        <w:rPr>
          <w:rFonts w:hint="eastAsia" w:ascii="仿宋" w:hAnsi="仿宋" w:eastAsia="仿宋"/>
          <w:sz w:val="32"/>
          <w:szCs w:val="32"/>
          <w:lang w:val="en-US" w:eastAsia="zh-CN"/>
        </w:rPr>
        <w:t>执行361.67</w:t>
      </w:r>
      <w:r>
        <w:rPr>
          <w:rFonts w:hint="eastAsia" w:ascii="仿宋" w:hAnsi="仿宋" w:eastAsia="仿宋"/>
          <w:sz w:val="32"/>
          <w:szCs w:val="32"/>
        </w:rPr>
        <w:t>向财政部门交回资金</w:t>
      </w:r>
      <w:r>
        <w:rPr>
          <w:rFonts w:hint="eastAsia" w:ascii="仿宋" w:hAnsi="仿宋" w:eastAsia="仿宋"/>
          <w:sz w:val="32"/>
          <w:szCs w:val="32"/>
          <w:lang w:val="en-US" w:eastAsia="zh-CN"/>
        </w:rPr>
        <w:t>1.9</w:t>
      </w:r>
      <w:r>
        <w:rPr>
          <w:rFonts w:hint="eastAsia" w:ascii="仿宋" w:hAnsi="仿宋" w:eastAsia="仿宋"/>
          <w:sz w:val="32"/>
          <w:szCs w:val="32"/>
        </w:rPr>
        <w:t>万元。制定目标基本实现，部分预算项目执行不到位的原因为：年初预算编制不够细致，业务费根据检察业务办理情况支出。</w:t>
      </w:r>
    </w:p>
    <w:p w14:paraId="6B12A189">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bookmarkStart w:id="0" w:name="_GoBack"/>
      <w:bookmarkEnd w:id="0"/>
    </w:p>
    <w:p w14:paraId="70AB1923">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hint="eastAsia" w:ascii="仿宋_GB2312" w:hAnsi="仿宋" w:eastAsia="仿宋_GB2312" w:cs="仿宋"/>
          <w:sz w:val="32"/>
          <w:szCs w:val="32"/>
        </w:rPr>
      </w:pPr>
      <w:r>
        <w:rPr>
          <w:rFonts w:hint="eastAsia" w:ascii="仿宋_GB2312" w:hAnsi="仿宋" w:eastAsia="仿宋_GB2312" w:cs="仿宋"/>
          <w:sz w:val="32"/>
          <w:szCs w:val="32"/>
        </w:rPr>
        <w:t>我院积极履职，通过加强预算收支管理，不断梳理内部管理流程，建立健全内部管理制度，部门整体支出管理水平得到提升。经自评，</w:t>
      </w:r>
      <w:r>
        <w:rPr>
          <w:rFonts w:hint="eastAsia" w:ascii="仿宋_GB2312" w:hAnsi="仿宋" w:eastAsia="仿宋_GB2312" w:cs="仿宋"/>
          <w:sz w:val="32"/>
          <w:szCs w:val="32"/>
          <w:lang w:val="en-US" w:eastAsia="zh-CN"/>
        </w:rPr>
        <w:t>12</w:t>
      </w:r>
      <w:r>
        <w:rPr>
          <w:rFonts w:hint="eastAsia" w:ascii="仿宋_GB2312" w:hAnsi="仿宋" w:eastAsia="仿宋_GB2312" w:cs="仿宋"/>
          <w:sz w:val="32"/>
          <w:szCs w:val="32"/>
        </w:rPr>
        <w:t>个</w:t>
      </w:r>
      <w:r>
        <w:rPr>
          <w:rFonts w:hint="eastAsia" w:ascii="仿宋_GB2312" w:hAnsi="仿宋" w:eastAsia="仿宋_GB2312" w:cs="仿宋"/>
          <w:sz w:val="32"/>
          <w:szCs w:val="32"/>
          <w:lang w:val="en-US" w:eastAsia="zh-CN"/>
        </w:rPr>
        <w:t>专项</w:t>
      </w:r>
      <w:r>
        <w:rPr>
          <w:rFonts w:hint="eastAsia" w:ascii="仿宋_GB2312" w:hAnsi="仿宋" w:eastAsia="仿宋_GB2312" w:cs="仿宋"/>
          <w:sz w:val="32"/>
          <w:szCs w:val="32"/>
        </w:rPr>
        <w:t>项目自评得分均在90分以上，</w:t>
      </w:r>
      <w:r>
        <w:rPr>
          <w:rFonts w:hint="eastAsia" w:ascii="仿宋_GB2312" w:hAnsi="仿宋" w:eastAsia="仿宋_GB2312" w:cs="仿宋"/>
          <w:sz w:val="32"/>
          <w:szCs w:val="32"/>
          <w:lang w:eastAsia="zh-CN"/>
        </w:rPr>
        <w:t>2024</w:t>
      </w:r>
      <w:r>
        <w:rPr>
          <w:rFonts w:hint="eastAsia" w:ascii="仿宋_GB2312" w:hAnsi="仿宋" w:eastAsia="仿宋_GB2312" w:cs="仿宋"/>
          <w:sz w:val="32"/>
          <w:szCs w:val="32"/>
        </w:rPr>
        <w:t>年我院较好的完成了年度工作目标，综合评价等级为“优秀”。</w:t>
      </w:r>
    </w:p>
    <w:p w14:paraId="336C702C">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14:paraId="5CCDDD7F">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楷体" w:hAnsi="楷体" w:eastAsia="楷体"/>
          <w:bCs/>
          <w:sz w:val="32"/>
          <w:szCs w:val="32"/>
        </w:rPr>
      </w:pPr>
      <w:r>
        <w:rPr>
          <w:rFonts w:hint="eastAsia" w:ascii="楷体" w:hAnsi="楷体" w:eastAsia="楷体"/>
          <w:bCs/>
          <w:sz w:val="32"/>
          <w:szCs w:val="32"/>
        </w:rPr>
        <w:t>（一）存在的主要问题</w:t>
      </w:r>
    </w:p>
    <w:p w14:paraId="6E4CFD04">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楷体" w:hAnsi="楷体" w:eastAsia="楷体"/>
          <w:bCs/>
          <w:sz w:val="32"/>
          <w:szCs w:val="32"/>
        </w:rPr>
      </w:pPr>
      <w:r>
        <w:rPr>
          <w:rFonts w:hint="eastAsia" w:ascii="仿宋_GB2312" w:hAnsi="仿宋" w:eastAsia="仿宋_GB2312" w:cs="仿宋"/>
          <w:sz w:val="32"/>
          <w:szCs w:val="32"/>
        </w:rPr>
        <w:t>从自评情况看，有关项目总体立项规范，绩效目标明确，预算编制较为合理，预算执行及时有效，资金及时到位，绩效目标得到较好实现，部门履职水平不断提高，但也存在部分项目产出指标低于预期、项目实施进展慢等问题。</w:t>
      </w:r>
    </w:p>
    <w:p w14:paraId="2AB49352">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楷体" w:hAnsi="楷体" w:eastAsia="楷体"/>
          <w:bCs/>
          <w:sz w:val="32"/>
          <w:szCs w:val="32"/>
        </w:rPr>
      </w:pPr>
      <w:r>
        <w:rPr>
          <w:rFonts w:hint="eastAsia" w:ascii="楷体" w:hAnsi="楷体" w:eastAsia="楷体"/>
          <w:bCs/>
          <w:sz w:val="32"/>
          <w:szCs w:val="32"/>
        </w:rPr>
        <w:t>（二）针对问题提出具体的改进措施或建议</w:t>
      </w:r>
    </w:p>
    <w:p w14:paraId="6FCDDC85">
      <w:pPr>
        <w:keepNext w:val="0"/>
        <w:keepLines w:val="0"/>
        <w:pageBreakBefore w:val="0"/>
        <w:widowControl w:val="0"/>
        <w:kinsoku/>
        <w:wordWrap/>
        <w:overflowPunct/>
        <w:topLinePunct w:val="0"/>
        <w:autoSpaceDE/>
        <w:autoSpaceDN/>
        <w:bidi w:val="0"/>
        <w:spacing w:line="570" w:lineRule="exact"/>
        <w:ind w:left="0" w:firstLine="640" w:firstLineChars="200"/>
        <w:textAlignment w:val="auto"/>
        <w:rPr>
          <w:rFonts w:ascii="仿宋_GB2312" w:hAnsi="仿宋" w:eastAsia="仿宋_GB2312" w:cs="仿宋"/>
          <w:sz w:val="32"/>
          <w:szCs w:val="32"/>
        </w:rPr>
      </w:pPr>
      <w:r>
        <w:rPr>
          <w:rFonts w:hint="eastAsia" w:ascii="仿宋_GB2312" w:hAnsi="仿宋" w:eastAsia="仿宋_GB2312" w:cs="仿宋"/>
          <w:sz w:val="32"/>
          <w:szCs w:val="32"/>
        </w:rPr>
        <w:t>1.强化绩效目标管理工作。充分挖掘项目实施的价值和意义，根据项目实际情况设置完善的绩效目标，做到绩效目标针对项目特点清晰明确且细化，有量化的绩效指标且能清晰反映绩效可实现程度，绩效目标依据充分。做好绩效监控管理工作，建立监控制度，确保绩效目标如期实现。</w:t>
      </w:r>
    </w:p>
    <w:p w14:paraId="2976EA11">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hint="eastAsia" w:ascii="仿宋_GB2312" w:hAnsi="仿宋" w:eastAsia="仿宋_GB2312" w:cs="仿宋"/>
          <w:sz w:val="32"/>
          <w:szCs w:val="32"/>
          <w:lang w:val="en-US" w:eastAsia="zh-CN"/>
        </w:rPr>
      </w:pPr>
      <w:r>
        <w:rPr>
          <w:rFonts w:hint="eastAsia" w:ascii="仿宋_GB2312" w:hAnsi="仿宋" w:eastAsia="仿宋_GB2312" w:cs="仿宋"/>
          <w:sz w:val="32"/>
          <w:szCs w:val="32"/>
        </w:rPr>
        <w:t>2.</w:t>
      </w:r>
      <w:r>
        <w:rPr>
          <w:rFonts w:hint="eastAsia" w:ascii="仿宋_GB2312" w:hAnsi="仿宋" w:eastAsia="仿宋_GB2312" w:cs="仿宋"/>
          <w:sz w:val="32"/>
          <w:szCs w:val="32"/>
          <w:lang w:val="en-US" w:eastAsia="zh-CN"/>
        </w:rPr>
        <w:t>加强预算管理工作。提早谋划论证项目，合理安排年度支出计划，将预算编制细致化、合理化，开展好各项业务工作，保证项目资金有效、合规的使用。</w:t>
      </w:r>
    </w:p>
    <w:p w14:paraId="5235A80D">
      <w:pPr>
        <w:keepNext w:val="0"/>
        <w:keepLines w:val="0"/>
        <w:pageBreakBefore w:val="0"/>
        <w:widowControl w:val="0"/>
        <w:kinsoku/>
        <w:wordWrap/>
        <w:overflowPunct/>
        <w:topLinePunct w:val="0"/>
        <w:autoSpaceDE/>
        <w:autoSpaceDN/>
        <w:bidi w:val="0"/>
        <w:adjustRightInd w:val="0"/>
        <w:snapToGrid w:val="0"/>
        <w:spacing w:line="570" w:lineRule="exact"/>
        <w:ind w:left="0" w:firstLine="640" w:firstLineChars="200"/>
        <w:textAlignment w:val="auto"/>
        <w:rPr>
          <w:rFonts w:ascii="仿宋" w:hAnsi="仿宋" w:eastAsia="仿宋"/>
        </w:rPr>
      </w:pPr>
      <w:r>
        <w:rPr>
          <w:rFonts w:hint="eastAsia" w:ascii="仿宋_GB2312" w:hAnsi="仿宋" w:eastAsia="仿宋_GB2312" w:cs="仿宋"/>
          <w:sz w:val="32"/>
          <w:szCs w:val="32"/>
          <w:lang w:val="en-US" w:eastAsia="zh-CN"/>
        </w:rPr>
        <w:t>3.</w:t>
      </w:r>
      <w:r>
        <w:rPr>
          <w:rFonts w:hint="eastAsia" w:ascii="仿宋_GB2312" w:hAnsi="仿宋" w:eastAsia="仿宋_GB2312" w:cs="仿宋"/>
          <w:sz w:val="32"/>
          <w:szCs w:val="32"/>
        </w:rPr>
        <w:t>多措并举提升预算执行率。建议相关内设机构年初应制定较为详细的资金使用明细和计划，有效保障下一年度的资金使用和项目实施，采取项目事前评估或其他方式对项目执行过程中可能发生的问题进行预测，有的放矢的采取相关措施保障计划顺利实施。</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Arial Unicode MS">
    <w:altName w:val="Arial"/>
    <w:panose1 w:val="020B0604020202020204"/>
    <w:charset w:val="00"/>
    <w:family w:val="roman"/>
    <w:pitch w:val="default"/>
    <w:sig w:usb0="00000000" w:usb1="00000000" w:usb2="00000000" w:usb3="00000000" w:csb0="00000001" w:csb1="00000000"/>
  </w:font>
  <w:font w:name="华文楷体">
    <w:altName w:val="宋体"/>
    <w:panose1 w:val="00000000000000000000"/>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D72905">
    <w:pPr>
      <w:pStyle w:val="8"/>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7156420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- 9 -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B5988C0"/>
    <w:multiLevelType w:val="singleLevel"/>
    <w:tmpl w:val="5B5988C0"/>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WJhZDY5YWYzMWQwNjFlZjEwMjVkMmZlMzgzM2MyMzgifQ=="/>
  </w:docVars>
  <w:rsids>
    <w:rsidRoot w:val="0EBD2122"/>
    <w:rsid w:val="000B0260"/>
    <w:rsid w:val="001E42D0"/>
    <w:rsid w:val="007E6C1F"/>
    <w:rsid w:val="00822988"/>
    <w:rsid w:val="00956A93"/>
    <w:rsid w:val="009E575C"/>
    <w:rsid w:val="00A057F2"/>
    <w:rsid w:val="00AF167E"/>
    <w:rsid w:val="00AF566A"/>
    <w:rsid w:val="00B16824"/>
    <w:rsid w:val="00B478EA"/>
    <w:rsid w:val="00B6553A"/>
    <w:rsid w:val="00BC6576"/>
    <w:rsid w:val="00BD2326"/>
    <w:rsid w:val="00C14935"/>
    <w:rsid w:val="00CE06BA"/>
    <w:rsid w:val="00F441CC"/>
    <w:rsid w:val="01B104CA"/>
    <w:rsid w:val="02106AB0"/>
    <w:rsid w:val="027E1629"/>
    <w:rsid w:val="02B43A28"/>
    <w:rsid w:val="046F331E"/>
    <w:rsid w:val="07956271"/>
    <w:rsid w:val="08701A83"/>
    <w:rsid w:val="08CB0CA3"/>
    <w:rsid w:val="09721397"/>
    <w:rsid w:val="0BB63BED"/>
    <w:rsid w:val="0D057B8A"/>
    <w:rsid w:val="0EB97A43"/>
    <w:rsid w:val="0EBD2122"/>
    <w:rsid w:val="0F214EAE"/>
    <w:rsid w:val="0F5C2254"/>
    <w:rsid w:val="0F895D35"/>
    <w:rsid w:val="11B71E6A"/>
    <w:rsid w:val="19DF61CD"/>
    <w:rsid w:val="1AAF0063"/>
    <w:rsid w:val="1BAD383E"/>
    <w:rsid w:val="1BE140DE"/>
    <w:rsid w:val="1D012A8E"/>
    <w:rsid w:val="1D6C4396"/>
    <w:rsid w:val="1E67397F"/>
    <w:rsid w:val="1F5E5F07"/>
    <w:rsid w:val="2166013C"/>
    <w:rsid w:val="227A6AB2"/>
    <w:rsid w:val="22B36282"/>
    <w:rsid w:val="23EC5B19"/>
    <w:rsid w:val="248C197D"/>
    <w:rsid w:val="252959AF"/>
    <w:rsid w:val="25356EBA"/>
    <w:rsid w:val="25396922"/>
    <w:rsid w:val="26D74727"/>
    <w:rsid w:val="277A6671"/>
    <w:rsid w:val="292D35B7"/>
    <w:rsid w:val="2DDF4725"/>
    <w:rsid w:val="2EBB03BE"/>
    <w:rsid w:val="31690E36"/>
    <w:rsid w:val="32E15811"/>
    <w:rsid w:val="33EB6CFF"/>
    <w:rsid w:val="347C6BED"/>
    <w:rsid w:val="35A12947"/>
    <w:rsid w:val="37387040"/>
    <w:rsid w:val="379052E2"/>
    <w:rsid w:val="3B625C0A"/>
    <w:rsid w:val="3CEE1963"/>
    <w:rsid w:val="3F124329"/>
    <w:rsid w:val="40442B0E"/>
    <w:rsid w:val="40C15F43"/>
    <w:rsid w:val="41EF49BA"/>
    <w:rsid w:val="42C91206"/>
    <w:rsid w:val="4360224A"/>
    <w:rsid w:val="452B4F9F"/>
    <w:rsid w:val="45C5310D"/>
    <w:rsid w:val="46C119B5"/>
    <w:rsid w:val="476D49F6"/>
    <w:rsid w:val="48887F91"/>
    <w:rsid w:val="48BD40AE"/>
    <w:rsid w:val="48CF1781"/>
    <w:rsid w:val="492367A5"/>
    <w:rsid w:val="49401D23"/>
    <w:rsid w:val="4AB40230"/>
    <w:rsid w:val="4C6E6F3A"/>
    <w:rsid w:val="4C9C27FE"/>
    <w:rsid w:val="4FBB7FCB"/>
    <w:rsid w:val="4FF9AD8B"/>
    <w:rsid w:val="512260B4"/>
    <w:rsid w:val="526A35DE"/>
    <w:rsid w:val="52BD6ACB"/>
    <w:rsid w:val="55537534"/>
    <w:rsid w:val="561A74F1"/>
    <w:rsid w:val="56E23E5A"/>
    <w:rsid w:val="580053C4"/>
    <w:rsid w:val="597244E8"/>
    <w:rsid w:val="5DC9601D"/>
    <w:rsid w:val="5EB23665"/>
    <w:rsid w:val="5EB71C30"/>
    <w:rsid w:val="60500B4A"/>
    <w:rsid w:val="61C21026"/>
    <w:rsid w:val="625937AE"/>
    <w:rsid w:val="660F205A"/>
    <w:rsid w:val="66AF0CE5"/>
    <w:rsid w:val="679F5526"/>
    <w:rsid w:val="68A17CCD"/>
    <w:rsid w:val="6AC537CF"/>
    <w:rsid w:val="6CA74F3F"/>
    <w:rsid w:val="6E5B14A6"/>
    <w:rsid w:val="711B255E"/>
    <w:rsid w:val="73183C38"/>
    <w:rsid w:val="758B44AF"/>
    <w:rsid w:val="762D4F9F"/>
    <w:rsid w:val="77CD7725"/>
    <w:rsid w:val="78C80339"/>
    <w:rsid w:val="79451751"/>
    <w:rsid w:val="7A750C8E"/>
    <w:rsid w:val="7BB51E06"/>
    <w:rsid w:val="7C387F7C"/>
    <w:rsid w:val="7E407851"/>
    <w:rsid w:val="7F693F0E"/>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jc w:val="center"/>
    </w:pPr>
    <w:rPr>
      <w:rFonts w:ascii="宋体"/>
      <w:b/>
      <w:sz w:val="44"/>
    </w:rPr>
  </w:style>
  <w:style w:type="paragraph" w:customStyle="1" w:styleId="3">
    <w:name w:val="正文部分 Char Char Char"/>
    <w:basedOn w:val="2"/>
    <w:next w:val="4"/>
    <w:qFormat/>
    <w:uiPriority w:val="0"/>
    <w:pPr>
      <w:adjustRightInd w:val="0"/>
      <w:spacing w:line="460" w:lineRule="exact"/>
      <w:textAlignment w:val="baseline"/>
    </w:pPr>
    <w:rPr>
      <w:rFonts w:hAnsi="Calibri"/>
      <w:sz w:val="24"/>
    </w:rPr>
  </w:style>
  <w:style w:type="paragraph" w:customStyle="1" w:styleId="4">
    <w:name w:val="章标题"/>
    <w:basedOn w:val="5"/>
    <w:qFormat/>
    <w:uiPriority w:val="0"/>
    <w:pPr>
      <w:spacing w:line="360" w:lineRule="auto"/>
    </w:pPr>
  </w:style>
  <w:style w:type="paragraph" w:styleId="5">
    <w:name w:val="Title"/>
    <w:basedOn w:val="1"/>
    <w:next w:val="1"/>
    <w:qFormat/>
    <w:uiPriority w:val="0"/>
    <w:pPr>
      <w:spacing w:before="240" w:after="60"/>
      <w:jc w:val="center"/>
      <w:outlineLvl w:val="0"/>
    </w:pPr>
    <w:rPr>
      <w:rFonts w:ascii="Cambria" w:hAnsi="Cambria"/>
      <w:b/>
      <w:bCs/>
      <w:kern w:val="0"/>
      <w:sz w:val="32"/>
      <w:szCs w:val="32"/>
    </w:rPr>
  </w:style>
  <w:style w:type="paragraph" w:styleId="6">
    <w:name w:val="Body Text Indent"/>
    <w:basedOn w:val="1"/>
    <w:next w:val="2"/>
    <w:qFormat/>
    <w:uiPriority w:val="0"/>
    <w:pPr>
      <w:ind w:left="420" w:leftChars="200"/>
    </w:pPr>
  </w:style>
  <w:style w:type="paragraph" w:styleId="7">
    <w:name w:val="Plain Text"/>
    <w:basedOn w:val="1"/>
    <w:qFormat/>
    <w:uiPriority w:val="0"/>
    <w:pPr>
      <w:spacing w:line="560" w:lineRule="exact"/>
    </w:pPr>
    <w:rPr>
      <w:rFonts w:ascii="Times New Roman" w:hAnsi="Times New Roman" w:eastAsia="仿宋_GB2312" w:cs="Times New Roman"/>
      <w:color w:val="000000"/>
      <w:sz w:val="32"/>
      <w:szCs w:val="32"/>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10">
    <w:name w:val="Body Text First Indent"/>
    <w:basedOn w:val="2"/>
    <w:qFormat/>
    <w:uiPriority w:val="0"/>
    <w:pPr>
      <w:ind w:firstLine="420" w:firstLineChars="100"/>
    </w:pPr>
  </w:style>
  <w:style w:type="paragraph" w:styleId="11">
    <w:name w:val="Body Text First Indent 2"/>
    <w:basedOn w:val="6"/>
    <w:next w:val="1"/>
    <w:qFormat/>
    <w:uiPriority w:val="0"/>
    <w:pPr>
      <w:ind w:left="200" w:firstLine="420" w:firstLineChars="200"/>
    </w:pPr>
    <w:rPr>
      <w:rFonts w:ascii="Times New Roman"/>
    </w:rPr>
  </w:style>
  <w:style w:type="paragraph" w:customStyle="1" w:styleId="14">
    <w:name w:val="插入文本样式-插入部门职责文件"/>
    <w:basedOn w:val="1"/>
    <w:qFormat/>
    <w:uiPriority w:val="0"/>
    <w:pPr>
      <w:spacing w:line="500" w:lineRule="exact"/>
      <w:ind w:firstLine="560"/>
    </w:pPr>
    <w:rPr>
      <w:rFonts w:eastAsia="方正仿宋_GBK"/>
      <w:sz w:val="28"/>
    </w:rPr>
  </w:style>
  <w:style w:type="paragraph" w:customStyle="1" w:styleId="15">
    <w:name w:val="插入文本样式-插入总体目标文件"/>
    <w:basedOn w:val="1"/>
    <w:qFormat/>
    <w:uiPriority w:val="0"/>
    <w:pPr>
      <w:spacing w:line="500" w:lineRule="exact"/>
      <w:ind w:firstLine="560"/>
    </w:pPr>
    <w:rPr>
      <w:rFonts w:eastAsia="方正仿宋_GBK"/>
      <w:sz w:val="28"/>
    </w:rPr>
  </w:style>
  <w:style w:type="paragraph" w:customStyle="1" w:styleId="16">
    <w:name w:val="插入文本样式-插入职责分类绩效目标文件"/>
    <w:basedOn w:val="1"/>
    <w:qFormat/>
    <w:uiPriority w:val="0"/>
    <w:pPr>
      <w:spacing w:line="500" w:lineRule="exact"/>
      <w:ind w:firstLine="560"/>
    </w:pPr>
    <w:rPr>
      <w:rFonts w:eastAsia="方正仿宋_GBK"/>
      <w:sz w:val="28"/>
    </w:rPr>
  </w:style>
  <w:style w:type="character" w:customStyle="1" w:styleId="17">
    <w:name w:val="font91"/>
    <w:basedOn w:val="13"/>
    <w:qFormat/>
    <w:uiPriority w:val="0"/>
    <w:rPr>
      <w:rFonts w:hint="eastAsia" w:ascii="宋体" w:hAnsi="宋体" w:eastAsia="宋体" w:cs="宋体"/>
      <w:color w:val="000000"/>
      <w:sz w:val="16"/>
      <w:szCs w:val="16"/>
      <w:u w:val="none"/>
    </w:rPr>
  </w:style>
  <w:style w:type="character" w:customStyle="1" w:styleId="18">
    <w:name w:val="font11"/>
    <w:basedOn w:val="13"/>
    <w:qFormat/>
    <w:uiPriority w:val="0"/>
    <w:rPr>
      <w:rFonts w:ascii="Calibri" w:hAnsi="Calibri" w:cs="Calibri"/>
      <w:color w:val="000000"/>
      <w:sz w:val="16"/>
      <w:szCs w:val="16"/>
      <w:u w:val="none"/>
    </w:rPr>
  </w:style>
  <w:style w:type="character" w:customStyle="1" w:styleId="19">
    <w:name w:val="font41"/>
    <w:basedOn w:val="13"/>
    <w:qFormat/>
    <w:uiPriority w:val="0"/>
    <w:rPr>
      <w:rFonts w:ascii="Arial Unicode MS" w:hAnsi="Arial Unicode MS" w:eastAsia="Arial Unicode MS" w:cs="Arial Unicode MS"/>
      <w:color w:val="000000"/>
      <w:sz w:val="16"/>
      <w:szCs w:val="16"/>
      <w:u w:val="none"/>
    </w:rPr>
  </w:style>
  <w:style w:type="character" w:customStyle="1" w:styleId="20">
    <w:name w:val="font31"/>
    <w:basedOn w:val="13"/>
    <w:qFormat/>
    <w:uiPriority w:val="0"/>
    <w:rPr>
      <w:rFonts w:hint="default" w:ascii="Calibri" w:hAnsi="Calibri" w:cs="Calibri"/>
      <w:color w:val="000000"/>
      <w:sz w:val="16"/>
      <w:szCs w:val="16"/>
      <w:u w:val="none"/>
    </w:rPr>
  </w:style>
  <w:style w:type="character" w:customStyle="1" w:styleId="21">
    <w:name w:val="font112"/>
    <w:basedOn w:val="13"/>
    <w:qFormat/>
    <w:uiPriority w:val="0"/>
    <w:rPr>
      <w:rFonts w:hint="default" w:ascii="Arial Unicode MS" w:hAnsi="Arial Unicode MS" w:eastAsia="Arial Unicode MS" w:cs="Arial Unicode MS"/>
      <w:color w:val="000000"/>
      <w:sz w:val="16"/>
      <w:szCs w:val="16"/>
      <w:u w:val="none"/>
    </w:rPr>
  </w:style>
  <w:style w:type="character" w:customStyle="1" w:styleId="22">
    <w:name w:val="font101"/>
    <w:basedOn w:val="13"/>
    <w:qFormat/>
    <w:uiPriority w:val="0"/>
    <w:rPr>
      <w:rFonts w:ascii="Calibri" w:hAnsi="Calibri" w:cs="Calibri"/>
      <w:color w:val="000000"/>
      <w:sz w:val="16"/>
      <w:szCs w:val="16"/>
      <w:u w:val="none"/>
    </w:rPr>
  </w:style>
  <w:style w:type="character" w:customStyle="1" w:styleId="23">
    <w:name w:val="font61"/>
    <w:basedOn w:val="13"/>
    <w:qFormat/>
    <w:uiPriority w:val="0"/>
    <w:rPr>
      <w:rFonts w:ascii="Arial Unicode MS" w:hAnsi="Arial Unicode MS" w:eastAsia="Arial Unicode MS" w:cs="Arial Unicode MS"/>
      <w:color w:val="000000"/>
      <w:sz w:val="16"/>
      <w:szCs w:val="16"/>
      <w:u w:val="none"/>
    </w:rPr>
  </w:style>
  <w:style w:type="character" w:customStyle="1" w:styleId="24">
    <w:name w:val="font51"/>
    <w:basedOn w:val="13"/>
    <w:qFormat/>
    <w:uiPriority w:val="0"/>
    <w:rPr>
      <w:rFonts w:hint="default" w:ascii="Calibri" w:hAnsi="Calibri" w:cs="Calibri"/>
      <w:color w:val="000000"/>
      <w:sz w:val="16"/>
      <w:szCs w:val="16"/>
      <w:u w:val="none"/>
    </w:rPr>
  </w:style>
  <w:style w:type="character" w:customStyle="1" w:styleId="25">
    <w:name w:val="font01"/>
    <w:basedOn w:val="13"/>
    <w:qFormat/>
    <w:uiPriority w:val="0"/>
    <w:rPr>
      <w:rFonts w:hint="default" w:ascii="Arial Unicode MS" w:hAnsi="Arial Unicode MS" w:eastAsia="Arial Unicode MS" w:cs="Arial Unicode MS"/>
      <w:color w:val="000000"/>
      <w:sz w:val="16"/>
      <w:szCs w:val="16"/>
      <w:u w:val="none"/>
    </w:rPr>
  </w:style>
  <w:style w:type="character" w:customStyle="1" w:styleId="26">
    <w:name w:val="font21"/>
    <w:basedOn w:val="13"/>
    <w:qFormat/>
    <w:uiPriority w:val="0"/>
    <w:rPr>
      <w:rFonts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3197</Words>
  <Characters>3378</Characters>
  <Lines>55</Lines>
  <Paragraphs>15</Paragraphs>
  <TotalTime>111</TotalTime>
  <ScaleCrop>false</ScaleCrop>
  <LinksUpToDate>false</LinksUpToDate>
  <CharactersWithSpaces>3383</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Administrator</cp:lastModifiedBy>
  <cp:lastPrinted>2025-04-29T02:13:00Z</cp:lastPrinted>
  <dcterms:modified xsi:type="dcterms:W3CDTF">2025-04-29T02:43:38Z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985B8AB31BE04FABB636CB9183E07B84_12</vt:lpwstr>
  </property>
</Properties>
</file>