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A2F3C6">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62250830">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晋州市人民检察院部门</w:t>
      </w:r>
    </w:p>
    <w:p w14:paraId="700A963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567184A">
      <w:pPr>
        <w:spacing w:line="560" w:lineRule="exact"/>
        <w:jc w:val="center"/>
        <w:rPr>
          <w:rFonts w:ascii="华文楷体" w:eastAsia="华文楷体"/>
          <w:sz w:val="32"/>
          <w:szCs w:val="32"/>
        </w:rPr>
      </w:pPr>
    </w:p>
    <w:p w14:paraId="23F4780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晋州市人民检察院2024</w:t>
      </w:r>
      <w:r>
        <w:rPr>
          <w:rFonts w:hint="eastAsia" w:ascii="仿宋" w:hAnsi="仿宋" w:eastAsia="仿宋"/>
          <w:sz w:val="32"/>
          <w:szCs w:val="32"/>
        </w:rPr>
        <w:t>年整体支出情况实施了财政支出绩效自评价，形成本评价报告。</w:t>
      </w:r>
    </w:p>
    <w:p w14:paraId="1CB10D6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A4846C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208CC03B">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1.部门职能</w:t>
      </w:r>
    </w:p>
    <w:p w14:paraId="233CA03B">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根据《晋州市人民检察院职能配置、内设机构和人员编制规定》，晋州市人民检察院的主要职责是：</w:t>
      </w:r>
    </w:p>
    <w:p w14:paraId="71423031">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（1）深入贯彻习近平新时代中国特色社会主义思想，深入贯彻党的路线方针和决策部署，坚持党对检察工作的绝对领导，坚决维护习近平总书记的核心地位，坚决维护党中央权威和集中统一领导。</w:t>
      </w:r>
    </w:p>
    <w:p w14:paraId="0908CCA4">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（2）依法向区人民代表大会及其常务委员会提出议案。</w:t>
      </w:r>
    </w:p>
    <w:p w14:paraId="43319B37">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（3）贯彻落实检察工作方针、总体规划，研究制定检察工作计划并组织实施。</w:t>
      </w:r>
    </w:p>
    <w:p w14:paraId="0AA8C6F6">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（4）依照法律规定对直接受理的刑事案件行使侦查权。</w:t>
      </w:r>
    </w:p>
    <w:p w14:paraId="1A15EEAF">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（5）负责对管辖的各类刑事案件依法审查批准逮捕、决定逮捕、提起公诉。</w:t>
      </w:r>
    </w:p>
    <w:p w14:paraId="796D4D34">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（6）负责应由本院承办的刑事、民事、行政诉讼活动及刑事、民事、行政判决和裁定等生效法律文书执行的法律监督工作。</w:t>
      </w:r>
    </w:p>
    <w:p w14:paraId="35CA4360">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（7）负责应由本院承办的提起公益诉讼工作。</w:t>
      </w:r>
    </w:p>
    <w:p w14:paraId="5146AA1E">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（8）依法受理核准追诉案件，审查是否上报。</w:t>
      </w:r>
    </w:p>
    <w:p w14:paraId="0C3B0E20">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（9）负责应由本院承办的对看守所、社区矫正等执法活动的法律监督工作。</w:t>
      </w:r>
    </w:p>
    <w:p w14:paraId="1EEAFC3C">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（10）受理向本院的控告申诉。</w:t>
      </w:r>
    </w:p>
    <w:p w14:paraId="3AAA4F56">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（11）组织检察工作中法律政策具体应用问题的研究；组织开展检察理论研究工作。</w:t>
      </w:r>
    </w:p>
    <w:p w14:paraId="7E01160B">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（12）负责检察人员思想政治教育和业务培训工作；按照权限管理检察官和其他工作人员。</w:t>
      </w:r>
    </w:p>
    <w:p w14:paraId="6C9D53C6">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（13）负责本院检务督察工作。</w:t>
      </w:r>
    </w:p>
    <w:p w14:paraId="14FF06E0">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（14）负责本院检务保障以及检察技术、信息化建设工作。</w:t>
      </w:r>
    </w:p>
    <w:p w14:paraId="2D714294">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（15）完成其他应当由本院负责的工作。</w:t>
      </w:r>
    </w:p>
    <w:p w14:paraId="3A8ECE56">
      <w:pPr>
        <w:pStyle w:val="8"/>
        <w:keepNext w:val="0"/>
        <w:keepLines w:val="0"/>
        <w:pageBreakBefore w:val="0"/>
        <w:widowControl w:val="0"/>
        <w:kinsoku/>
        <w:wordWrap/>
        <w:overflowPunct/>
        <w:topLinePunct w:val="0"/>
        <w:autoSpaceDE/>
        <w:autoSpaceDN/>
        <w:bidi w:val="0"/>
        <w:spacing w:line="560" w:lineRule="exact"/>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2.组织机构及人员情况</w:t>
      </w:r>
    </w:p>
    <w:p w14:paraId="5A0A05AC">
      <w:pPr>
        <w:pStyle w:val="8"/>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晋州市人民检察院设下列内设机构：</w:t>
      </w:r>
    </w:p>
    <w:p w14:paraId="7D022B4B">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办公室。负责日常政务、办理文电、会务、机要、文秘、档案、保密、检务公开等工作；协调督办上级重要工作、批办事项；负责人大代表联络及管理检务协作、经费资产、基础建设、科技装备、交通工具、接待、后勤服务、检察技术、信息化建设等工作。</w:t>
      </w:r>
    </w:p>
    <w:p w14:paraId="4D66E313">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一检察部。负责刑事犯罪及涉未成年人犯罪案件的审查逮捕、审查起诉，开展相关立案监督、侦查监督、审判监督及相关案件的补充侦查，办理相关刑事申诉案件；负责检察机关社会治安综合治理工作；开展未成年人司法保护和预防未成年人犯罪工作。</w:t>
      </w:r>
    </w:p>
    <w:p w14:paraId="52CA6B55">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二检察部。负责对申请监督和提请抗诉的民事、行政案件的审查、抗诉，对区人民法院民事、行政诉讼活动进行监督，对审判监督程序以外的其他民事、行政审判程序中审判人员的违法行为提出检察建议，对民事、行政执行活动实行法律监督。开展民事、行政支持起诉工作，办理民事、行政申诉案件；负责办理生态环境和资源保护、食品药品安全、国有财产保护、国有土地使用权出让等领域的行政公益诉讼案件，侵害英雄烈士姓名、肖像、名誉、荣誉的公益诉讼案件；负责对区人民法院开庭审理的公益诉讼案件派员出席法庭，依照有关规定提出检察建议。办理公益诉讼申诉案件。</w:t>
      </w:r>
    </w:p>
    <w:p w14:paraId="78DCAFE7">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三检察部。负责对看守所和社区矫正等执法活动监督，对法律规定的司法工作人员利用职权实施的非法拘禁、刑讯逼供、非法搜查等侵犯公民权利、损害司法公正犯罪的侦查。负责案件受理流转、办案流程监控、涉案财物监管、法律文书监管、案件信息公开、案件质量评查、业务考评和统计分析；负责人民监督员工作及业务应用系统的应用。负责检察调研及理论研究，司法体制改革综合协调工作；承办本院检察委员会日常工作。受理控告、申诉、信访；承办国家赔偿案件和国家司法救助案件；负责接待群众来访、处理群众来信（含电、网等）事项。</w:t>
      </w:r>
    </w:p>
    <w:p w14:paraId="13997727">
      <w:pPr>
        <w:pStyle w:val="8"/>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政治部（司法警察大队）。负责干部人事、教育培训、检察宣传、表彰奖励、舆情应对、党建群团、党风廉政、检务督察、离退休等工作。负责司法警务工作；负责提押、看管、送达等工作，配合检察监督事项。</w:t>
      </w:r>
    </w:p>
    <w:p w14:paraId="42DBD484">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政法专项编制47名，实有45名。设检察长1名，副检察长2名，政治部主任1名（副科长级），检察委员会专职委员2名（副科长级）；内设机构股级领导职数6正3副。</w:t>
      </w:r>
    </w:p>
    <w:p w14:paraId="7862E7A1">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3.资产情况</w:t>
      </w:r>
    </w:p>
    <w:p w14:paraId="6E3366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仿宋" w:hAnsi="仿宋" w:eastAsia="仿宋" w:cs="黑体"/>
          <w:kern w:val="2"/>
          <w:sz w:val="32"/>
          <w:szCs w:val="32"/>
          <w:lang w:val="en-US" w:eastAsia="zh-CN" w:bidi="ar-SA"/>
        </w:rPr>
        <w:t>2024年末资产总量原值为3342.59万元（其中固定资产原值3256.22万元，无形资产原值86.37万元），资产总量净值为2144.99万元（其中固定资产净值2066.22万元，无形资产净值78.77万元）。</w:t>
      </w:r>
    </w:p>
    <w:p w14:paraId="1DFD67F1">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ABC9E9A">
      <w:pPr>
        <w:numPr>
          <w:ilvl w:val="0"/>
          <w:numId w:val="0"/>
        </w:numPr>
        <w:adjustRightInd w:val="0"/>
        <w:snapToGrid w:val="0"/>
        <w:spacing w:line="560" w:lineRule="exact"/>
        <w:ind w:firstLine="640" w:firstLineChars="200"/>
        <w:rPr>
          <w:rFonts w:hint="default" w:ascii="仿宋_GB2312" w:hAnsi="仿宋" w:eastAsia="仿宋_GB2312" w:cs="仿宋"/>
          <w:color w:val="auto"/>
          <w:sz w:val="32"/>
          <w:szCs w:val="32"/>
          <w:lang w:val="en-US" w:eastAsia="zh-CN"/>
        </w:rPr>
      </w:pPr>
      <w:r>
        <w:rPr>
          <w:rFonts w:hint="eastAsia" w:ascii="仿宋_GB2312" w:hAnsi="仿宋" w:eastAsia="仿宋_GB2312" w:cs="仿宋"/>
          <w:color w:val="auto"/>
          <w:sz w:val="32"/>
          <w:szCs w:val="32"/>
        </w:rPr>
        <w:t>我院202</w:t>
      </w:r>
      <w:r>
        <w:rPr>
          <w:rFonts w:hint="eastAsia" w:ascii="仿宋_GB2312" w:hAnsi="仿宋" w:eastAsia="仿宋_GB2312" w:cs="仿宋"/>
          <w:color w:val="auto"/>
          <w:sz w:val="32"/>
          <w:szCs w:val="32"/>
          <w:lang w:val="en-US" w:eastAsia="zh-CN"/>
        </w:rPr>
        <w:t>4</w:t>
      </w:r>
      <w:r>
        <w:rPr>
          <w:rFonts w:hint="eastAsia" w:ascii="仿宋_GB2312" w:hAnsi="仿宋" w:eastAsia="仿宋_GB2312" w:cs="仿宋"/>
          <w:color w:val="auto"/>
          <w:sz w:val="32"/>
          <w:szCs w:val="32"/>
        </w:rPr>
        <w:t>年预算</w:t>
      </w:r>
      <w:r>
        <w:rPr>
          <w:rFonts w:hint="eastAsia" w:ascii="仿宋_GB2312" w:hAnsi="仿宋" w:eastAsia="仿宋_GB2312" w:cs="仿宋"/>
          <w:color w:val="auto"/>
          <w:sz w:val="32"/>
          <w:szCs w:val="32"/>
          <w:lang w:eastAsia="zh-CN"/>
        </w:rPr>
        <w:t>收入</w:t>
      </w:r>
      <w:r>
        <w:rPr>
          <w:rFonts w:hint="eastAsia" w:ascii="仿宋_GB2312" w:hAnsi="仿宋" w:eastAsia="仿宋_GB2312" w:cs="仿宋"/>
          <w:color w:val="auto"/>
          <w:sz w:val="32"/>
          <w:szCs w:val="32"/>
        </w:rPr>
        <w:t>为</w:t>
      </w:r>
      <w:r>
        <w:rPr>
          <w:rFonts w:hint="eastAsia" w:ascii="仿宋_GB2312" w:hAnsi="仿宋" w:eastAsia="仿宋_GB2312" w:cs="仿宋"/>
          <w:color w:val="auto"/>
          <w:sz w:val="32"/>
          <w:szCs w:val="32"/>
          <w:lang w:val="en-US" w:eastAsia="zh-CN"/>
        </w:rPr>
        <w:t>1497.92</w:t>
      </w:r>
      <w:r>
        <w:rPr>
          <w:rFonts w:hint="eastAsia" w:ascii="仿宋_GB2312" w:hAnsi="仿宋" w:eastAsia="仿宋_GB2312" w:cs="仿宋"/>
          <w:color w:val="auto"/>
          <w:sz w:val="32"/>
          <w:szCs w:val="32"/>
        </w:rPr>
        <w:t>万元，其中财政拨款</w:t>
      </w:r>
      <w:r>
        <w:rPr>
          <w:rFonts w:hint="eastAsia" w:ascii="仿宋_GB2312" w:hAnsi="仿宋" w:eastAsia="仿宋_GB2312" w:cs="仿宋"/>
          <w:color w:val="auto"/>
          <w:sz w:val="32"/>
          <w:szCs w:val="32"/>
          <w:lang w:val="en-US" w:eastAsia="zh-CN"/>
        </w:rPr>
        <w:t>1497.92</w:t>
      </w:r>
      <w:r>
        <w:rPr>
          <w:rFonts w:hint="eastAsia" w:ascii="仿宋_GB2312" w:hAnsi="仿宋" w:eastAsia="仿宋_GB2312" w:cs="仿宋"/>
          <w:color w:val="auto"/>
          <w:sz w:val="32"/>
          <w:szCs w:val="32"/>
        </w:rPr>
        <w:t>万元，占总预算的100%。整体预算中，人员经费预算</w:t>
      </w:r>
      <w:r>
        <w:rPr>
          <w:rFonts w:hint="eastAsia" w:ascii="仿宋_GB2312" w:hAnsi="仿宋" w:eastAsia="仿宋_GB2312" w:cs="仿宋"/>
          <w:color w:val="auto"/>
          <w:sz w:val="32"/>
          <w:szCs w:val="32"/>
          <w:lang w:val="en-US" w:eastAsia="zh-CN"/>
        </w:rPr>
        <w:t>882.54</w:t>
      </w:r>
      <w:r>
        <w:rPr>
          <w:rFonts w:hint="eastAsia" w:ascii="仿宋_GB2312" w:hAnsi="仿宋" w:eastAsia="仿宋_GB2312" w:cs="仿宋"/>
          <w:color w:val="auto"/>
          <w:sz w:val="32"/>
          <w:szCs w:val="32"/>
        </w:rPr>
        <w:t>万元，日常公用经费预算</w:t>
      </w:r>
      <w:r>
        <w:rPr>
          <w:rFonts w:hint="eastAsia" w:ascii="仿宋_GB2312" w:hAnsi="仿宋" w:eastAsia="仿宋_GB2312" w:cs="仿宋"/>
          <w:color w:val="auto"/>
          <w:sz w:val="32"/>
          <w:szCs w:val="32"/>
          <w:lang w:val="en-US" w:eastAsia="zh-CN"/>
        </w:rPr>
        <w:t>191.13</w:t>
      </w:r>
      <w:r>
        <w:rPr>
          <w:rFonts w:hint="eastAsia" w:ascii="仿宋_GB2312" w:hAnsi="仿宋" w:eastAsia="仿宋_GB2312" w:cs="仿宋"/>
          <w:color w:val="auto"/>
          <w:sz w:val="32"/>
          <w:szCs w:val="32"/>
        </w:rPr>
        <w:t>万元（包含“三公经费”预算</w:t>
      </w:r>
      <w:r>
        <w:rPr>
          <w:rFonts w:hint="eastAsia" w:ascii="仿宋_GB2312" w:hAnsi="仿宋" w:eastAsia="仿宋_GB2312" w:cs="仿宋"/>
          <w:color w:val="auto"/>
          <w:sz w:val="32"/>
          <w:szCs w:val="32"/>
          <w:lang w:val="en-US" w:eastAsia="zh-CN"/>
        </w:rPr>
        <w:t>28.2</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val="en-US" w:eastAsia="zh-CN"/>
        </w:rPr>
        <w:t>后调整预算为18.2万元</w:t>
      </w:r>
      <w:r>
        <w:rPr>
          <w:rFonts w:hint="eastAsia" w:ascii="仿宋_GB2312" w:hAnsi="仿宋" w:eastAsia="仿宋_GB2312" w:cs="仿宋"/>
          <w:color w:val="auto"/>
          <w:sz w:val="32"/>
          <w:szCs w:val="32"/>
        </w:rPr>
        <w:t>），项目经费预算</w:t>
      </w:r>
      <w:r>
        <w:rPr>
          <w:rFonts w:hint="eastAsia" w:ascii="仿宋_GB2312" w:hAnsi="仿宋" w:eastAsia="仿宋_GB2312" w:cs="仿宋"/>
          <w:color w:val="auto"/>
          <w:sz w:val="32"/>
          <w:szCs w:val="32"/>
          <w:lang w:val="en-US" w:eastAsia="zh-CN"/>
        </w:rPr>
        <w:t>424.25</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val="en-US" w:eastAsia="zh-CN"/>
        </w:rPr>
        <w:t>调整后预算</w:t>
      </w:r>
      <w:r>
        <w:rPr>
          <w:rFonts w:hint="eastAsia" w:ascii="仿宋" w:hAnsi="仿宋" w:eastAsia="仿宋" w:cs="仿宋"/>
          <w:kern w:val="0"/>
          <w:sz w:val="32"/>
          <w:szCs w:val="32"/>
          <w:lang w:val="en-US" w:eastAsia="zh-CN" w:bidi="ar"/>
        </w:rPr>
        <w:t>401.37万元。</w:t>
      </w:r>
    </w:p>
    <w:p w14:paraId="58C60906">
      <w:pPr>
        <w:spacing w:line="560" w:lineRule="exact"/>
        <w:ind w:firstLine="640" w:firstLineChars="200"/>
        <w:rPr>
          <w:rFonts w:ascii="仿宋" w:hAnsi="仿宋" w:eastAsia="仿宋"/>
          <w:color w:val="auto"/>
          <w:sz w:val="32"/>
          <w:szCs w:val="32"/>
        </w:rPr>
      </w:pPr>
      <w:r>
        <w:rPr>
          <w:rFonts w:hint="eastAsia" w:ascii="仿宋_GB2312" w:hAnsi="仿宋" w:eastAsia="仿宋_GB2312" w:cs="仿宋"/>
          <w:color w:val="auto"/>
          <w:sz w:val="32"/>
          <w:szCs w:val="32"/>
        </w:rPr>
        <w:t>1.基本支出情况</w:t>
      </w:r>
    </w:p>
    <w:p w14:paraId="1A6857D1">
      <w:pPr>
        <w:adjustRightInd w:val="0"/>
        <w:snapToGrid w:val="0"/>
        <w:spacing w:line="560" w:lineRule="exact"/>
        <w:ind w:firstLine="640" w:firstLineChars="200"/>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rPr>
        <w:t>202</w:t>
      </w:r>
      <w:r>
        <w:rPr>
          <w:rFonts w:hint="eastAsia" w:ascii="仿宋_GB2312" w:hAnsi="仿宋" w:eastAsia="仿宋_GB2312" w:cs="仿宋"/>
          <w:color w:val="auto"/>
          <w:sz w:val="32"/>
          <w:szCs w:val="32"/>
          <w:lang w:val="en-US" w:eastAsia="zh-CN"/>
        </w:rPr>
        <w:t>4</w:t>
      </w:r>
      <w:r>
        <w:rPr>
          <w:rFonts w:hint="eastAsia" w:ascii="仿宋_GB2312" w:hAnsi="仿宋" w:eastAsia="仿宋_GB2312" w:cs="仿宋"/>
          <w:color w:val="auto"/>
          <w:sz w:val="32"/>
          <w:szCs w:val="32"/>
        </w:rPr>
        <w:t>年度本院基本支出</w:t>
      </w:r>
      <w:r>
        <w:rPr>
          <w:rFonts w:hint="eastAsia" w:ascii="仿宋_GB2312" w:eastAsia="仿宋_GB2312" w:cs="仿宋_GB2312"/>
          <w:color w:val="auto"/>
          <w:kern w:val="0"/>
          <w:sz w:val="32"/>
          <w:szCs w:val="32"/>
          <w:lang w:val="en-US" w:eastAsia="zh-CN"/>
        </w:rPr>
        <w:t>992.91</w:t>
      </w:r>
      <w:r>
        <w:rPr>
          <w:rFonts w:hint="eastAsia" w:ascii="仿宋_GB2312" w:hAnsi="仿宋" w:eastAsia="仿宋_GB2312" w:cs="仿宋"/>
          <w:color w:val="auto"/>
          <w:sz w:val="32"/>
          <w:szCs w:val="32"/>
          <w:lang w:val="en-US" w:eastAsia="zh-CN"/>
        </w:rPr>
        <w:t>万元</w:t>
      </w:r>
      <w:r>
        <w:rPr>
          <w:rFonts w:hint="eastAsia" w:ascii="仿宋_GB2312" w:hAnsi="仿宋" w:eastAsia="仿宋_GB2312" w:cs="仿宋"/>
          <w:color w:val="auto"/>
          <w:sz w:val="32"/>
          <w:szCs w:val="32"/>
        </w:rPr>
        <w:t>，人员经费支出</w:t>
      </w:r>
      <w:r>
        <w:rPr>
          <w:rFonts w:hint="eastAsia" w:ascii="仿宋_GB2312" w:hAnsi="仿宋_GB2312" w:eastAsia="仿宋_GB2312" w:cs="仿宋_GB2312"/>
          <w:color w:val="auto"/>
          <w:sz w:val="32"/>
          <w:szCs w:val="32"/>
          <w:lang w:val="en-US" w:eastAsia="zh-CN"/>
        </w:rPr>
        <w:t>805.5</w:t>
      </w:r>
      <w:r>
        <w:rPr>
          <w:rFonts w:hint="eastAsia" w:ascii="仿宋_GB2312" w:hAnsi="仿宋" w:eastAsia="仿宋_GB2312" w:cs="仿宋"/>
          <w:color w:val="auto"/>
          <w:sz w:val="32"/>
          <w:szCs w:val="32"/>
        </w:rPr>
        <w:t>万元,占基本支出比例</w:t>
      </w:r>
      <w:r>
        <w:rPr>
          <w:rFonts w:hint="eastAsia" w:ascii="仿宋_GB2312" w:hAnsi="仿宋" w:eastAsia="仿宋_GB2312" w:cs="仿宋"/>
          <w:color w:val="auto"/>
          <w:sz w:val="32"/>
          <w:szCs w:val="32"/>
          <w:lang w:val="en-US" w:eastAsia="zh-CN"/>
        </w:rPr>
        <w:t>81.13</w:t>
      </w:r>
      <w:r>
        <w:rPr>
          <w:rFonts w:hint="eastAsia" w:ascii="仿宋_GB2312" w:hAnsi="仿宋" w:eastAsia="仿宋_GB2312" w:cs="仿宋"/>
          <w:color w:val="auto"/>
          <w:sz w:val="32"/>
          <w:szCs w:val="32"/>
        </w:rPr>
        <w:t>%，日常公用经费支出</w:t>
      </w:r>
      <w:r>
        <w:rPr>
          <w:rFonts w:hint="eastAsia" w:ascii="仿宋_GB2312" w:hAnsi="仿宋_GB2312" w:eastAsia="仿宋_GB2312" w:cs="仿宋_GB2312"/>
          <w:color w:val="auto"/>
          <w:sz w:val="32"/>
          <w:szCs w:val="32"/>
          <w:lang w:val="en-US" w:eastAsia="zh-CN"/>
        </w:rPr>
        <w:t>187.41</w:t>
      </w:r>
      <w:r>
        <w:rPr>
          <w:rFonts w:hint="eastAsia" w:ascii="仿宋_GB2312" w:hAnsi="仿宋" w:eastAsia="仿宋_GB2312" w:cs="仿宋"/>
          <w:color w:val="auto"/>
          <w:sz w:val="32"/>
          <w:szCs w:val="32"/>
          <w:lang w:val="en-US" w:eastAsia="zh-CN"/>
        </w:rPr>
        <w:t>万</w:t>
      </w:r>
      <w:r>
        <w:rPr>
          <w:rFonts w:hint="eastAsia" w:ascii="仿宋_GB2312" w:hAnsi="仿宋" w:eastAsia="仿宋_GB2312" w:cs="仿宋"/>
          <w:color w:val="auto"/>
          <w:sz w:val="32"/>
          <w:szCs w:val="32"/>
        </w:rPr>
        <w:t>元，占基本支出比例</w:t>
      </w:r>
      <w:r>
        <w:rPr>
          <w:rFonts w:hint="eastAsia" w:ascii="仿宋_GB2312" w:hAnsi="仿宋" w:eastAsia="仿宋_GB2312" w:cs="仿宋"/>
          <w:color w:val="auto"/>
          <w:sz w:val="32"/>
          <w:szCs w:val="32"/>
          <w:lang w:val="en-US" w:eastAsia="zh-CN"/>
        </w:rPr>
        <w:t>18.87</w:t>
      </w:r>
      <w:r>
        <w:rPr>
          <w:rFonts w:hint="eastAsia" w:ascii="仿宋_GB2312" w:hAnsi="仿宋" w:eastAsia="仿宋_GB2312" w:cs="仿宋"/>
          <w:color w:val="auto"/>
          <w:sz w:val="32"/>
          <w:szCs w:val="32"/>
        </w:rPr>
        <w:t>%。其中，“三公”经费支出为</w:t>
      </w:r>
      <w:r>
        <w:rPr>
          <w:rFonts w:hint="eastAsia" w:ascii="仿宋_GB2312" w:hAnsi="仿宋" w:eastAsia="仿宋_GB2312" w:cs="仿宋"/>
          <w:color w:val="auto"/>
          <w:sz w:val="32"/>
          <w:szCs w:val="32"/>
          <w:lang w:val="en-US" w:eastAsia="zh-CN"/>
        </w:rPr>
        <w:t>18</w:t>
      </w:r>
      <w:r>
        <w:rPr>
          <w:rFonts w:hint="eastAsia" w:ascii="仿宋_GB2312" w:hAnsi="仿宋" w:eastAsia="仿宋_GB2312" w:cs="仿宋"/>
          <w:color w:val="auto"/>
          <w:sz w:val="32"/>
          <w:szCs w:val="32"/>
        </w:rPr>
        <w:t>万元，占日常公用经费支出比例为</w:t>
      </w:r>
      <w:r>
        <w:rPr>
          <w:rFonts w:hint="eastAsia" w:ascii="仿宋_GB2312" w:hAnsi="仿宋" w:eastAsia="仿宋_GB2312" w:cs="仿宋"/>
          <w:color w:val="auto"/>
          <w:sz w:val="32"/>
          <w:szCs w:val="32"/>
          <w:lang w:val="en-US" w:eastAsia="zh-CN"/>
        </w:rPr>
        <w:t>9.6</w:t>
      </w:r>
      <w:r>
        <w:rPr>
          <w:rFonts w:hint="eastAsia" w:ascii="仿宋_GB2312" w:hAnsi="仿宋" w:eastAsia="仿宋_GB2312" w:cs="仿宋"/>
          <w:color w:val="auto"/>
          <w:sz w:val="32"/>
          <w:szCs w:val="32"/>
        </w:rPr>
        <w:t>%。</w:t>
      </w:r>
    </w:p>
    <w:p w14:paraId="041EBDB2">
      <w:pPr>
        <w:numPr>
          <w:ilvl w:val="0"/>
          <w:numId w:val="3"/>
        </w:numPr>
        <w:adjustRightInd w:val="0"/>
        <w:snapToGrid w:val="0"/>
        <w:spacing w:line="560" w:lineRule="exact"/>
        <w:ind w:firstLine="640" w:firstLineChars="200"/>
        <w:rPr>
          <w:rFonts w:hint="eastAsia" w:ascii="仿宋_GB2312" w:hAnsi="仿宋" w:eastAsia="仿宋_GB2312" w:cs="仿宋"/>
          <w:color w:val="auto"/>
          <w:sz w:val="32"/>
          <w:szCs w:val="32"/>
          <w:lang w:val="en-US" w:eastAsia="zh-CN"/>
        </w:rPr>
      </w:pPr>
      <w:r>
        <w:rPr>
          <w:rFonts w:hint="eastAsia" w:ascii="仿宋_GB2312" w:hAnsi="仿宋" w:eastAsia="仿宋_GB2312" w:cs="仿宋"/>
          <w:color w:val="auto"/>
          <w:sz w:val="32"/>
          <w:szCs w:val="32"/>
          <w:lang w:val="en-US" w:eastAsia="zh-CN"/>
        </w:rPr>
        <w:t>项目支出情况</w:t>
      </w:r>
    </w:p>
    <w:p w14:paraId="35FCB21C">
      <w:pPr>
        <w:numPr>
          <w:ilvl w:val="0"/>
          <w:numId w:val="0"/>
        </w:numPr>
        <w:adjustRightInd w:val="0"/>
        <w:snapToGrid w:val="0"/>
        <w:spacing w:line="560" w:lineRule="exact"/>
        <w:rPr>
          <w:rFonts w:hint="default" w:ascii="仿宋_GB2312" w:hAnsi="仿宋" w:eastAsia="仿宋_GB2312" w:cs="仿宋"/>
          <w:color w:val="auto"/>
          <w:sz w:val="32"/>
          <w:szCs w:val="32"/>
          <w:lang w:val="en-US" w:eastAsia="zh-CN"/>
        </w:rPr>
      </w:pPr>
      <w:r>
        <w:rPr>
          <w:rFonts w:hint="eastAsia" w:ascii="仿宋_GB2312" w:hAnsi="仿宋" w:eastAsia="仿宋_GB2312" w:cs="仿宋"/>
          <w:color w:val="auto"/>
          <w:sz w:val="32"/>
          <w:szCs w:val="32"/>
          <w:lang w:val="en-US" w:eastAsia="zh-CN"/>
        </w:rPr>
        <w:t xml:space="preserve">    </w:t>
      </w:r>
      <w:r>
        <w:rPr>
          <w:rFonts w:hint="eastAsia" w:ascii="仿宋" w:hAnsi="仿宋" w:eastAsia="仿宋" w:cs="仿宋"/>
          <w:kern w:val="0"/>
          <w:sz w:val="32"/>
          <w:szCs w:val="32"/>
          <w:lang w:val="en-US" w:eastAsia="zh-CN" w:bidi="ar"/>
        </w:rPr>
        <w:t>我院2024年预算项目12</w:t>
      </w:r>
      <w:bookmarkStart w:id="1" w:name="_GoBack"/>
      <w:bookmarkEnd w:id="1"/>
      <w:r>
        <w:rPr>
          <w:rFonts w:hint="eastAsia" w:ascii="仿宋" w:hAnsi="仿宋" w:eastAsia="仿宋" w:cs="仿宋"/>
          <w:kern w:val="0"/>
          <w:sz w:val="32"/>
          <w:szCs w:val="32"/>
          <w:lang w:val="en-US" w:eastAsia="zh-CN" w:bidi="ar"/>
        </w:rPr>
        <w:t>个，支出376.673128万元。</w:t>
      </w:r>
    </w:p>
    <w:p w14:paraId="262A2FA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F3E368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总体绩效目标</w:t>
      </w:r>
    </w:p>
    <w:p w14:paraId="287DF100">
      <w:pPr>
        <w:spacing w:before="10" w:after="10"/>
        <w:ind w:firstLine="560"/>
        <w:outlineLvl w:val="1"/>
      </w:pPr>
      <w:bookmarkStart w:id="0" w:name="_Toc_2_2_0000000001"/>
      <w:r>
        <w:rPr>
          <w:rFonts w:ascii="方正黑体_GBK" w:hAnsi="方正黑体_GBK" w:eastAsia="方正黑体_GBK" w:cs="方正黑体_GBK"/>
          <w:color w:val="000000"/>
          <w:sz w:val="28"/>
        </w:rPr>
        <w:t>一、总体绩效目标</w:t>
      </w:r>
      <w:bookmarkEnd w:id="0"/>
    </w:p>
    <w:p w14:paraId="44553238">
      <w:pPr>
        <w:pStyle w:val="9"/>
        <w:rPr>
          <w:rFonts w:hint="eastAsia" w:ascii="仿宋" w:hAnsi="仿宋" w:eastAsia="仿宋"/>
          <w:sz w:val="32"/>
          <w:szCs w:val="32"/>
        </w:rPr>
      </w:pPr>
      <w:r>
        <w:rPr>
          <w:rFonts w:hint="eastAsia" w:ascii="仿宋" w:hAnsi="仿宋" w:eastAsia="仿宋" w:cs="黑体"/>
          <w:kern w:val="2"/>
          <w:sz w:val="32"/>
          <w:szCs w:val="32"/>
          <w:lang w:val="en-US" w:eastAsia="zh-CN" w:bidi="ar-SA"/>
        </w:rPr>
        <w:t>通过行使检察权，对侦查机关的侦查活动、人民法院的审判活动、看守所等机关执行刑罚的活动，依法实行法律监督，维护司法公正。有效提高批捕、批准立案、批捕准确率；全面审结案件事实，核实证据，依法提起公诉、出庭提出审查意见，提高公诉案件审结率、出庭意见采纳率；对确有错误的刑事、民事判决裁定提起抗诉建议；积极开展公益诉讼；受理来信来访、举报、刑事申诉、国家赔偿、司法救助工作，受理民事监督案件，办理管辖的信访案件、举报案件、刑事申诉案件、国家赔偿、司法救助以及上级机关交办、转办、督办案件。构建依法有序信访秩序，及时依法解决群众诉求。提高执法水平和办案质量、提升检察机关法律监督能力。为检察机关工作顺利开展提供检务保障，努力建设公正、高效、权威的检察权运行机制。</w:t>
      </w:r>
    </w:p>
    <w:p w14:paraId="3A7DBBF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2.分项绩效目标</w:t>
      </w:r>
    </w:p>
    <w:p w14:paraId="141BBE4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加强普通刑事犯罪检察工作</w:t>
      </w:r>
    </w:p>
    <w:p w14:paraId="5BD0881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依法严肃打击侵犯公民财产权、人身权、扰乱社会秩序等各类刑事犯罪；与公安局、自然资源局、生态环境局联合组织开展打击危害自然资源和生态环境犯罪专项活动，增强人民群众的获得感幸福感安全感；深入推进扫黑除恶专项斗争工作，挂牌督办重大涉黑恶案件，做好起诉案件积压量大地区的点对点指导工作，坚决监督纠正片面追求打击数量而下指标等错误做法；持续做好认罪认罚从宽工作，不断提升办案质效；以规范化、专业化为导向，加强普通刑事犯罪检察人才队伍和工作机制建设。</w:t>
      </w:r>
    </w:p>
    <w:p w14:paraId="0F71B37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进一步提升重大刑事犯罪办案质效</w:t>
      </w:r>
    </w:p>
    <w:p w14:paraId="2BB45B2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充分发挥重罪检察职能，坚持以司法办案为中心，依法严厉打击危害国家安全、危害公共安全、故意杀人、抢劫、毒品等重大刑事犯罪，进一步提升办案质效，维护社会和谐稳定。</w:t>
      </w:r>
    </w:p>
    <w:p w14:paraId="735788B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为反腐败深入发展提供有力司法保障</w:t>
      </w:r>
    </w:p>
    <w:p w14:paraId="61FBF65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充分履行职务犯罪检察职能，着力提高案件办理质效。与监察机关、审判机关、公安机关的协调配合，形成反腐败的工作合力。</w:t>
      </w:r>
    </w:p>
    <w:p w14:paraId="0275CEF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刑事执行检察职能得到充分发挥</w:t>
      </w:r>
    </w:p>
    <w:p w14:paraId="2F82C05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查办诉讼过程中侵犯公民权利、损害司法公正犯罪的能力不断提高，刑事执行检察监督方式进一步科学、合理，监督效果更加突显，刑事被执行人的权益得到有效保障，监管场所不发生重大敏感事件，刑事执行领域公平正义得以实现。</w:t>
      </w:r>
    </w:p>
    <w:p w14:paraId="7D85F3C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w:t>
      </w:r>
      <w:r>
        <w:rPr>
          <w:rFonts w:hint="eastAsia" w:ascii="仿宋" w:hAnsi="仿宋" w:eastAsia="仿宋"/>
          <w:sz w:val="32"/>
          <w:szCs w:val="32"/>
        </w:rPr>
        <w:t>全面履行民事检察职能</w:t>
      </w:r>
    </w:p>
    <w:p w14:paraId="02C61AE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坚持以办案为中心，以做强民事检察工作为目标，坚持精细化监督理念，不断优化裁判结果监督，强化审判人员违法行为监督和执行活动监督，强化虚假诉讼监督，深化全面完善多元化监督格局，推进民事检察工作实现新突破、再上新台阶。</w:t>
      </w:r>
    </w:p>
    <w:p w14:paraId="12C76E1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w:t>
      </w:r>
      <w:r>
        <w:rPr>
          <w:rFonts w:hint="eastAsia" w:ascii="仿宋" w:hAnsi="仿宋" w:eastAsia="仿宋"/>
          <w:sz w:val="32"/>
          <w:szCs w:val="32"/>
        </w:rPr>
        <w:t>持续加大公益诉讼检察工作力度</w:t>
      </w:r>
    </w:p>
    <w:p w14:paraId="0ED56AB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加大办理“4+1”领域公益诉讼案件力度，积极稳妥开展“等”外领域公益诉讼案件办理工作。加大公益诉讼宣传力度，扩大公众对公益诉讼检察的知晓度、参与度，营造良好舆论氛围，构建社会治理共同体。</w:t>
      </w:r>
    </w:p>
    <w:p w14:paraId="05391EE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w:t>
      </w:r>
      <w:r>
        <w:rPr>
          <w:rFonts w:hint="eastAsia" w:ascii="仿宋" w:hAnsi="仿宋" w:eastAsia="仿宋"/>
          <w:sz w:val="32"/>
          <w:szCs w:val="32"/>
        </w:rPr>
        <w:t>有效履行新时期未检职能</w:t>
      </w:r>
    </w:p>
    <w:p w14:paraId="16A5CBF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严格落实各项未成年人特殊检察制度，切实保护涉罪未成年人及未成年被害人各项诉讼权利，将未成年人特殊司法理念、特殊司法任务落实到未检工作的每一个环节；加强未成年人检察社会支持体系建设，建立健全相关工作机制和制度，解决制约未成年人司法保护社会支持体系建设的难题；落实“谁执法谁普法”普法责任制要求，积极参与青少年法治教育工作，推动落实检察长、副检察长担任辖区中小学校兼职法治副校长制度，继续深入推进法治进校园等各类法治宣传活动。 </w:t>
      </w:r>
    </w:p>
    <w:p w14:paraId="17A06C0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w:t>
      </w:r>
      <w:r>
        <w:rPr>
          <w:rFonts w:hint="eastAsia" w:ascii="仿宋" w:hAnsi="仿宋" w:eastAsia="仿宋"/>
          <w:sz w:val="32"/>
          <w:szCs w:val="32"/>
        </w:rPr>
        <w:t>控告申诉检察业务能力整体增强</w:t>
      </w:r>
    </w:p>
    <w:p w14:paraId="510A67F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进一步提高刑事申诉案件审查、移转效率，严格遵守法定程序和期限审查刑事申诉案件，做到因案分流，繁案精办，简案快办，规范有序；“群众来信件件有回复”工作能力和水平整体增强；国家司法救助工作进一步完善，扩大国家司法救助覆盖面。加大督查指导力度，继续实行月通报制度。 </w:t>
      </w:r>
    </w:p>
    <w:p w14:paraId="538545E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w:t>
      </w:r>
      <w:r>
        <w:rPr>
          <w:rFonts w:hint="eastAsia" w:ascii="仿宋" w:hAnsi="仿宋" w:eastAsia="仿宋"/>
          <w:sz w:val="32"/>
          <w:szCs w:val="32"/>
        </w:rPr>
        <w:t>干部人事管理水平进一步加强</w:t>
      </w:r>
    </w:p>
    <w:p w14:paraId="0B933C2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积极推进司法体制改革相关工作，进一步做好人员分类管理工作，不断完善规范员额动态管理、检察人员选升晋升等工作，持续推动检察人员职业保障及配套工作。全面加强队伍建设，进一步做好干部选拔任用、招录招聘、调配交流、职级调整、考核评价等工作，不断规范完善工资福利、档案考勤管理，持续强化干部监督管理。</w:t>
      </w:r>
    </w:p>
    <w:p w14:paraId="407FB84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w:t>
      </w:r>
      <w:r>
        <w:rPr>
          <w:rFonts w:hint="eastAsia" w:ascii="仿宋" w:hAnsi="仿宋" w:eastAsia="仿宋"/>
          <w:sz w:val="32"/>
          <w:szCs w:val="32"/>
        </w:rPr>
        <w:t>检察宣传能力整体增强</w:t>
      </w:r>
    </w:p>
    <w:p w14:paraId="0227789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检察机关意识形态建设；积极开展主题宣传和专项宣传，检察公信力和群众满意度逐步提升，新闻发布管理，拓展新闻宣传阵地；“三同步”工作机制正常运转，积极开展涉检舆情应对工作；检务公开网络平台安全平稳运行，积极为群众提供信息服务；加大新媒体作品创作力度，提升新媒体运维管理水平，扩大网络平台社会影响力；大力开展先进典型培树宣传；积极推动检察文化建设深入发展，活跃检察机关精神生活。</w:t>
      </w:r>
    </w:p>
    <w:p w14:paraId="60FFB51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w:t>
      </w:r>
      <w:r>
        <w:rPr>
          <w:rFonts w:hint="eastAsia" w:ascii="仿宋" w:hAnsi="仿宋" w:eastAsia="仿宋"/>
          <w:sz w:val="32"/>
          <w:szCs w:val="32"/>
        </w:rPr>
        <w:t>检察理论研究工作整体增强</w:t>
      </w:r>
    </w:p>
    <w:p w14:paraId="19D7C99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调研机制建设和研究队伍建设，构建全员参与的大调研工作机制。以检委会信息化建设为契机，进一步规范检委会工作，用好专家人才库提供外脑智力支持。积极落实高检院对检答网、检察建议等工作的要求。</w:t>
      </w:r>
    </w:p>
    <w:p w14:paraId="5872C90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12</w:t>
      </w:r>
      <w:r>
        <w:rPr>
          <w:rFonts w:hint="eastAsia" w:ascii="仿宋" w:hAnsi="仿宋" w:eastAsia="仿宋"/>
          <w:sz w:val="32"/>
          <w:szCs w:val="32"/>
          <w:lang w:eastAsia="zh-CN"/>
        </w:rPr>
        <w:t>）</w:t>
      </w:r>
      <w:r>
        <w:rPr>
          <w:rFonts w:hint="eastAsia" w:ascii="仿宋" w:hAnsi="仿宋" w:eastAsia="仿宋"/>
          <w:sz w:val="32"/>
          <w:szCs w:val="32"/>
        </w:rPr>
        <w:t>案管监督、管理业务工作水平提升</w:t>
      </w:r>
    </w:p>
    <w:p w14:paraId="284E126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接收、录入并及时分配各类案件；接待律师咨询、阅卷等各类工作，保障律师权益正确行使；定期评查案件，使案件质量整体进一步提高，加强统一业务应用系统的规范使用和深度应用，做好案件流程监控工作，提高案件整体质量；开展业务数据分析研判工作，为检察决策和业务开展提供参考依据；提升案件信息公开工作的整体水平；组织做好人民监督员监督工作；确保涉案财物按规定随案移交，妥善保管。</w:t>
      </w:r>
    </w:p>
    <w:p w14:paraId="5A04361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13</w:t>
      </w:r>
      <w:r>
        <w:rPr>
          <w:rFonts w:hint="eastAsia" w:ascii="仿宋" w:hAnsi="仿宋" w:eastAsia="仿宋"/>
          <w:sz w:val="32"/>
          <w:szCs w:val="32"/>
          <w:lang w:eastAsia="zh-CN"/>
        </w:rPr>
        <w:t>）</w:t>
      </w:r>
      <w:r>
        <w:rPr>
          <w:rFonts w:hint="eastAsia" w:ascii="仿宋" w:hAnsi="仿宋" w:eastAsia="仿宋"/>
          <w:sz w:val="32"/>
          <w:szCs w:val="32"/>
        </w:rPr>
        <w:t>严格认真履职确保办案安全</w:t>
      </w:r>
    </w:p>
    <w:p w14:paraId="1E8B6B9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拓展履职空间，主动融入公益诉讼，协助远程提审，公开审查、宣告等新兴检察业务，参与职务犯罪自行侦查、刑事案件自行补充侦查、对监狱的巡回检察等工作，探索协助侦查监督提前介入、民行部门息诉工作、保护重大案件中检察人员和证人安全、协助刑事执行申诉案件的调查取证等工作，把警务保障做强做实。</w:t>
      </w:r>
    </w:p>
    <w:p w14:paraId="2D5EA77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14</w:t>
      </w:r>
      <w:r>
        <w:rPr>
          <w:rFonts w:hint="eastAsia" w:ascii="仿宋" w:hAnsi="仿宋" w:eastAsia="仿宋"/>
          <w:sz w:val="32"/>
          <w:szCs w:val="32"/>
          <w:lang w:eastAsia="zh-CN"/>
        </w:rPr>
        <w:t>）</w:t>
      </w:r>
      <w:r>
        <w:rPr>
          <w:rFonts w:hint="eastAsia" w:ascii="仿宋" w:hAnsi="仿宋" w:eastAsia="仿宋"/>
          <w:sz w:val="32"/>
          <w:szCs w:val="32"/>
        </w:rPr>
        <w:t>检务保障水平和能力整体增强</w:t>
      </w:r>
    </w:p>
    <w:p w14:paraId="67E3016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科学合理编制部门预决算；做好财务管理、国有资产管理、政府采购、公务接待、后勤服务等工作。</w:t>
      </w:r>
    </w:p>
    <w:p w14:paraId="57B3402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6AD8BE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E50558A">
      <w:pPr>
        <w:spacing w:line="560" w:lineRule="exact"/>
        <w:rPr>
          <w:rFonts w:ascii="仿宋" w:hAnsi="仿宋" w:eastAsia="仿宋"/>
          <w:sz w:val="32"/>
          <w:szCs w:val="32"/>
        </w:rPr>
      </w:pPr>
      <w:r>
        <w:rPr>
          <w:rFonts w:hint="eastAsia" w:ascii="仿宋" w:hAnsi="仿宋" w:eastAsia="仿宋"/>
          <w:sz w:val="32"/>
          <w:szCs w:val="32"/>
        </w:rPr>
        <w:t xml:space="preserve">     为保证绩效评价工作顺利开展，我院成立了绩效评价工作小组，主管</w:t>
      </w:r>
      <w:r>
        <w:rPr>
          <w:rFonts w:hint="eastAsia" w:ascii="仿宋" w:hAnsi="仿宋" w:eastAsia="仿宋"/>
          <w:sz w:val="32"/>
          <w:szCs w:val="32"/>
          <w:lang w:eastAsia="zh-CN"/>
        </w:rPr>
        <w:t>办公室</w:t>
      </w:r>
      <w:r>
        <w:rPr>
          <w:rFonts w:hint="eastAsia" w:ascii="仿宋" w:hAnsi="仿宋" w:eastAsia="仿宋"/>
          <w:sz w:val="32"/>
          <w:szCs w:val="32"/>
        </w:rPr>
        <w:t>院领导任组长，</w:t>
      </w:r>
      <w:r>
        <w:rPr>
          <w:rFonts w:hint="eastAsia" w:ascii="仿宋" w:hAnsi="仿宋" w:eastAsia="仿宋"/>
          <w:sz w:val="32"/>
          <w:szCs w:val="32"/>
          <w:lang w:eastAsia="zh-CN"/>
        </w:rPr>
        <w:t>办公室主任</w:t>
      </w:r>
      <w:r>
        <w:rPr>
          <w:rFonts w:hint="eastAsia" w:ascii="仿宋" w:hAnsi="仿宋" w:eastAsia="仿宋"/>
          <w:sz w:val="32"/>
          <w:szCs w:val="32"/>
        </w:rPr>
        <w:t>为副组长，下设立专门绩效管理办公室，具体负责绩效评价的组织管理工作和实施工作。</w:t>
      </w:r>
    </w:p>
    <w:p w14:paraId="26506F35">
      <w:pPr>
        <w:numPr>
          <w:ilvl w:val="0"/>
          <w:numId w:val="4"/>
        </w:numPr>
        <w:spacing w:line="560" w:lineRule="exact"/>
        <w:rPr>
          <w:rFonts w:hint="eastAsia" w:ascii="仿宋" w:hAnsi="仿宋" w:eastAsia="仿宋"/>
          <w:sz w:val="32"/>
          <w:szCs w:val="32"/>
          <w:lang w:val="en-US" w:eastAsia="zh-CN"/>
        </w:rPr>
      </w:pPr>
      <w:r>
        <w:rPr>
          <w:rFonts w:hint="eastAsia" w:ascii="楷体" w:hAnsi="楷体" w:eastAsia="楷体" w:cs="楷体_GB2312"/>
          <w:bCs/>
          <w:sz w:val="32"/>
          <w:szCs w:val="32"/>
        </w:rPr>
        <w:t>自评的方法和过程</w:t>
      </w:r>
    </w:p>
    <w:p w14:paraId="39423FCC">
      <w:pPr>
        <w:numPr>
          <w:ilvl w:val="0"/>
          <w:numId w:val="0"/>
        </w:numPr>
        <w:spacing w:line="560" w:lineRule="exact"/>
        <w:ind w:left="642" w:leftChars="0"/>
        <w:rPr>
          <w:rFonts w:hint="eastAsia" w:ascii="仿宋" w:hAnsi="仿宋" w:eastAsia="仿宋"/>
          <w:sz w:val="32"/>
          <w:szCs w:val="32"/>
          <w:lang w:val="en-US" w:eastAsia="zh-CN"/>
        </w:rPr>
      </w:pPr>
      <w:r>
        <w:rPr>
          <w:rFonts w:hint="eastAsia" w:ascii="仿宋" w:hAnsi="仿宋" w:eastAsia="仿宋"/>
          <w:sz w:val="32"/>
          <w:szCs w:val="32"/>
          <w:lang w:val="en-US" w:eastAsia="zh-CN"/>
        </w:rPr>
        <w:t>1.评价方法</w:t>
      </w:r>
    </w:p>
    <w:p w14:paraId="785A521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14:paraId="7A8D05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2.实施过程</w:t>
      </w:r>
    </w:p>
    <w:p w14:paraId="567611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本次绩效评价工作过程包括前期准备、组织实施、撰写评价报告三个阶段。</w:t>
      </w:r>
    </w:p>
    <w:p w14:paraId="60C9DE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(1)前期准备</w:t>
      </w:r>
    </w:p>
    <w:p w14:paraId="4C7E3F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6B739F4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(2)组织实施</w:t>
      </w:r>
    </w:p>
    <w:p w14:paraId="4A80DE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137C69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小组成员根据项目实际情况，建立绩效评价指标体系，并通过分析收集的数据、资料，对项目的实施进行评分，形成项目绩效评分表。</w:t>
      </w:r>
    </w:p>
    <w:p w14:paraId="0D5EB6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(3)撰写绩效评价报告</w:t>
      </w:r>
    </w:p>
    <w:p w14:paraId="2466D75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lang w:val="en-US" w:eastAsia="zh-CN"/>
        </w:rPr>
        <w:t>根据项目绩效评价结果，撰写绩效评价报告，并形成绩效评价档案。</w:t>
      </w:r>
    </w:p>
    <w:p w14:paraId="06C4B1D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7186F5D">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D0FDD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rPr>
        <w:t>在</w:t>
      </w:r>
      <w:r>
        <w:rPr>
          <w:rFonts w:hint="eastAsia" w:ascii="仿宋" w:hAnsi="仿宋" w:eastAsia="仿宋"/>
          <w:sz w:val="32"/>
          <w:szCs w:val="32"/>
          <w:lang w:eastAsia="zh-CN"/>
        </w:rPr>
        <w:t>上级院</w:t>
      </w:r>
      <w:r>
        <w:rPr>
          <w:rFonts w:hint="eastAsia" w:ascii="仿宋" w:hAnsi="仿宋" w:eastAsia="仿宋"/>
          <w:sz w:val="32"/>
          <w:szCs w:val="32"/>
        </w:rPr>
        <w:t>和</w:t>
      </w:r>
      <w:r>
        <w:rPr>
          <w:rFonts w:hint="eastAsia" w:ascii="仿宋" w:hAnsi="仿宋" w:eastAsia="仿宋"/>
          <w:sz w:val="32"/>
          <w:szCs w:val="32"/>
          <w:lang w:val="en-US" w:eastAsia="zh-CN"/>
        </w:rPr>
        <w:t>晋州市</w:t>
      </w:r>
      <w:r>
        <w:rPr>
          <w:rFonts w:hint="eastAsia" w:ascii="仿宋" w:hAnsi="仿宋" w:eastAsia="仿宋"/>
          <w:sz w:val="32"/>
          <w:szCs w:val="32"/>
          <w:lang w:eastAsia="zh-CN"/>
        </w:rPr>
        <w:t>委</w:t>
      </w:r>
      <w:r>
        <w:rPr>
          <w:rFonts w:hint="eastAsia" w:ascii="仿宋" w:hAnsi="仿宋" w:eastAsia="仿宋"/>
          <w:sz w:val="32"/>
          <w:szCs w:val="32"/>
        </w:rPr>
        <w:t>的正确领导下，深入学习贯彻习近平新时代中国特色社会主义思想</w:t>
      </w:r>
      <w:r>
        <w:rPr>
          <w:rFonts w:hint="eastAsia" w:ascii="仿宋" w:hAnsi="仿宋" w:eastAsia="仿宋"/>
          <w:sz w:val="32"/>
          <w:szCs w:val="32"/>
          <w:lang w:eastAsia="zh-CN"/>
        </w:rPr>
        <w:t>，</w:t>
      </w:r>
      <w:r>
        <w:rPr>
          <w:rFonts w:hint="eastAsia" w:ascii="仿宋" w:hAnsi="仿宋" w:eastAsia="仿宋"/>
          <w:sz w:val="32"/>
          <w:szCs w:val="32"/>
        </w:rPr>
        <w:t>用习近平法治思想武装头脑，认真领会《中共中央关于党的百年奋斗重大成就和历史经验的决议》，坚决贯彻《中共中央关于加强新时代检察机关法律监督工作的意见》，全面落实最高检、省检察院</w:t>
      </w:r>
      <w:r>
        <w:rPr>
          <w:rFonts w:hint="eastAsia" w:ascii="仿宋" w:hAnsi="仿宋" w:eastAsia="仿宋"/>
          <w:sz w:val="32"/>
          <w:szCs w:val="32"/>
          <w:lang w:eastAsia="zh-CN"/>
        </w:rPr>
        <w:t>、市检察院</w:t>
      </w:r>
      <w:r>
        <w:rPr>
          <w:rFonts w:hint="eastAsia" w:ascii="仿宋" w:hAnsi="仿宋" w:eastAsia="仿宋"/>
          <w:sz w:val="32"/>
          <w:szCs w:val="32"/>
        </w:rPr>
        <w:t>各项决策部署，坚持讲政治、顾大局、谋发展、重自强，按照“日常工作项目化、项目工作品牌化、品牌工作亮点化”工作思路，注重系统观念、法治思维、强基导向，全面履行检察职责，综合运用监督手段，主动作为，能动司法，为加快建设现代化、国际化美丽省会城市提供了有力司法保障</w:t>
      </w:r>
      <w:r>
        <w:rPr>
          <w:rFonts w:hint="eastAsia" w:ascii="仿宋" w:hAnsi="仿宋" w:eastAsia="仿宋"/>
          <w:sz w:val="32"/>
          <w:szCs w:val="32"/>
          <w:lang w:eastAsia="zh-CN"/>
        </w:rPr>
        <w:t>。</w:t>
      </w:r>
    </w:p>
    <w:p w14:paraId="52D3543E">
      <w:pPr>
        <w:spacing w:line="560" w:lineRule="exact"/>
        <w:rPr>
          <w:rFonts w:hint="eastAsia" w:ascii="仿宋" w:hAnsi="仿宋" w:eastAsia="仿宋"/>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color w:val="auto"/>
          <w:sz w:val="32"/>
          <w:szCs w:val="32"/>
        </w:rPr>
        <w:t>（二）分项绩效目标实现情况及指标分析</w:t>
      </w:r>
      <w:r>
        <w:rPr>
          <w:rFonts w:hint="eastAsia" w:ascii="仿宋_GB2312" w:hAnsi="仿宋" w:eastAsia="仿宋_GB2312" w:cs="仿宋"/>
          <w:color w:val="auto"/>
          <w:sz w:val="32"/>
          <w:szCs w:val="32"/>
          <w:lang w:val="en-US" w:eastAsia="zh-CN"/>
        </w:rPr>
        <w:t xml:space="preserve">                </w:t>
      </w:r>
    </w:p>
    <w:p w14:paraId="0FCFA414">
      <w:pPr>
        <w:pStyle w:val="5"/>
        <w:keepNext w:val="0"/>
        <w:keepLines w:val="0"/>
        <w:pageBreakBefore w:val="0"/>
        <w:widowControl w:val="0"/>
        <w:kinsoku/>
        <w:wordWrap/>
        <w:overflowPunct/>
        <w:topLinePunct w:val="0"/>
        <w:autoSpaceDE/>
        <w:autoSpaceDN/>
        <w:bidi w:val="0"/>
        <w:adjustRightInd/>
        <w:snapToGrid/>
        <w:spacing w:before="0" w:beforeAutospacing="0" w:after="0" w:line="520" w:lineRule="exact"/>
        <w:ind w:left="0" w:leftChars="0"/>
        <w:textAlignment w:val="auto"/>
        <w:rPr>
          <w:rFonts w:hint="default" w:ascii="仿宋" w:hAnsi="仿宋" w:eastAsia="仿宋" w:cs="黑体"/>
          <w:kern w:val="2"/>
          <w:sz w:val="32"/>
          <w:szCs w:val="32"/>
          <w:lang w:val="en-US" w:eastAsia="zh-CN" w:bidi="ar-SA"/>
        </w:rPr>
      </w:pPr>
      <w:r>
        <w:rPr>
          <w:rFonts w:hint="eastAsia" w:ascii="仿宋_GB2312" w:hAnsi="仿宋" w:eastAsia="仿宋_GB2312" w:cs="仿宋"/>
          <w:color w:val="auto"/>
          <w:sz w:val="32"/>
          <w:szCs w:val="32"/>
          <w:lang w:val="en-US" w:eastAsia="zh-CN"/>
        </w:rPr>
        <w:t xml:space="preserve"> </w:t>
      </w:r>
      <w:r>
        <w:rPr>
          <w:rFonts w:hint="eastAsia" w:ascii="仿宋" w:hAnsi="仿宋" w:eastAsia="仿宋" w:cs="黑体"/>
          <w:kern w:val="2"/>
          <w:sz w:val="32"/>
          <w:szCs w:val="32"/>
          <w:lang w:val="en-US" w:eastAsia="zh-CN" w:bidi="ar-SA"/>
        </w:rPr>
        <w:t>我院2024年项目12个，具体详情见分项绩效项目清单。</w:t>
      </w:r>
    </w:p>
    <w:p w14:paraId="326B27F0">
      <w:pPr>
        <w:pStyle w:val="5"/>
        <w:keepNext w:val="0"/>
        <w:keepLines w:val="0"/>
        <w:pageBreakBefore w:val="0"/>
        <w:widowControl w:val="0"/>
        <w:numPr>
          <w:ilvl w:val="0"/>
          <w:numId w:val="6"/>
        </w:numPr>
        <w:kinsoku/>
        <w:wordWrap/>
        <w:overflowPunct/>
        <w:topLinePunct w:val="0"/>
        <w:autoSpaceDE/>
        <w:autoSpaceDN/>
        <w:bidi w:val="0"/>
        <w:adjustRightInd/>
        <w:snapToGrid/>
        <w:spacing w:before="0" w:beforeAutospacing="0" w:after="0" w:line="560" w:lineRule="exact"/>
        <w:ind w:left="0" w:leftChars="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投入指标（20分）</w:t>
      </w:r>
    </w:p>
    <w:p w14:paraId="09B30A77">
      <w:pPr>
        <w:pStyle w:val="5"/>
        <w:keepNext w:val="0"/>
        <w:keepLines w:val="0"/>
        <w:pageBreakBefore w:val="0"/>
        <w:widowControl w:val="0"/>
        <w:numPr>
          <w:ilvl w:val="0"/>
          <w:numId w:val="7"/>
        </w:numPr>
        <w:kinsoku/>
        <w:wordWrap/>
        <w:overflowPunct/>
        <w:topLinePunct w:val="0"/>
        <w:autoSpaceDE/>
        <w:autoSpaceDN/>
        <w:bidi w:val="0"/>
        <w:adjustRightInd/>
        <w:snapToGrid/>
        <w:spacing w:before="0" w:beforeAutospacing="0" w:after="0" w:line="560" w:lineRule="exact"/>
        <w:ind w:left="0" w:leftChars="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绩效目标指标管理（10分）</w:t>
      </w:r>
    </w:p>
    <w:p w14:paraId="2FCFECB0">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1.绩效目标科学性</w:t>
      </w:r>
    </w:p>
    <w:p w14:paraId="5895E9D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经自评，总体绩效目标、分项绩效目标和预算项目目标较为完整、指向精准、客观公正、数量适当、可行性，故此项得分6.5分。</w:t>
      </w:r>
    </w:p>
    <w:p w14:paraId="754D817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2.绩效指标科学性</w:t>
      </w:r>
    </w:p>
    <w:p w14:paraId="60652B4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经自评，绩效指标科学性较为准确的反映了绩效目标完成情况；清晰、细化、可评价、可衡量，故此项得分3分。</w:t>
      </w:r>
    </w:p>
    <w:p w14:paraId="6248E098">
      <w:pPr>
        <w:pStyle w:val="5"/>
        <w:keepNext w:val="0"/>
        <w:keepLines w:val="0"/>
        <w:pageBreakBefore w:val="0"/>
        <w:widowControl w:val="0"/>
        <w:numPr>
          <w:ilvl w:val="0"/>
          <w:numId w:val="7"/>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预算编制（10分）</w:t>
      </w:r>
    </w:p>
    <w:p w14:paraId="3C1700C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1.预算编制完整性</w:t>
      </w:r>
    </w:p>
    <w:p w14:paraId="213012CB">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经自评，部门所有收入全部纳入部门预算；部门支出预算统筹各类支出，按基本支出、项目支出分别编制</w:t>
      </w:r>
      <w:r>
        <w:rPr>
          <w:rFonts w:hint="eastAsia" w:ascii="仿宋" w:hAnsi="仿宋" w:eastAsia="仿宋"/>
          <w:sz w:val="32"/>
          <w:szCs w:val="32"/>
          <w:lang w:val="en-US" w:eastAsia="zh-CN"/>
        </w:rPr>
        <w:t>，故此项得分2分</w:t>
      </w:r>
      <w:r>
        <w:rPr>
          <w:rFonts w:hint="eastAsia" w:ascii="仿宋" w:hAnsi="仿宋" w:eastAsia="仿宋" w:cs="仿宋"/>
          <w:i w:val="0"/>
          <w:iCs w:val="0"/>
          <w:color w:val="000000"/>
          <w:kern w:val="0"/>
          <w:sz w:val="32"/>
          <w:szCs w:val="32"/>
          <w:u w:val="none"/>
          <w:lang w:val="en-US" w:eastAsia="zh-CN" w:bidi="ar"/>
        </w:rPr>
        <w:t>。</w:t>
      </w:r>
    </w:p>
    <w:p w14:paraId="553BE5E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2.项目预算功能分类等编制合规性</w:t>
      </w:r>
    </w:p>
    <w:p w14:paraId="392D0603">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经自评，功能分类编制准确；项目支出按规定编制政府采购预算；项目支出按规定实施投资评审管理；项目支出按规定实施绩效目标管理</w:t>
      </w:r>
      <w:r>
        <w:rPr>
          <w:rFonts w:hint="eastAsia" w:ascii="仿宋" w:hAnsi="仿宋" w:eastAsia="仿宋"/>
          <w:sz w:val="32"/>
          <w:szCs w:val="32"/>
          <w:lang w:val="en-US" w:eastAsia="zh-CN"/>
        </w:rPr>
        <w:t>，故此项得分6分</w:t>
      </w:r>
      <w:r>
        <w:rPr>
          <w:rFonts w:hint="eastAsia" w:ascii="仿宋" w:hAnsi="仿宋" w:eastAsia="仿宋" w:cs="仿宋"/>
          <w:i w:val="0"/>
          <w:iCs w:val="0"/>
          <w:color w:val="000000"/>
          <w:kern w:val="0"/>
          <w:sz w:val="32"/>
          <w:szCs w:val="32"/>
          <w:u w:val="none"/>
          <w:lang w:val="en-US" w:eastAsia="zh-CN" w:bidi="ar"/>
        </w:rPr>
        <w:t>。</w:t>
      </w:r>
    </w:p>
    <w:p w14:paraId="32B8763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3.预算上报及时性</w:t>
      </w:r>
    </w:p>
    <w:p w14:paraId="188F72B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仿宋"/>
          <w:i w:val="0"/>
          <w:iCs w:val="0"/>
          <w:color w:val="000000"/>
          <w:kern w:val="0"/>
          <w:sz w:val="32"/>
          <w:szCs w:val="32"/>
          <w:u w:val="none"/>
          <w:lang w:val="en-US" w:eastAsia="zh-CN" w:bidi="ar"/>
        </w:rPr>
      </w:pPr>
      <w:r>
        <w:rPr>
          <w:rFonts w:hint="eastAsia" w:ascii="仿宋" w:hAnsi="仿宋" w:eastAsia="仿宋" w:cs="仿宋"/>
          <w:i w:val="0"/>
          <w:iCs w:val="0"/>
          <w:color w:val="000000"/>
          <w:kern w:val="0"/>
          <w:sz w:val="32"/>
          <w:szCs w:val="32"/>
          <w:u w:val="none"/>
          <w:lang w:val="en-US" w:eastAsia="zh-CN" w:bidi="ar"/>
        </w:rPr>
        <w:t>经自评，本部门预算按规定的时间进行了上报，</w:t>
      </w:r>
      <w:r>
        <w:rPr>
          <w:rFonts w:hint="eastAsia" w:ascii="仿宋" w:hAnsi="仿宋" w:eastAsia="仿宋"/>
          <w:sz w:val="32"/>
          <w:szCs w:val="32"/>
          <w:lang w:val="en-US" w:eastAsia="zh-CN"/>
        </w:rPr>
        <w:t>故此项得2分。</w:t>
      </w:r>
    </w:p>
    <w:p w14:paraId="117B4891">
      <w:pPr>
        <w:pStyle w:val="5"/>
        <w:keepNext w:val="0"/>
        <w:keepLines w:val="0"/>
        <w:pageBreakBefore w:val="0"/>
        <w:widowControl w:val="0"/>
        <w:numPr>
          <w:ilvl w:val="0"/>
          <w:numId w:val="6"/>
        </w:numPr>
        <w:kinsoku/>
        <w:wordWrap/>
        <w:overflowPunct/>
        <w:topLinePunct w:val="0"/>
        <w:autoSpaceDE/>
        <w:autoSpaceDN/>
        <w:bidi w:val="0"/>
        <w:adjustRightInd/>
        <w:snapToGrid/>
        <w:spacing w:beforeAutospacing="0" w:line="560" w:lineRule="exact"/>
        <w:ind w:left="0" w:leftChars="0" w:firstLine="640" w:firstLineChars="200"/>
        <w:textAlignment w:val="auto"/>
        <w:rPr>
          <w:rFonts w:hint="default" w:ascii="仿宋" w:hAnsi="仿宋" w:eastAsia="仿宋"/>
          <w:sz w:val="32"/>
          <w:szCs w:val="32"/>
          <w:lang w:val="en-US" w:eastAsia="zh-CN"/>
        </w:rPr>
      </w:pPr>
      <w:r>
        <w:rPr>
          <w:rFonts w:hint="default" w:ascii="仿宋" w:hAnsi="仿宋" w:eastAsia="仿宋"/>
          <w:sz w:val="32"/>
          <w:szCs w:val="32"/>
          <w:lang w:val="en-US" w:eastAsia="zh-CN"/>
        </w:rPr>
        <w:t>过程（执行）</w:t>
      </w:r>
      <w:r>
        <w:rPr>
          <w:rFonts w:hint="eastAsia" w:ascii="仿宋" w:hAnsi="仿宋" w:eastAsia="仿宋"/>
          <w:sz w:val="32"/>
          <w:szCs w:val="32"/>
          <w:lang w:val="en-US" w:eastAsia="zh-CN"/>
        </w:rPr>
        <w:t>指标（40分）</w:t>
      </w:r>
    </w:p>
    <w:p w14:paraId="475B3F3C">
      <w:pPr>
        <w:pStyle w:val="5"/>
        <w:keepNext w:val="0"/>
        <w:keepLines w:val="0"/>
        <w:pageBreakBefore w:val="0"/>
        <w:widowControl w:val="0"/>
        <w:numPr>
          <w:ilvl w:val="0"/>
          <w:numId w:val="8"/>
        </w:numPr>
        <w:kinsoku/>
        <w:wordWrap/>
        <w:overflowPunct/>
        <w:topLinePunct w:val="0"/>
        <w:autoSpaceDE/>
        <w:autoSpaceDN/>
        <w:bidi w:val="0"/>
        <w:adjustRightInd/>
        <w:snapToGrid/>
        <w:spacing w:beforeAutospacing="0" w:line="560" w:lineRule="exac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预算执行（25分）</w:t>
      </w:r>
    </w:p>
    <w:p w14:paraId="7DF38DC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收入预算完成率</w:t>
      </w:r>
      <w:r>
        <w:rPr>
          <w:rFonts w:hint="default" w:ascii="仿宋" w:hAnsi="仿宋" w:eastAsia="仿宋" w:cs="黑体"/>
          <w:kern w:val="2"/>
          <w:sz w:val="32"/>
          <w:szCs w:val="32"/>
          <w:lang w:val="en-US" w:eastAsia="zh-CN" w:bidi="ar-SA"/>
        </w:rPr>
        <w:tab/>
      </w:r>
    </w:p>
    <w:p w14:paraId="6709014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部门收入预算完成数与预算数的比较，收入预算完成率</w:t>
      </w:r>
      <w:r>
        <w:rPr>
          <w:rFonts w:hint="eastAsia" w:ascii="仿宋" w:hAnsi="仿宋" w:eastAsia="仿宋" w:cs="黑体"/>
          <w:kern w:val="2"/>
          <w:sz w:val="32"/>
          <w:szCs w:val="32"/>
          <w:lang w:val="en-US" w:eastAsia="zh-CN" w:bidi="ar-SA"/>
        </w:rPr>
        <w:t>达到95</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以上，故此项得2分。</w:t>
      </w:r>
    </w:p>
    <w:p w14:paraId="63C24CA3">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预算调整率</w:t>
      </w:r>
      <w:r>
        <w:rPr>
          <w:rFonts w:hint="default" w:ascii="仿宋" w:hAnsi="仿宋" w:eastAsia="仿宋" w:cs="黑体"/>
          <w:kern w:val="2"/>
          <w:sz w:val="32"/>
          <w:szCs w:val="32"/>
          <w:lang w:val="en-US" w:eastAsia="zh-CN" w:bidi="ar-SA"/>
        </w:rPr>
        <w:tab/>
      </w:r>
    </w:p>
    <w:p w14:paraId="2013F195">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highlight w:val="none"/>
          <w:lang w:val="en-US" w:eastAsia="zh-CN" w:bidi="ar-SA"/>
        </w:rPr>
        <w:t>经自评，</w:t>
      </w:r>
      <w:r>
        <w:rPr>
          <w:rFonts w:hint="default" w:ascii="仿宋" w:hAnsi="仿宋" w:eastAsia="仿宋" w:cs="黑体"/>
          <w:kern w:val="2"/>
          <w:sz w:val="32"/>
          <w:szCs w:val="32"/>
          <w:highlight w:val="none"/>
          <w:lang w:val="en-US" w:eastAsia="zh-CN" w:bidi="ar-SA"/>
        </w:rPr>
        <w:t>部门本年度预算的调整数与年初预算数的比率</w:t>
      </w:r>
      <w:r>
        <w:rPr>
          <w:rFonts w:hint="eastAsia" w:ascii="仿宋" w:hAnsi="仿宋" w:eastAsia="仿宋" w:cs="黑体"/>
          <w:kern w:val="2"/>
          <w:sz w:val="32"/>
          <w:szCs w:val="32"/>
          <w:highlight w:val="none"/>
          <w:lang w:val="en-US" w:eastAsia="zh-CN" w:bidi="ar-SA"/>
        </w:rPr>
        <w:t>达到2</w:t>
      </w:r>
      <w:r>
        <w:rPr>
          <w:rFonts w:hint="default" w:ascii="仿宋" w:hAnsi="仿宋" w:eastAsia="仿宋" w:cs="黑体"/>
          <w:kern w:val="2"/>
          <w:sz w:val="32"/>
          <w:szCs w:val="32"/>
          <w:highlight w:val="none"/>
          <w:lang w:val="en-US" w:eastAsia="zh-CN" w:bidi="ar-SA"/>
        </w:rPr>
        <w:t>%。(因落实国家政策、发生不可抗力、上级部门或本级党委政府临时交办而产生的调整除外)</w:t>
      </w:r>
      <w:r>
        <w:rPr>
          <w:rFonts w:hint="eastAsia" w:ascii="仿宋" w:hAnsi="仿宋" w:eastAsia="仿宋" w:cs="黑体"/>
          <w:kern w:val="2"/>
          <w:sz w:val="32"/>
          <w:szCs w:val="32"/>
          <w:lang w:val="en-US" w:eastAsia="zh-CN" w:bidi="ar-SA"/>
        </w:rPr>
        <w:t>，故此项得1.5分。</w:t>
      </w:r>
    </w:p>
    <w:p w14:paraId="7046A5D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w:t>
      </w:r>
      <w:r>
        <w:rPr>
          <w:rFonts w:hint="default" w:ascii="仿宋" w:hAnsi="仿宋" w:eastAsia="仿宋" w:cs="黑体"/>
          <w:kern w:val="2"/>
          <w:sz w:val="32"/>
          <w:szCs w:val="32"/>
          <w:lang w:val="en-US" w:eastAsia="zh-CN" w:bidi="ar-SA"/>
        </w:rPr>
        <w:t>支出进度</w:t>
      </w:r>
      <w:r>
        <w:rPr>
          <w:rFonts w:hint="default" w:ascii="仿宋" w:hAnsi="仿宋" w:eastAsia="仿宋" w:cs="黑体"/>
          <w:kern w:val="2"/>
          <w:sz w:val="32"/>
          <w:szCs w:val="32"/>
          <w:lang w:val="en-US" w:eastAsia="zh-CN" w:bidi="ar-SA"/>
        </w:rPr>
        <w:tab/>
      </w:r>
    </w:p>
    <w:p w14:paraId="5BD13F25">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部门季度支出进度情况</w:t>
      </w:r>
      <w:r>
        <w:rPr>
          <w:rFonts w:hint="eastAsia" w:ascii="仿宋" w:hAnsi="仿宋" w:eastAsia="仿宋" w:cs="黑体"/>
          <w:kern w:val="2"/>
          <w:sz w:val="32"/>
          <w:szCs w:val="32"/>
          <w:lang w:val="en-US" w:eastAsia="zh-CN" w:bidi="ar-SA"/>
        </w:rPr>
        <w:t>中，四个</w:t>
      </w:r>
      <w:r>
        <w:rPr>
          <w:rFonts w:hint="default" w:ascii="仿宋" w:hAnsi="仿宋" w:eastAsia="仿宋" w:cs="黑体"/>
          <w:kern w:val="2"/>
          <w:sz w:val="32"/>
          <w:szCs w:val="32"/>
          <w:lang w:val="en-US" w:eastAsia="zh-CN" w:bidi="ar-SA"/>
        </w:rPr>
        <w:t>季度支出进度</w:t>
      </w:r>
      <w:r>
        <w:rPr>
          <w:rFonts w:hint="eastAsia" w:ascii="仿宋" w:hAnsi="仿宋" w:eastAsia="仿宋" w:cs="黑体"/>
          <w:kern w:val="2"/>
          <w:sz w:val="32"/>
          <w:szCs w:val="32"/>
          <w:lang w:val="en-US" w:eastAsia="zh-CN" w:bidi="ar-SA"/>
        </w:rPr>
        <w:t>均</w:t>
      </w:r>
      <w:r>
        <w:rPr>
          <w:rFonts w:hint="default" w:ascii="仿宋" w:hAnsi="仿宋" w:eastAsia="仿宋" w:cs="黑体"/>
          <w:kern w:val="2"/>
          <w:sz w:val="32"/>
          <w:szCs w:val="32"/>
          <w:lang w:val="en-US" w:eastAsia="zh-CN" w:bidi="ar-SA"/>
        </w:rPr>
        <w:t>达到序时进度</w:t>
      </w:r>
      <w:r>
        <w:rPr>
          <w:rFonts w:hint="eastAsia" w:ascii="仿宋" w:hAnsi="仿宋" w:eastAsia="仿宋" w:cs="黑体"/>
          <w:kern w:val="2"/>
          <w:sz w:val="32"/>
          <w:szCs w:val="32"/>
          <w:lang w:val="en-US" w:eastAsia="zh-CN" w:bidi="ar-SA"/>
        </w:rPr>
        <w:t>，故此项得4分。</w:t>
      </w:r>
    </w:p>
    <w:p w14:paraId="0DD8F4B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w:t>
      </w:r>
      <w:r>
        <w:rPr>
          <w:rFonts w:hint="default" w:ascii="仿宋" w:hAnsi="仿宋" w:eastAsia="仿宋" w:cs="黑体"/>
          <w:kern w:val="2"/>
          <w:sz w:val="32"/>
          <w:szCs w:val="32"/>
          <w:lang w:val="en-US" w:eastAsia="zh-CN" w:bidi="ar-SA"/>
        </w:rPr>
        <w:t>资金结余结转率</w:t>
      </w:r>
      <w:r>
        <w:rPr>
          <w:rFonts w:hint="default" w:ascii="仿宋" w:hAnsi="仿宋" w:eastAsia="仿宋" w:cs="黑体"/>
          <w:kern w:val="2"/>
          <w:sz w:val="32"/>
          <w:szCs w:val="32"/>
          <w:lang w:val="en-US" w:eastAsia="zh-CN" w:bidi="ar-SA"/>
        </w:rPr>
        <w:tab/>
      </w:r>
    </w:p>
    <w:p w14:paraId="5DD6F950">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部门本年度</w:t>
      </w:r>
      <w:r>
        <w:rPr>
          <w:rFonts w:hint="eastAsia" w:ascii="仿宋" w:hAnsi="仿宋" w:eastAsia="仿宋" w:cs="黑体"/>
          <w:kern w:val="2"/>
          <w:sz w:val="32"/>
          <w:szCs w:val="32"/>
          <w:lang w:val="en-US" w:eastAsia="zh-CN" w:bidi="ar-SA"/>
        </w:rPr>
        <w:t>有</w:t>
      </w:r>
      <w:r>
        <w:rPr>
          <w:rFonts w:hint="default" w:ascii="仿宋" w:hAnsi="仿宋" w:eastAsia="仿宋" w:cs="黑体"/>
          <w:kern w:val="2"/>
          <w:sz w:val="32"/>
          <w:szCs w:val="32"/>
          <w:lang w:val="en-US" w:eastAsia="zh-CN" w:bidi="ar-SA"/>
        </w:rPr>
        <w:t>结转结</w:t>
      </w:r>
      <w:r>
        <w:rPr>
          <w:rFonts w:hint="eastAsia" w:ascii="仿宋" w:hAnsi="仿宋" w:eastAsia="仿宋" w:cs="黑体"/>
          <w:kern w:val="2"/>
          <w:sz w:val="32"/>
          <w:szCs w:val="32"/>
          <w:lang w:val="en-US" w:eastAsia="zh-CN" w:bidi="ar-SA"/>
        </w:rPr>
        <w:t>资金，</w:t>
      </w:r>
      <w:r>
        <w:rPr>
          <w:rFonts w:hint="default" w:ascii="仿宋" w:hAnsi="仿宋" w:eastAsia="仿宋" w:cs="黑体"/>
          <w:kern w:val="2"/>
          <w:sz w:val="32"/>
          <w:szCs w:val="32"/>
          <w:lang w:val="en-US" w:eastAsia="zh-CN" w:bidi="ar-SA"/>
        </w:rPr>
        <w:t>结转</w:t>
      </w:r>
      <w:r>
        <w:rPr>
          <w:rFonts w:hint="eastAsia" w:ascii="仿宋" w:hAnsi="仿宋" w:eastAsia="仿宋" w:cs="黑体"/>
          <w:kern w:val="2"/>
          <w:sz w:val="32"/>
          <w:szCs w:val="32"/>
          <w:lang w:val="en-US" w:eastAsia="zh-CN" w:bidi="ar-SA"/>
        </w:rPr>
        <w:t>率为0.7%，故此项得2分。</w:t>
      </w:r>
    </w:p>
    <w:p w14:paraId="4954B95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w:t>
      </w:r>
      <w:r>
        <w:rPr>
          <w:rFonts w:hint="default" w:ascii="仿宋" w:hAnsi="仿宋" w:eastAsia="仿宋" w:cs="黑体"/>
          <w:kern w:val="2"/>
          <w:sz w:val="32"/>
          <w:szCs w:val="32"/>
          <w:lang w:val="en-US" w:eastAsia="zh-CN" w:bidi="ar-SA"/>
        </w:rPr>
        <w:t>“三公经费”控制率</w:t>
      </w:r>
      <w:r>
        <w:rPr>
          <w:rFonts w:hint="default" w:ascii="仿宋" w:hAnsi="仿宋" w:eastAsia="仿宋" w:cs="黑体"/>
          <w:kern w:val="2"/>
          <w:sz w:val="32"/>
          <w:szCs w:val="32"/>
          <w:lang w:val="en-US" w:eastAsia="zh-CN" w:bidi="ar-SA"/>
        </w:rPr>
        <w:tab/>
      </w:r>
    </w:p>
    <w:p w14:paraId="1855104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本年度“三公经费”控制率</w:t>
      </w:r>
      <w:r>
        <w:rPr>
          <w:rFonts w:hint="eastAsia" w:ascii="仿宋" w:hAnsi="仿宋" w:eastAsia="仿宋" w:cs="黑体"/>
          <w:kern w:val="2"/>
          <w:sz w:val="32"/>
          <w:szCs w:val="32"/>
          <w:lang w:val="en-US" w:eastAsia="zh-CN" w:bidi="ar-SA"/>
        </w:rPr>
        <w:t>为100</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，故此项得2分。</w:t>
      </w:r>
    </w:p>
    <w:p w14:paraId="0977903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w:t>
      </w:r>
      <w:r>
        <w:rPr>
          <w:rFonts w:hint="default" w:ascii="仿宋" w:hAnsi="仿宋" w:eastAsia="仿宋" w:cs="黑体"/>
          <w:kern w:val="2"/>
          <w:sz w:val="32"/>
          <w:szCs w:val="32"/>
          <w:lang w:val="en-US" w:eastAsia="zh-CN" w:bidi="ar-SA"/>
        </w:rPr>
        <w:t>政府采购执行率</w:t>
      </w:r>
      <w:r>
        <w:rPr>
          <w:rFonts w:hint="default" w:ascii="仿宋" w:hAnsi="仿宋" w:eastAsia="仿宋" w:cs="黑体"/>
          <w:kern w:val="2"/>
          <w:sz w:val="32"/>
          <w:szCs w:val="32"/>
          <w:lang w:val="en-US" w:eastAsia="zh-CN" w:bidi="ar-SA"/>
        </w:rPr>
        <w:tab/>
      </w:r>
    </w:p>
    <w:p w14:paraId="20424D1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部门本年度政府采购预算</w:t>
      </w:r>
      <w:r>
        <w:rPr>
          <w:rFonts w:hint="eastAsia"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釆购机关根据事业发展计划和行政任务编制的、并经过规定程序批准的年度政府采购计划</w:t>
      </w:r>
      <w:r>
        <w:rPr>
          <w:rFonts w:hint="eastAsia" w:ascii="仿宋" w:hAnsi="仿宋" w:eastAsia="仿宋" w:cs="黑体"/>
          <w:kern w:val="2"/>
          <w:sz w:val="32"/>
          <w:szCs w:val="32"/>
          <w:lang w:val="en-US" w:eastAsia="zh-CN" w:bidi="ar-SA"/>
        </w:rPr>
        <w:t>，故此项得1分。</w:t>
      </w:r>
    </w:p>
    <w:p w14:paraId="16EC5BD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w:t>
      </w:r>
      <w:r>
        <w:rPr>
          <w:rFonts w:hint="default" w:ascii="仿宋" w:hAnsi="仿宋" w:eastAsia="仿宋" w:cs="黑体"/>
          <w:kern w:val="2"/>
          <w:sz w:val="32"/>
          <w:szCs w:val="32"/>
          <w:lang w:val="en-US" w:eastAsia="zh-CN" w:bidi="ar-SA"/>
        </w:rPr>
        <w:t>决策真实性</w:t>
      </w:r>
      <w:r>
        <w:rPr>
          <w:rFonts w:hint="default" w:ascii="仿宋" w:hAnsi="仿宋" w:eastAsia="仿宋" w:cs="黑体"/>
          <w:kern w:val="2"/>
          <w:sz w:val="32"/>
          <w:szCs w:val="32"/>
          <w:lang w:val="en-US" w:eastAsia="zh-CN" w:bidi="ar-SA"/>
        </w:rPr>
        <w:tab/>
      </w:r>
    </w:p>
    <w:p w14:paraId="29CC2C16">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考核决算编制数据账表一致,即决算报表数据与会计账簿数据一致</w:t>
      </w:r>
      <w:r>
        <w:rPr>
          <w:rFonts w:hint="eastAsia" w:ascii="仿宋" w:hAnsi="仿宋" w:eastAsia="仿宋" w:cs="黑体"/>
          <w:kern w:val="2"/>
          <w:sz w:val="32"/>
          <w:szCs w:val="32"/>
          <w:lang w:val="en-US" w:eastAsia="zh-CN" w:bidi="ar-SA"/>
        </w:rPr>
        <w:t>，故此项得2分。</w:t>
      </w:r>
    </w:p>
    <w:p w14:paraId="7413C028">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8.</w:t>
      </w:r>
      <w:r>
        <w:rPr>
          <w:rFonts w:hint="default" w:ascii="仿宋" w:hAnsi="仿宋" w:eastAsia="仿宋" w:cs="黑体"/>
          <w:kern w:val="2"/>
          <w:sz w:val="32"/>
          <w:szCs w:val="32"/>
          <w:highlight w:val="none"/>
          <w:lang w:val="en-US" w:eastAsia="zh-CN" w:bidi="ar-SA"/>
        </w:rPr>
        <w:t>资金使用合规性</w:t>
      </w:r>
      <w:r>
        <w:rPr>
          <w:rFonts w:hint="default" w:ascii="仿宋" w:hAnsi="仿宋" w:eastAsia="仿宋" w:cs="黑体"/>
          <w:kern w:val="2"/>
          <w:sz w:val="32"/>
          <w:szCs w:val="32"/>
          <w:highlight w:val="none"/>
          <w:lang w:val="en-US" w:eastAsia="zh-CN" w:bidi="ar-SA"/>
        </w:rPr>
        <w:tab/>
      </w:r>
    </w:p>
    <w:p w14:paraId="3673839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经自评，我院严格</w:t>
      </w:r>
      <w:r>
        <w:rPr>
          <w:rFonts w:hint="default" w:ascii="仿宋" w:hAnsi="仿宋" w:eastAsia="仿宋" w:cs="黑体"/>
          <w:kern w:val="2"/>
          <w:sz w:val="32"/>
          <w:szCs w:val="32"/>
          <w:highlight w:val="none"/>
          <w:lang w:val="en-US" w:eastAsia="zh-CN" w:bidi="ar-SA"/>
        </w:rPr>
        <w:t>按照相关法律法规以及资金管理办法规定的用途使用预算资金</w:t>
      </w:r>
      <w:r>
        <w:rPr>
          <w:rFonts w:hint="eastAsia" w:ascii="仿宋" w:hAnsi="仿宋" w:eastAsia="仿宋" w:cs="黑体"/>
          <w:kern w:val="2"/>
          <w:sz w:val="32"/>
          <w:szCs w:val="32"/>
          <w:highlight w:val="none"/>
          <w:lang w:val="en-US" w:eastAsia="zh-CN" w:bidi="ar-SA"/>
        </w:rPr>
        <w:t>，故此项得4分。</w:t>
      </w:r>
    </w:p>
    <w:p w14:paraId="7935038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9.</w:t>
      </w:r>
      <w:r>
        <w:rPr>
          <w:rFonts w:hint="default" w:ascii="仿宋" w:hAnsi="仿宋" w:eastAsia="仿宋" w:cs="黑体"/>
          <w:kern w:val="2"/>
          <w:sz w:val="32"/>
          <w:szCs w:val="32"/>
          <w:highlight w:val="none"/>
          <w:lang w:val="en-US" w:eastAsia="zh-CN" w:bidi="ar-SA"/>
        </w:rPr>
        <w:t>财务管理规范性</w:t>
      </w:r>
      <w:r>
        <w:rPr>
          <w:rFonts w:hint="default" w:ascii="仿宋" w:hAnsi="仿宋" w:eastAsia="仿宋" w:cs="黑体"/>
          <w:kern w:val="2"/>
          <w:sz w:val="32"/>
          <w:szCs w:val="32"/>
          <w:highlight w:val="none"/>
          <w:lang w:val="en-US" w:eastAsia="zh-CN" w:bidi="ar-SA"/>
        </w:rPr>
        <w:tab/>
      </w:r>
    </w:p>
    <w:p w14:paraId="08E1CBA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经自评，我院</w:t>
      </w:r>
      <w:r>
        <w:rPr>
          <w:rFonts w:hint="default" w:ascii="仿宋" w:hAnsi="仿宋" w:eastAsia="仿宋" w:cs="黑体"/>
          <w:kern w:val="2"/>
          <w:sz w:val="32"/>
          <w:szCs w:val="32"/>
          <w:highlight w:val="none"/>
          <w:lang w:val="en-US" w:eastAsia="zh-CN" w:bidi="ar-SA"/>
        </w:rPr>
        <w:t>相关财务规则和会计制度的执行情况,符合国家财经法规和财务管理制度规定以及有关专项资金管理办法的规定；资金的拨付有完整的审批程序和手续；项目的重大开支经过评估论证；符合部门预算批复的用途；</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存在截留支出情况；</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存在挤占支出情况；</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存在挪用支出情况；</w:t>
      </w:r>
      <w:r>
        <w:rPr>
          <w:rFonts w:hint="eastAsia" w:ascii="仿宋" w:hAnsi="仿宋" w:eastAsia="仿宋" w:cs="黑体"/>
          <w:kern w:val="2"/>
          <w:sz w:val="32"/>
          <w:szCs w:val="32"/>
          <w:highlight w:val="none"/>
          <w:lang w:val="en-US" w:eastAsia="zh-CN" w:bidi="ar-SA"/>
        </w:rPr>
        <w:t>不</w:t>
      </w:r>
      <w:r>
        <w:rPr>
          <w:rFonts w:hint="default" w:ascii="仿宋" w:hAnsi="仿宋" w:eastAsia="仿宋" w:cs="黑体"/>
          <w:kern w:val="2"/>
          <w:sz w:val="32"/>
          <w:szCs w:val="32"/>
          <w:highlight w:val="none"/>
          <w:lang w:val="en-US" w:eastAsia="zh-CN" w:bidi="ar-SA"/>
        </w:rPr>
        <w:t>存在虚列支出情况</w:t>
      </w:r>
      <w:r>
        <w:rPr>
          <w:rFonts w:hint="eastAsia" w:ascii="仿宋" w:hAnsi="仿宋" w:eastAsia="仿宋" w:cs="黑体"/>
          <w:kern w:val="2"/>
          <w:sz w:val="32"/>
          <w:szCs w:val="32"/>
          <w:highlight w:val="none"/>
          <w:lang w:val="en-US" w:eastAsia="zh-CN" w:bidi="ar-SA"/>
        </w:rPr>
        <w:t>，故此项得5分。</w:t>
      </w:r>
    </w:p>
    <w:p w14:paraId="57AC703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w:t>
      </w:r>
      <w:r>
        <w:rPr>
          <w:rFonts w:hint="default" w:ascii="仿宋" w:hAnsi="仿宋" w:eastAsia="仿宋" w:cs="黑体"/>
          <w:kern w:val="2"/>
          <w:sz w:val="32"/>
          <w:szCs w:val="32"/>
          <w:lang w:val="en-US" w:eastAsia="zh-CN" w:bidi="ar-SA"/>
        </w:rPr>
        <w:t>预算管理（7</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04A4336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管理制度健全性</w:t>
      </w:r>
      <w:r>
        <w:rPr>
          <w:rFonts w:hint="default" w:ascii="仿宋" w:hAnsi="仿宋" w:eastAsia="仿宋" w:cs="黑体"/>
          <w:kern w:val="2"/>
          <w:sz w:val="32"/>
          <w:szCs w:val="32"/>
          <w:lang w:val="en-US" w:eastAsia="zh-CN" w:bidi="ar-SA"/>
        </w:rPr>
        <w:tab/>
      </w:r>
    </w:p>
    <w:p w14:paraId="019C59C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部门为加强预算管理,规范财务行为而制定的管理制度健全完整,相关管理制度得到有效执行</w:t>
      </w:r>
      <w:r>
        <w:rPr>
          <w:rFonts w:hint="eastAsia" w:ascii="仿宋" w:hAnsi="仿宋" w:eastAsia="仿宋" w:cs="黑体"/>
          <w:kern w:val="2"/>
          <w:sz w:val="32"/>
          <w:szCs w:val="32"/>
          <w:lang w:val="en-US" w:eastAsia="zh-CN" w:bidi="ar-SA"/>
        </w:rPr>
        <w:t>，故此项得2分。</w:t>
      </w:r>
    </w:p>
    <w:p w14:paraId="44F6173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预决算信息公开性</w:t>
      </w:r>
      <w:r>
        <w:rPr>
          <w:rFonts w:hint="default" w:ascii="仿宋" w:hAnsi="仿宋" w:eastAsia="仿宋" w:cs="黑体"/>
          <w:kern w:val="2"/>
          <w:sz w:val="32"/>
          <w:szCs w:val="32"/>
          <w:lang w:val="en-US" w:eastAsia="zh-CN" w:bidi="ar-SA"/>
        </w:rPr>
        <w:tab/>
      </w:r>
    </w:p>
    <w:p w14:paraId="3C5EE5A0">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部门按照政府信息公开有关规定内容</w:t>
      </w:r>
      <w:r>
        <w:rPr>
          <w:rFonts w:hint="eastAsia" w:ascii="仿宋" w:hAnsi="仿宋" w:eastAsia="仿宋" w:cs="黑体"/>
          <w:kern w:val="2"/>
          <w:sz w:val="32"/>
          <w:szCs w:val="32"/>
          <w:lang w:val="en-US" w:eastAsia="zh-CN" w:bidi="ar-SA"/>
        </w:rPr>
        <w:t>和</w:t>
      </w:r>
      <w:r>
        <w:rPr>
          <w:rFonts w:hint="default" w:ascii="仿宋" w:hAnsi="仿宋" w:eastAsia="仿宋" w:cs="黑体"/>
          <w:kern w:val="2"/>
          <w:sz w:val="32"/>
          <w:szCs w:val="32"/>
          <w:lang w:val="en-US" w:eastAsia="zh-CN" w:bidi="ar-SA"/>
        </w:rPr>
        <w:t>时限公开部门预算、执行、决算、监督、绩效等相关预决算信息,</w:t>
      </w:r>
      <w:r>
        <w:rPr>
          <w:rFonts w:hint="eastAsia" w:ascii="仿宋" w:hAnsi="仿宋" w:eastAsia="仿宋" w:cs="黑体"/>
          <w:kern w:val="2"/>
          <w:sz w:val="32"/>
          <w:szCs w:val="32"/>
          <w:lang w:val="en-US" w:eastAsia="zh-CN" w:bidi="ar-SA"/>
        </w:rPr>
        <w:t>故此项得2分。</w:t>
      </w:r>
    </w:p>
    <w:p w14:paraId="3033CD9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w:t>
      </w:r>
      <w:r>
        <w:rPr>
          <w:rFonts w:hint="default" w:ascii="仿宋" w:hAnsi="仿宋" w:eastAsia="仿宋" w:cs="黑体"/>
          <w:kern w:val="2"/>
          <w:sz w:val="32"/>
          <w:szCs w:val="32"/>
          <w:lang w:val="en-US" w:eastAsia="zh-CN" w:bidi="ar-SA"/>
        </w:rPr>
        <w:t>基础信息完善性</w:t>
      </w:r>
      <w:r>
        <w:rPr>
          <w:rFonts w:hint="default" w:ascii="仿宋" w:hAnsi="仿宋" w:eastAsia="仿宋" w:cs="黑体"/>
          <w:kern w:val="2"/>
          <w:sz w:val="32"/>
          <w:szCs w:val="32"/>
          <w:lang w:val="en-US" w:eastAsia="zh-CN" w:bidi="ar-SA"/>
        </w:rPr>
        <w:tab/>
      </w:r>
    </w:p>
    <w:p w14:paraId="3F9C760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部门基础数据信息和会计信息资料真实</w:t>
      </w:r>
      <w:r>
        <w:rPr>
          <w:rFonts w:hint="eastAsia"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完整,</w:t>
      </w:r>
      <w:r>
        <w:rPr>
          <w:rFonts w:hint="eastAsia" w:ascii="仿宋" w:hAnsi="仿宋" w:eastAsia="仿宋" w:cs="黑体"/>
          <w:kern w:val="2"/>
          <w:sz w:val="32"/>
          <w:szCs w:val="32"/>
          <w:lang w:val="en-US" w:eastAsia="zh-CN" w:bidi="ar-SA"/>
        </w:rPr>
        <w:t>故此项得1分。</w:t>
      </w:r>
    </w:p>
    <w:p w14:paraId="6BBBB3F8">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w:t>
      </w:r>
      <w:r>
        <w:rPr>
          <w:rFonts w:hint="default" w:ascii="仿宋" w:hAnsi="仿宋" w:eastAsia="仿宋" w:cs="黑体"/>
          <w:kern w:val="2"/>
          <w:sz w:val="32"/>
          <w:szCs w:val="32"/>
          <w:lang w:val="en-US" w:eastAsia="zh-CN" w:bidi="ar-SA"/>
        </w:rPr>
        <w:t>资产管理规范性</w:t>
      </w:r>
      <w:r>
        <w:rPr>
          <w:rFonts w:hint="default" w:ascii="仿宋" w:hAnsi="仿宋" w:eastAsia="仿宋" w:cs="黑体"/>
          <w:kern w:val="2"/>
          <w:sz w:val="32"/>
          <w:szCs w:val="32"/>
          <w:lang w:val="en-US" w:eastAsia="zh-CN" w:bidi="ar-SA"/>
        </w:rPr>
        <w:tab/>
      </w:r>
    </w:p>
    <w:p w14:paraId="448F72A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部门的资产配置、使用合规,处置规范,收</w:t>
      </w:r>
      <w:r>
        <w:rPr>
          <w:rFonts w:hint="eastAsia" w:ascii="仿宋" w:hAnsi="仿宋" w:eastAsia="仿宋" w:cs="黑体"/>
          <w:kern w:val="2"/>
          <w:sz w:val="32"/>
          <w:szCs w:val="32"/>
          <w:lang w:val="en-US" w:eastAsia="zh-CN" w:bidi="ar-SA"/>
        </w:rPr>
        <w:t>入</w:t>
      </w:r>
      <w:r>
        <w:rPr>
          <w:rFonts w:hint="default" w:ascii="仿宋" w:hAnsi="仿宋" w:eastAsia="仿宋" w:cs="黑体"/>
          <w:kern w:val="2"/>
          <w:sz w:val="32"/>
          <w:szCs w:val="32"/>
          <w:lang w:val="en-US" w:eastAsia="zh-CN" w:bidi="ar-SA"/>
        </w:rPr>
        <w:t>及时足额上缴,</w:t>
      </w:r>
      <w:r>
        <w:rPr>
          <w:rFonts w:hint="eastAsia" w:ascii="仿宋" w:hAnsi="仿宋" w:eastAsia="仿宋" w:cs="黑体"/>
          <w:kern w:val="2"/>
          <w:sz w:val="32"/>
          <w:szCs w:val="32"/>
          <w:lang w:val="en-US" w:eastAsia="zh-CN" w:bidi="ar-SA"/>
        </w:rPr>
        <w:t>故此项得2分。</w:t>
      </w:r>
    </w:p>
    <w:p w14:paraId="4FBF2685">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w:t>
      </w:r>
      <w:r>
        <w:rPr>
          <w:rFonts w:hint="default" w:ascii="仿宋" w:hAnsi="仿宋" w:eastAsia="仿宋" w:cs="黑体"/>
          <w:kern w:val="2"/>
          <w:sz w:val="32"/>
          <w:szCs w:val="32"/>
          <w:lang w:val="en-US" w:eastAsia="zh-CN" w:bidi="ar-SA"/>
        </w:rPr>
        <w:t>绩效评价（8</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5E3B09B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绩效自评覆盖率</w:t>
      </w:r>
      <w:r>
        <w:rPr>
          <w:rFonts w:hint="default" w:ascii="仿宋" w:hAnsi="仿宋" w:eastAsia="仿宋" w:cs="黑体"/>
          <w:kern w:val="2"/>
          <w:sz w:val="32"/>
          <w:szCs w:val="32"/>
          <w:lang w:val="en-US" w:eastAsia="zh-CN" w:bidi="ar-SA"/>
        </w:rPr>
        <w:tab/>
      </w:r>
    </w:p>
    <w:p w14:paraId="5945823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w:t>
      </w:r>
      <w:r>
        <w:rPr>
          <w:rFonts w:hint="eastAsia" w:ascii="仿宋" w:hAnsi="仿宋" w:eastAsia="仿宋" w:cs="黑体"/>
          <w:kern w:val="2"/>
          <w:sz w:val="32"/>
          <w:szCs w:val="32"/>
          <w:lang w:val="en-US" w:eastAsia="zh-CN" w:bidi="ar-SA"/>
        </w:rPr>
        <w:t>严格</w:t>
      </w:r>
      <w:r>
        <w:rPr>
          <w:rFonts w:hint="default" w:ascii="仿宋" w:hAnsi="仿宋" w:eastAsia="仿宋" w:cs="黑体"/>
          <w:kern w:val="2"/>
          <w:sz w:val="32"/>
          <w:szCs w:val="32"/>
          <w:lang w:val="en-US" w:eastAsia="zh-CN" w:bidi="ar-SA"/>
        </w:rPr>
        <w:t>按照财政局要求实施绩效自评并</w:t>
      </w:r>
      <w:r>
        <w:rPr>
          <w:rFonts w:hint="eastAsia" w:ascii="仿宋" w:hAnsi="仿宋" w:eastAsia="仿宋" w:cs="黑体"/>
          <w:kern w:val="2"/>
          <w:sz w:val="32"/>
          <w:szCs w:val="32"/>
          <w:lang w:val="en-US" w:eastAsia="zh-CN" w:bidi="ar-SA"/>
        </w:rPr>
        <w:t>全部</w:t>
      </w:r>
      <w:r>
        <w:rPr>
          <w:rFonts w:hint="default" w:ascii="仿宋" w:hAnsi="仿宋" w:eastAsia="仿宋" w:cs="黑体"/>
          <w:kern w:val="2"/>
          <w:sz w:val="32"/>
          <w:szCs w:val="32"/>
          <w:lang w:val="en-US" w:eastAsia="zh-CN" w:bidi="ar-SA"/>
        </w:rPr>
        <w:t>报送相关自评材料,</w:t>
      </w:r>
      <w:r>
        <w:rPr>
          <w:rFonts w:hint="eastAsia" w:ascii="仿宋" w:hAnsi="仿宋" w:eastAsia="仿宋" w:cs="黑体"/>
          <w:kern w:val="2"/>
          <w:sz w:val="32"/>
          <w:szCs w:val="32"/>
          <w:lang w:val="en-US" w:eastAsia="zh-CN" w:bidi="ar-SA"/>
        </w:rPr>
        <w:t>故此项得4分。</w:t>
      </w:r>
    </w:p>
    <w:p w14:paraId="36D344E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评价结果应用率</w:t>
      </w:r>
      <w:r>
        <w:rPr>
          <w:rFonts w:hint="default" w:ascii="仿宋" w:hAnsi="仿宋" w:eastAsia="仿宋" w:cs="黑体"/>
          <w:kern w:val="2"/>
          <w:sz w:val="32"/>
          <w:szCs w:val="32"/>
          <w:lang w:val="en-US" w:eastAsia="zh-CN" w:bidi="ar-SA"/>
        </w:rPr>
        <w:tab/>
      </w:r>
    </w:p>
    <w:p w14:paraId="574A761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财政绩效评价、部门自评结果应用情况</w:t>
      </w:r>
      <w:r>
        <w:rPr>
          <w:rFonts w:hint="eastAsia" w:ascii="仿宋" w:hAnsi="仿宋" w:eastAsia="仿宋" w:cs="黑体"/>
          <w:kern w:val="2"/>
          <w:sz w:val="32"/>
          <w:szCs w:val="32"/>
          <w:lang w:val="en-US" w:eastAsia="zh-CN" w:bidi="ar-SA"/>
        </w:rPr>
        <w:t>中</w:t>
      </w:r>
      <w:r>
        <w:rPr>
          <w:rFonts w:hint="default" w:ascii="仿宋" w:hAnsi="仿宋" w:eastAsia="仿宋" w:cs="黑体"/>
          <w:kern w:val="2"/>
          <w:sz w:val="32"/>
          <w:szCs w:val="32"/>
          <w:lang w:val="en-US" w:eastAsia="zh-CN" w:bidi="ar-SA"/>
        </w:rPr>
        <w:t>提出的意见建议</w:t>
      </w:r>
      <w:r>
        <w:rPr>
          <w:rFonts w:hint="eastAsia" w:ascii="仿宋" w:hAnsi="仿宋" w:eastAsia="仿宋" w:cs="黑体"/>
          <w:kern w:val="2"/>
          <w:sz w:val="32"/>
          <w:szCs w:val="32"/>
          <w:lang w:val="en-US" w:eastAsia="zh-CN" w:bidi="ar-SA"/>
        </w:rPr>
        <w:t>被</w:t>
      </w:r>
      <w:r>
        <w:rPr>
          <w:rFonts w:hint="default" w:ascii="仿宋" w:hAnsi="仿宋" w:eastAsia="仿宋" w:cs="黑体"/>
          <w:kern w:val="2"/>
          <w:sz w:val="32"/>
          <w:szCs w:val="32"/>
          <w:lang w:val="en-US" w:eastAsia="zh-CN" w:bidi="ar-SA"/>
        </w:rPr>
        <w:t>采纳</w:t>
      </w:r>
      <w:r>
        <w:rPr>
          <w:rFonts w:hint="eastAsia" w:ascii="仿宋" w:hAnsi="仿宋" w:eastAsia="仿宋" w:cs="黑体"/>
          <w:kern w:val="2"/>
          <w:sz w:val="32"/>
          <w:szCs w:val="32"/>
          <w:lang w:val="en-US" w:eastAsia="zh-CN" w:bidi="ar-SA"/>
        </w:rPr>
        <w:t>并应用于下年预算</w:t>
      </w:r>
      <w:r>
        <w:rPr>
          <w:rFonts w:hint="default"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zh-CN" w:bidi="ar-SA"/>
        </w:rPr>
        <w:t>故此项得4分。</w:t>
      </w:r>
    </w:p>
    <w:p w14:paraId="3EFEBA4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w:t>
      </w:r>
      <w:r>
        <w:rPr>
          <w:rFonts w:hint="default" w:ascii="仿宋" w:hAnsi="仿宋" w:eastAsia="仿宋" w:cs="黑体"/>
          <w:kern w:val="2"/>
          <w:sz w:val="32"/>
          <w:szCs w:val="32"/>
          <w:lang w:val="en-US" w:eastAsia="zh-CN" w:bidi="ar-SA"/>
        </w:rPr>
        <w:t>产出</w:t>
      </w:r>
      <w:r>
        <w:rPr>
          <w:rFonts w:hint="eastAsia" w:ascii="仿宋" w:hAnsi="仿宋" w:eastAsia="仿宋" w:cs="黑体"/>
          <w:kern w:val="2"/>
          <w:sz w:val="32"/>
          <w:szCs w:val="32"/>
          <w:lang w:val="en-US" w:eastAsia="zh-CN" w:bidi="ar-SA"/>
        </w:rPr>
        <w:t>指标</w:t>
      </w:r>
    </w:p>
    <w:p w14:paraId="2EDD59F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w:t>
      </w:r>
      <w:r>
        <w:rPr>
          <w:rFonts w:hint="default" w:ascii="仿宋" w:hAnsi="仿宋" w:eastAsia="仿宋" w:cs="黑体"/>
          <w:kern w:val="2"/>
          <w:sz w:val="32"/>
          <w:szCs w:val="32"/>
          <w:lang w:val="en-US" w:eastAsia="zh-CN" w:bidi="ar-SA"/>
        </w:rPr>
        <w:t>数量指标（10</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1FCE40AE">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（1）办理案件数</w:t>
      </w:r>
    </w:p>
    <w:p w14:paraId="4BE99A8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经自评，2024年我院总共办理案件数486件，未达到预期指标值。该项得分0分。</w:t>
      </w:r>
    </w:p>
    <w:p w14:paraId="18B4DD8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（2）购买设备数量</w:t>
      </w:r>
    </w:p>
    <w:p w14:paraId="43A26B8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经自评，2024年购买了96（台/套）设备。该项得分3分。</w:t>
      </w:r>
    </w:p>
    <w:p w14:paraId="7627AF5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（3）保障人数</w:t>
      </w:r>
    </w:p>
    <w:p w14:paraId="72F4A472">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经自评，经费保障了我院75人正常工作。该项得分3分。</w:t>
      </w:r>
    </w:p>
    <w:p w14:paraId="4D03E92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w:t>
      </w:r>
      <w:r>
        <w:rPr>
          <w:rFonts w:hint="default" w:ascii="仿宋" w:hAnsi="仿宋" w:eastAsia="仿宋" w:cs="黑体"/>
          <w:kern w:val="2"/>
          <w:sz w:val="32"/>
          <w:szCs w:val="32"/>
          <w:lang w:val="en-US" w:eastAsia="zh-CN" w:bidi="ar-SA"/>
        </w:rPr>
        <w:t>质量指标（10</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367351E1">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（1）验收合格率</w:t>
      </w:r>
    </w:p>
    <w:p w14:paraId="7A39F83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经自评，验收合格率为100%。该项得分3分。</w:t>
      </w:r>
    </w:p>
    <w:p w14:paraId="2B63D76F">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（2）保障机关正常运转</w:t>
      </w:r>
    </w:p>
    <w:p w14:paraId="14AC037B">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经自评，保障了我院正常工作运转。该项得分3分。</w:t>
      </w:r>
    </w:p>
    <w:p w14:paraId="1523D976">
      <w:pPr>
        <w:pStyle w:val="5"/>
        <w:keepNext w:val="0"/>
        <w:keepLines w:val="0"/>
        <w:pageBreakBefore w:val="0"/>
        <w:widowControl w:val="0"/>
        <w:numPr>
          <w:ilvl w:val="0"/>
          <w:numId w:val="9"/>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案件办结率</w:t>
      </w:r>
    </w:p>
    <w:p w14:paraId="0EE33FD0">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办结案件占所有</w:t>
      </w:r>
      <w:r>
        <w:rPr>
          <w:rFonts w:hint="eastAsia" w:ascii="仿宋" w:hAnsi="仿宋" w:eastAsia="仿宋" w:cs="黑体"/>
          <w:kern w:val="2"/>
          <w:sz w:val="32"/>
          <w:szCs w:val="32"/>
          <w:lang w:val="en-US" w:eastAsia="zh-CN" w:bidi="ar-SA"/>
        </w:rPr>
        <w:t>案件</w:t>
      </w:r>
      <w:r>
        <w:rPr>
          <w:rFonts w:hint="default" w:ascii="仿宋" w:hAnsi="仿宋" w:eastAsia="仿宋" w:cs="黑体"/>
          <w:kern w:val="2"/>
          <w:sz w:val="32"/>
          <w:szCs w:val="32"/>
          <w:lang w:val="en-US" w:eastAsia="zh-CN" w:bidi="ar-SA"/>
        </w:rPr>
        <w:t>的</w:t>
      </w:r>
      <w:r>
        <w:rPr>
          <w:rFonts w:hint="eastAsia" w:ascii="仿宋" w:hAnsi="仿宋" w:eastAsia="仿宋" w:cs="黑体"/>
          <w:kern w:val="2"/>
          <w:sz w:val="32"/>
          <w:szCs w:val="32"/>
          <w:lang w:val="en-US" w:eastAsia="zh-CN" w:bidi="ar-SA"/>
        </w:rPr>
        <w:t>98%。该项得分4分。</w:t>
      </w:r>
    </w:p>
    <w:p w14:paraId="3E789364">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w:t>
      </w:r>
      <w:r>
        <w:rPr>
          <w:rFonts w:hint="default" w:ascii="仿宋" w:hAnsi="仿宋" w:eastAsia="仿宋" w:cs="黑体"/>
          <w:kern w:val="2"/>
          <w:sz w:val="32"/>
          <w:szCs w:val="32"/>
          <w:lang w:val="en-US" w:eastAsia="zh-CN" w:bidi="ar-SA"/>
        </w:rPr>
        <w:t>时效指标（5</w:t>
      </w:r>
      <w:r>
        <w:rPr>
          <w:rFonts w:hint="eastAsia" w:ascii="仿宋" w:hAnsi="仿宋" w:eastAsia="仿宋" w:cs="黑体"/>
          <w:kern w:val="2"/>
          <w:sz w:val="32"/>
          <w:szCs w:val="32"/>
          <w:lang w:val="en-US" w:eastAsia="zh-CN" w:bidi="ar-SA"/>
        </w:rPr>
        <w:t>分</w:t>
      </w:r>
      <w:r>
        <w:rPr>
          <w:rFonts w:hint="default" w:ascii="仿宋" w:hAnsi="仿宋" w:eastAsia="仿宋" w:cs="黑体"/>
          <w:kern w:val="2"/>
          <w:sz w:val="32"/>
          <w:szCs w:val="32"/>
          <w:lang w:val="en-US" w:eastAsia="zh-CN" w:bidi="ar-SA"/>
        </w:rPr>
        <w:t>）</w:t>
      </w:r>
      <w:r>
        <w:rPr>
          <w:rFonts w:hint="default" w:ascii="仿宋" w:hAnsi="仿宋" w:eastAsia="仿宋" w:cs="黑体"/>
          <w:kern w:val="2"/>
          <w:sz w:val="32"/>
          <w:szCs w:val="32"/>
          <w:lang w:val="en-US" w:eastAsia="zh-CN" w:bidi="ar-SA"/>
        </w:rPr>
        <w:tab/>
      </w:r>
    </w:p>
    <w:p w14:paraId="57EBC9FD">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default" w:ascii="仿宋" w:hAnsi="仿宋" w:eastAsia="仿宋" w:cs="黑体"/>
          <w:kern w:val="2"/>
          <w:sz w:val="32"/>
          <w:szCs w:val="32"/>
          <w:lang w:val="en-US" w:eastAsia="zh-CN" w:bidi="ar-SA"/>
        </w:rPr>
        <w:t>经费保障时间</w:t>
      </w:r>
    </w:p>
    <w:p w14:paraId="02B8A90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保障了我院正常运行周期1年，故此项得5分。</w:t>
      </w:r>
    </w:p>
    <w:p w14:paraId="7F77401A">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w:t>
      </w:r>
      <w:r>
        <w:rPr>
          <w:rFonts w:hint="default" w:ascii="仿宋" w:hAnsi="仿宋" w:eastAsia="仿宋" w:cs="黑体"/>
          <w:kern w:val="2"/>
          <w:sz w:val="32"/>
          <w:szCs w:val="32"/>
          <w:lang w:val="en-US" w:eastAsia="zh-CN" w:bidi="ar-SA"/>
        </w:rPr>
        <w:t>效果</w:t>
      </w:r>
      <w:r>
        <w:rPr>
          <w:rFonts w:hint="eastAsia" w:ascii="仿宋" w:hAnsi="仿宋" w:eastAsia="仿宋" w:cs="黑体"/>
          <w:kern w:val="2"/>
          <w:sz w:val="32"/>
          <w:szCs w:val="32"/>
          <w:lang w:val="en-US" w:eastAsia="zh-CN" w:bidi="ar-SA"/>
        </w:rPr>
        <w:t>指标</w:t>
      </w:r>
    </w:p>
    <w:p w14:paraId="16387083">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default" w:ascii="仿宋" w:hAnsi="仿宋" w:eastAsia="仿宋" w:cs="黑体"/>
          <w:kern w:val="2"/>
          <w:sz w:val="32"/>
          <w:szCs w:val="32"/>
          <w:lang w:val="en-US" w:eastAsia="zh-CN" w:bidi="ar-SA"/>
        </w:rPr>
        <w:t>履职效益（15分）</w:t>
      </w:r>
      <w:r>
        <w:rPr>
          <w:rFonts w:hint="default" w:ascii="仿宋" w:hAnsi="仿宋" w:eastAsia="仿宋" w:cs="黑体"/>
          <w:kern w:val="2"/>
          <w:sz w:val="32"/>
          <w:szCs w:val="32"/>
          <w:lang w:val="en-US" w:eastAsia="zh-CN" w:bidi="ar-SA"/>
        </w:rPr>
        <w:tab/>
      </w:r>
    </w:p>
    <w:p w14:paraId="2FCA301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w:t>
      </w:r>
      <w:r>
        <w:rPr>
          <w:rFonts w:hint="default" w:ascii="仿宋" w:hAnsi="仿宋" w:eastAsia="仿宋" w:cs="黑体"/>
          <w:kern w:val="2"/>
          <w:sz w:val="32"/>
          <w:szCs w:val="32"/>
          <w:lang w:val="en-US" w:eastAsia="zh-CN" w:bidi="ar-SA"/>
        </w:rPr>
        <w:t>部门整体效益</w:t>
      </w:r>
      <w:r>
        <w:rPr>
          <w:rFonts w:hint="default" w:ascii="仿宋" w:hAnsi="仿宋" w:eastAsia="仿宋" w:cs="黑体"/>
          <w:kern w:val="2"/>
          <w:sz w:val="32"/>
          <w:szCs w:val="32"/>
          <w:lang w:val="en-US" w:eastAsia="zh-CN" w:bidi="ar-SA"/>
        </w:rPr>
        <w:tab/>
      </w:r>
    </w:p>
    <w:p w14:paraId="2A4A50C8">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经自评，</w:t>
      </w:r>
      <w:r>
        <w:rPr>
          <w:rFonts w:hint="default" w:ascii="仿宋" w:hAnsi="仿宋" w:eastAsia="仿宋" w:cs="黑体"/>
          <w:kern w:val="2"/>
          <w:sz w:val="32"/>
          <w:szCs w:val="32"/>
          <w:lang w:val="en-US" w:eastAsia="zh-CN" w:bidi="ar-SA"/>
        </w:rPr>
        <w:t>部门通过履行社会管理、公共服务、市场监管等职责间接影响</w:t>
      </w:r>
      <w:r>
        <w:rPr>
          <w:rFonts w:hint="eastAsia" w:ascii="仿宋" w:hAnsi="仿宋" w:eastAsia="仿宋" w:cs="黑体"/>
          <w:kern w:val="2"/>
          <w:sz w:val="32"/>
          <w:szCs w:val="32"/>
          <w:lang w:val="en-US" w:eastAsia="zh-CN" w:bidi="ar-SA"/>
        </w:rPr>
        <w:t>了</w:t>
      </w:r>
      <w:r>
        <w:rPr>
          <w:rFonts w:hint="default" w:ascii="仿宋" w:hAnsi="仿宋" w:eastAsia="仿宋" w:cs="黑体"/>
          <w:kern w:val="2"/>
          <w:sz w:val="32"/>
          <w:szCs w:val="32"/>
          <w:lang w:val="en-US" w:eastAsia="zh-CN" w:bidi="ar-SA"/>
        </w:rPr>
        <w:t>社会、经济、民生、环境发展等方面</w:t>
      </w:r>
      <w:r>
        <w:rPr>
          <w:rFonts w:hint="eastAsia" w:ascii="仿宋" w:hAnsi="仿宋" w:eastAsia="仿宋" w:cs="黑体"/>
          <w:kern w:val="2"/>
          <w:sz w:val="32"/>
          <w:szCs w:val="32"/>
          <w:lang w:val="en-US" w:eastAsia="zh-CN" w:bidi="ar-SA"/>
        </w:rPr>
        <w:t>，故此项得8分。</w:t>
      </w:r>
    </w:p>
    <w:p w14:paraId="14CC29B8">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w:t>
      </w:r>
      <w:r>
        <w:rPr>
          <w:rFonts w:hint="default" w:ascii="仿宋" w:hAnsi="仿宋" w:eastAsia="仿宋" w:cs="黑体"/>
          <w:kern w:val="2"/>
          <w:sz w:val="32"/>
          <w:szCs w:val="32"/>
          <w:lang w:val="en-US" w:eastAsia="zh-CN" w:bidi="ar-SA"/>
        </w:rPr>
        <w:t>社会公众满意度</w:t>
      </w:r>
    </w:p>
    <w:p w14:paraId="59575C9C">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0" w:leftChars="0" w:firstLine="640" w:firstLineChars="200"/>
        <w:textAlignment w:val="auto"/>
        <w:rPr>
          <w:rFonts w:hint="eastAsia" w:ascii="仿宋" w:hAnsi="仿宋" w:eastAsia="仿宋"/>
          <w:sz w:val="32"/>
          <w:szCs w:val="32"/>
        </w:rPr>
      </w:pPr>
      <w:r>
        <w:rPr>
          <w:rFonts w:hint="default" w:ascii="仿宋" w:hAnsi="仿宋" w:eastAsia="仿宋" w:cs="黑体"/>
          <w:kern w:val="2"/>
          <w:sz w:val="32"/>
          <w:szCs w:val="32"/>
          <w:lang w:val="en-US" w:eastAsia="zh-CN" w:bidi="ar-SA"/>
        </w:rPr>
        <w:t>通过调查了解社会公众在部门履职效果、解决民众关心的热点问题、厉行节约等方面的满度</w:t>
      </w:r>
      <w:r>
        <w:rPr>
          <w:rFonts w:hint="eastAsia" w:ascii="仿宋" w:hAnsi="仿宋" w:eastAsia="仿宋" w:cs="黑体"/>
          <w:kern w:val="2"/>
          <w:sz w:val="32"/>
          <w:szCs w:val="32"/>
          <w:lang w:val="en-US" w:eastAsia="zh-CN" w:bidi="ar-SA"/>
        </w:rPr>
        <w:t>在90%以上，故此项得6分。</w:t>
      </w:r>
    </w:p>
    <w:p w14:paraId="69D0FD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color w:val="auto"/>
          <w:sz w:val="32"/>
          <w:szCs w:val="32"/>
          <w:lang w:val="en-US" w:eastAsia="zh-CN"/>
        </w:rPr>
      </w:pPr>
      <w:r>
        <w:rPr>
          <w:rFonts w:hint="eastAsia" w:ascii="仿宋_GB2312" w:hAnsi="仿宋" w:eastAsia="仿宋_GB2312" w:cs="仿宋"/>
          <w:color w:val="auto"/>
          <w:sz w:val="32"/>
          <w:szCs w:val="32"/>
          <w:lang w:val="en-US" w:eastAsia="zh-CN"/>
        </w:rPr>
        <w:t xml:space="preserve">                </w:t>
      </w:r>
    </w:p>
    <w:p w14:paraId="3C4A95B8">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3B2C50B">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cs="仿宋"/>
          <w:sz w:val="32"/>
          <w:szCs w:val="32"/>
          <w:lang w:val="en-US" w:eastAsia="zh-CN"/>
        </w:rPr>
        <w:t>最终绩效评价</w:t>
      </w:r>
      <w:r>
        <w:rPr>
          <w:rFonts w:hint="eastAsia" w:ascii="仿宋_GB2312" w:hAnsi="仿宋" w:eastAsia="仿宋_GB2312" w:cs="仿宋"/>
          <w:sz w:val="32"/>
          <w:szCs w:val="32"/>
        </w:rPr>
        <w:t>得分在9</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分，202</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年我院较好的完成了年度工作目标，</w:t>
      </w:r>
      <w:r>
        <w:rPr>
          <w:rFonts w:hint="eastAsia" w:ascii="仿宋_GB2312" w:hAnsi="仿宋" w:eastAsia="仿宋_GB2312" w:cs="仿宋"/>
          <w:sz w:val="32"/>
          <w:szCs w:val="32"/>
          <w:lang w:val="en-US" w:eastAsia="zh-CN"/>
        </w:rPr>
        <w:t>我们认为该项目总体绩效</w:t>
      </w:r>
      <w:r>
        <w:rPr>
          <w:rFonts w:hint="eastAsia" w:ascii="仿宋_GB2312" w:hAnsi="仿宋" w:eastAsia="仿宋_GB2312" w:cs="仿宋"/>
          <w:sz w:val="32"/>
          <w:szCs w:val="32"/>
        </w:rPr>
        <w:t>评价等级为“优秀”。</w:t>
      </w:r>
    </w:p>
    <w:p w14:paraId="5C29DA2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0444AB6">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5980595">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14:paraId="1126A25C">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0A328ED5">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14:paraId="795EB60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多措并举提升预算执行率。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2BC0292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5E5FDD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王军波 党组书记、检察长</w:t>
      </w:r>
    </w:p>
    <w:p w14:paraId="6CB4DE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张战强 党组副书记、副检察长</w:t>
      </w:r>
    </w:p>
    <w:p w14:paraId="01EBD4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lang w:eastAsia="zh-CN"/>
        </w:rPr>
      </w:pPr>
      <w:r>
        <w:rPr>
          <w:rFonts w:hint="eastAsia" w:ascii="仿宋_GB2312" w:hAnsi="仿宋" w:eastAsia="仿宋_GB2312" w:cs="仿宋"/>
          <w:sz w:val="32"/>
          <w:szCs w:val="32"/>
          <w:lang w:val="en-US" w:eastAsia="zh-CN"/>
        </w:rPr>
        <w:t>杜学军</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eastAsia="zh-CN"/>
        </w:rPr>
        <w:t>办公室主任</w:t>
      </w:r>
    </w:p>
    <w:p w14:paraId="0F27CE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周青   财务</w:t>
      </w:r>
    </w:p>
    <w:p w14:paraId="4DCD71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刘晓莹 财务</w:t>
      </w:r>
    </w:p>
    <w:p w14:paraId="40883D77">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swiss"/>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黑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5E12F">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DD011B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024C2D"/>
    <w:multiLevelType w:val="singleLevel"/>
    <w:tmpl w:val="85024C2D"/>
    <w:lvl w:ilvl="0" w:tentative="0">
      <w:start w:val="1"/>
      <w:numFmt w:val="decimal"/>
      <w:suff w:val="nothing"/>
      <w:lvlText w:val="%1、"/>
      <w:lvlJc w:val="left"/>
    </w:lvl>
  </w:abstractNum>
  <w:abstractNum w:abstractNumId="1">
    <w:nsid w:val="B45074A6"/>
    <w:multiLevelType w:val="singleLevel"/>
    <w:tmpl w:val="B45074A6"/>
    <w:lvl w:ilvl="0" w:tentative="0">
      <w:start w:val="2"/>
      <w:numFmt w:val="chineseCounting"/>
      <w:suff w:val="nothing"/>
      <w:lvlText w:val="（%1）"/>
      <w:lvlJc w:val="left"/>
      <w:rPr>
        <w:rFonts w:hint="eastAsia"/>
      </w:rPr>
    </w:lvl>
  </w:abstractNum>
  <w:abstractNum w:abstractNumId="2">
    <w:nsid w:val="E881EFAB"/>
    <w:multiLevelType w:val="singleLevel"/>
    <w:tmpl w:val="E881EFAB"/>
    <w:lvl w:ilvl="0" w:tentative="0">
      <w:start w:val="2"/>
      <w:numFmt w:val="decimal"/>
      <w:suff w:val="nothing"/>
      <w:lvlText w:val="%1、"/>
      <w:lvlJc w:val="left"/>
    </w:lvl>
  </w:abstractNum>
  <w:abstractNum w:abstractNumId="3">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4">
    <w:nsid w:val="1896A945"/>
    <w:multiLevelType w:val="singleLevel"/>
    <w:tmpl w:val="1896A945"/>
    <w:lvl w:ilvl="0" w:tentative="0">
      <w:start w:val="1"/>
      <w:numFmt w:val="chineseCounting"/>
      <w:suff w:val="nothing"/>
      <w:lvlText w:val="（%1）"/>
      <w:lvlJc w:val="left"/>
      <w:rPr>
        <w:rFonts w:hint="eastAsia"/>
      </w:rPr>
    </w:lvl>
  </w:abstractNum>
  <w:abstractNum w:abstractNumId="5">
    <w:nsid w:val="460CFD46"/>
    <w:multiLevelType w:val="singleLevel"/>
    <w:tmpl w:val="460CFD46"/>
    <w:lvl w:ilvl="0" w:tentative="0">
      <w:start w:val="3"/>
      <w:numFmt w:val="decimal"/>
      <w:suff w:val="nothing"/>
      <w:lvlText w:val="（%1）"/>
      <w:lvlJc w:val="left"/>
    </w:lvl>
  </w:abstractNum>
  <w:abstractNum w:abstractNumId="6">
    <w:nsid w:val="47F567DC"/>
    <w:multiLevelType w:val="singleLevel"/>
    <w:tmpl w:val="47F567DC"/>
    <w:lvl w:ilvl="0" w:tentative="0">
      <w:start w:val="1"/>
      <w:numFmt w:val="chineseCounting"/>
      <w:suff w:val="nothing"/>
      <w:lvlText w:val="（%1）"/>
      <w:lvlJc w:val="left"/>
      <w:rPr>
        <w:rFonts w:hint="eastAsia"/>
      </w:rPr>
    </w:lvl>
  </w:abstractNum>
  <w:abstractNum w:abstractNumId="7">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8">
    <w:nsid w:val="62903124"/>
    <w:multiLevelType w:val="singleLevel"/>
    <w:tmpl w:val="62903124"/>
    <w:lvl w:ilvl="0" w:tentative="0">
      <w:start w:val="1"/>
      <w:numFmt w:val="chineseCounting"/>
      <w:suff w:val="nothing"/>
      <w:lvlText w:val="（%1）"/>
      <w:lvlJc w:val="left"/>
    </w:lvl>
  </w:abstractNum>
  <w:num w:numId="1">
    <w:abstractNumId w:val="8"/>
  </w:num>
  <w:num w:numId="2">
    <w:abstractNumId w:val="1"/>
  </w:num>
  <w:num w:numId="3">
    <w:abstractNumId w:val="2"/>
  </w:num>
  <w:num w:numId="4">
    <w:abstractNumId w:val="3"/>
  </w:num>
  <w:num w:numId="5">
    <w:abstractNumId w:val="7"/>
  </w:num>
  <w:num w:numId="6">
    <w:abstractNumId w:val="0"/>
  </w:num>
  <w:num w:numId="7">
    <w:abstractNumId w:val="6"/>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ZlOTk5NjkwY2RlODUzYjU2NWYwMDk0ODg5MTg3MmI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0FFB4B89"/>
    <w:rsid w:val="11B71E6A"/>
    <w:rsid w:val="13A65A4C"/>
    <w:rsid w:val="1AAF0063"/>
    <w:rsid w:val="1BE140DE"/>
    <w:rsid w:val="21486D8C"/>
    <w:rsid w:val="248C197D"/>
    <w:rsid w:val="252959AF"/>
    <w:rsid w:val="252E6A7B"/>
    <w:rsid w:val="276100CD"/>
    <w:rsid w:val="277A6671"/>
    <w:rsid w:val="292D35B7"/>
    <w:rsid w:val="29935837"/>
    <w:rsid w:val="317B3981"/>
    <w:rsid w:val="31E52806"/>
    <w:rsid w:val="33EB6CFF"/>
    <w:rsid w:val="35A12947"/>
    <w:rsid w:val="3663644C"/>
    <w:rsid w:val="37387040"/>
    <w:rsid w:val="377B08E3"/>
    <w:rsid w:val="38334E37"/>
    <w:rsid w:val="39B121AA"/>
    <w:rsid w:val="3A523830"/>
    <w:rsid w:val="3B625C0A"/>
    <w:rsid w:val="3CEE1963"/>
    <w:rsid w:val="3D345ED9"/>
    <w:rsid w:val="402B0D32"/>
    <w:rsid w:val="405E36E2"/>
    <w:rsid w:val="436B78D3"/>
    <w:rsid w:val="48334E04"/>
    <w:rsid w:val="48C00414"/>
    <w:rsid w:val="49DD4008"/>
    <w:rsid w:val="4A882D9C"/>
    <w:rsid w:val="4C9C27FE"/>
    <w:rsid w:val="503B1D58"/>
    <w:rsid w:val="512260B4"/>
    <w:rsid w:val="52BD6ACB"/>
    <w:rsid w:val="542B4700"/>
    <w:rsid w:val="54565708"/>
    <w:rsid w:val="55537534"/>
    <w:rsid w:val="561A74F1"/>
    <w:rsid w:val="597244E8"/>
    <w:rsid w:val="5B591520"/>
    <w:rsid w:val="5EB71C30"/>
    <w:rsid w:val="65E05368"/>
    <w:rsid w:val="66AF0CE5"/>
    <w:rsid w:val="68154E4B"/>
    <w:rsid w:val="6AC537CF"/>
    <w:rsid w:val="6BA12A29"/>
    <w:rsid w:val="6C2B502C"/>
    <w:rsid w:val="6E5B14A6"/>
    <w:rsid w:val="711B255E"/>
    <w:rsid w:val="727A0F8D"/>
    <w:rsid w:val="74C20759"/>
    <w:rsid w:val="77F87FB5"/>
    <w:rsid w:val="78AD22B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99"/>
    <w:pPr>
      <w:spacing w:after="120"/>
      <w:ind w:left="420" w:leftChars="200"/>
    </w:p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Body Text First Indent 2"/>
    <w:basedOn w:val="2"/>
    <w:qFormat/>
    <w:uiPriority w:val="99"/>
    <w:pPr>
      <w:spacing w:before="100" w:beforeAutospacing="1"/>
      <w:ind w:firstLine="420" w:firstLineChars="200"/>
    </w:pPr>
  </w:style>
  <w:style w:type="paragraph" w:customStyle="1" w:styleId="8">
    <w:name w:val="插入文本样式-插入部门职责文件"/>
    <w:basedOn w:val="1"/>
    <w:autoRedefine/>
    <w:qFormat/>
    <w:uiPriority w:val="0"/>
    <w:pPr>
      <w:spacing w:line="500" w:lineRule="exact"/>
      <w:ind w:firstLine="560"/>
    </w:pPr>
    <w:rPr>
      <w:rFonts w:eastAsia="方正仿宋_GBK"/>
      <w:sz w:val="28"/>
    </w:rPr>
  </w:style>
  <w:style w:type="paragraph" w:customStyle="1" w:styleId="9">
    <w:name w:val="插入文本样式-插入总体目标文件"/>
    <w:basedOn w:val="1"/>
    <w:autoRedefine/>
    <w:qFormat/>
    <w:uiPriority w:val="0"/>
    <w:pPr>
      <w:spacing w:line="500" w:lineRule="exact"/>
      <w:ind w:firstLine="560"/>
    </w:pPr>
    <w:rPr>
      <w:rFonts w:eastAsia="方正仿宋_GBK"/>
      <w:sz w:val="28"/>
    </w:rPr>
  </w:style>
  <w:style w:type="paragraph" w:customStyle="1" w:styleId="10">
    <w:name w:val="插入文本样式-插入职责分类绩效目标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5347</Words>
  <Characters>5515</Characters>
  <Lines>4</Lines>
  <Paragraphs>1</Paragraphs>
  <TotalTime>20</TotalTime>
  <ScaleCrop>false</ScaleCrop>
  <LinksUpToDate>false</LinksUpToDate>
  <CharactersWithSpaces>5560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2025-04-02T05:53:25Z</cp:lastPrinted>
  <dcterms:modified xsi:type="dcterms:W3CDTF">2025-04-02T05:54:29Z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96934721B1514D3FBAA28020338CE855_12</vt:lpwstr>
  </property>
  <property fmtid="{D5CDD505-2E9C-101B-9397-08002B2CF9AE}" pid="4" name="KSOTemplateDocerSaveRecord">
    <vt:lpwstr>eyJoZGlkIjoiYzZlOTk5NjkwY2RlODUzYjU2NWYwMDk0ODg5MTg3MmIifQ==</vt:lpwstr>
  </property>
</Properties>
</file>