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FCD061">
      <w:pPr>
        <w:spacing w:line="560" w:lineRule="exact"/>
        <w:jc w:val="center"/>
        <w:rPr>
          <w:rFonts w:ascii="宋体" w:hAnsi="宋体" w:cs="宋体"/>
          <w:b/>
          <w:bCs/>
          <w:sz w:val="44"/>
          <w:szCs w:val="44"/>
        </w:rPr>
      </w:pPr>
    </w:p>
    <w:p w14:paraId="0E7E96C8">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赞皇县人民法院</w:t>
      </w:r>
    </w:p>
    <w:p w14:paraId="6550FD55">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2964CE67">
      <w:pPr>
        <w:spacing w:line="560" w:lineRule="exact"/>
        <w:jc w:val="center"/>
        <w:rPr>
          <w:rFonts w:ascii="华文楷体" w:eastAsia="华文楷体"/>
          <w:sz w:val="32"/>
          <w:szCs w:val="32"/>
        </w:rPr>
      </w:pPr>
    </w:p>
    <w:p w14:paraId="7D533DF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赞皇县人民法院</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0148AF37">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987C4A0">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3A0F221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部门职能</w:t>
      </w:r>
    </w:p>
    <w:p w14:paraId="2617302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(一)深入贯彻习近平新时代中国特色社会主义思想，深入贯彻党的路线方针政策和决策部署，坚持党对法院工作的绝对领导，坚决维护习近平总书记的核心地位，坚决维护党中央权威和集中统一领导。</w:t>
      </w:r>
    </w:p>
    <w:p w14:paraId="5876C91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(二)依法审判法律规定由赞皇县人民法院管辖的刑事、民事、行政等第一审案件。</w:t>
      </w:r>
    </w:p>
    <w:p w14:paraId="31AC2DF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(三)依法审判上级人民法院指定、同级人民法院移送的刑事、民事、行政等第一审案件。</w:t>
      </w:r>
    </w:p>
    <w:p w14:paraId="1D8F9E4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(四)审查和受理各类申诉案件，审判各类再审案件，处来信来访。</w:t>
      </w:r>
    </w:p>
    <w:p w14:paraId="6D19EE1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(五)依法办理发生法律效力的民事、行政案件判决和裁定执行事项及刑事案件判决和裁定中关于财产部分的执行事项;办理法律规定由基层人民法院执行的其他法律文书的执行事项。</w:t>
      </w:r>
    </w:p>
    <w:p w14:paraId="6134494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(六)负责审判工作的调查研究，总结审判工作经验。</w:t>
      </w:r>
    </w:p>
    <w:p w14:paraId="66F178D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(七)负责干警思想政治教育和业务培训工作;按照权限管理法官和其他工作人员。</w:t>
      </w:r>
    </w:p>
    <w:p w14:paraId="71D0287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(八)管理有关经费及物资装备。</w:t>
      </w:r>
    </w:p>
    <w:p w14:paraId="3A19BA4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(九)负责司法技术鉴定、通讯、计算机等技术管理工作。</w:t>
      </w:r>
    </w:p>
    <w:p w14:paraId="0828C36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(十)负责审判工作中的法制宣传，教育公民忠于祖国，自觉遵守宪法、法律和社会公德。</w:t>
      </w:r>
    </w:p>
    <w:p w14:paraId="2FC9D95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(十一) 完成其他应由赞皇县人民法院负责的工作。</w:t>
      </w:r>
    </w:p>
    <w:p w14:paraId="733FD13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2、组织机构及人员基本情况</w:t>
      </w:r>
    </w:p>
    <w:p w14:paraId="25DE4133">
      <w:pPr>
        <w:adjustRightInd w:val="0"/>
        <w:snapToGrid w:val="0"/>
        <w:spacing w:line="560" w:lineRule="exact"/>
        <w:ind w:firstLine="640" w:firstLineChars="200"/>
        <w:rPr>
          <w:rFonts w:ascii="楷体" w:hAnsi="楷体" w:eastAsia="楷体" w:cs="楷体_GB2312"/>
          <w:bCs/>
          <w:sz w:val="32"/>
          <w:szCs w:val="32"/>
        </w:rPr>
      </w:pPr>
      <w:r>
        <w:rPr>
          <w:rFonts w:hint="eastAsia" w:ascii="仿宋" w:hAnsi="仿宋" w:eastAsia="仿宋"/>
          <w:sz w:val="32"/>
          <w:szCs w:val="32"/>
          <w:lang w:val="en-US" w:eastAsia="zh-CN"/>
        </w:rPr>
        <w:t>赞皇县人民法院纳入2024年度本部门预算汇编范围的独立核算单位共1个，为单位本级，经费形式为财政拨款。</w:t>
      </w:r>
    </w:p>
    <w:p w14:paraId="27688FC1">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1177ED69">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楷体" w:hAnsi="楷体" w:eastAsia="楷体" w:cs="楷体_GB2312"/>
          <w:bCs/>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highlight w:val="none"/>
          <w:u w:val="none" w:color="auto"/>
          <w14:textFill>
            <w14:solidFill>
              <w14:schemeClr w14:val="tx1"/>
            </w14:solidFill>
          </w14:textFill>
        </w:rPr>
        <w:t>202</w:t>
      </w:r>
      <w:r>
        <w:rPr>
          <w:rFonts w:hint="eastAsia" w:ascii="仿宋" w:hAnsi="仿宋" w:eastAsia="仿宋" w:cs="仿宋"/>
          <w:color w:val="000000" w:themeColor="text1"/>
          <w:sz w:val="32"/>
          <w:szCs w:val="32"/>
          <w:highlight w:val="none"/>
          <w:u w:val="none" w:color="auto"/>
          <w:lang w:val="en-US" w:eastAsia="zh-CN"/>
          <w14:textFill>
            <w14:solidFill>
              <w14:schemeClr w14:val="tx1"/>
            </w14:solidFill>
          </w14:textFill>
        </w:rPr>
        <w:t>4</w:t>
      </w:r>
      <w:r>
        <w:rPr>
          <w:rFonts w:hint="eastAsia" w:ascii="仿宋" w:hAnsi="仿宋" w:eastAsia="仿宋" w:cs="仿宋"/>
          <w:color w:val="000000" w:themeColor="text1"/>
          <w:sz w:val="32"/>
          <w:szCs w:val="32"/>
          <w:highlight w:val="none"/>
          <w:u w:val="none" w:color="auto"/>
          <w14:textFill>
            <w14:solidFill>
              <w14:schemeClr w14:val="tx1"/>
            </w14:solidFill>
          </w14:textFill>
        </w:rPr>
        <w:t>年</w:t>
      </w:r>
      <w:r>
        <w:rPr>
          <w:rFonts w:hint="eastAsia" w:ascii="仿宋" w:hAnsi="仿宋" w:eastAsia="仿宋" w:cs="仿宋"/>
          <w:color w:val="000000" w:themeColor="text1"/>
          <w:sz w:val="32"/>
          <w:szCs w:val="32"/>
          <w:highlight w:val="none"/>
          <w:u w:val="none" w:color="auto"/>
          <w:lang w:val="en-US" w:eastAsia="zh-CN"/>
          <w14:textFill>
            <w14:solidFill>
              <w14:schemeClr w14:val="tx1"/>
            </w14:solidFill>
          </w14:textFill>
        </w:rPr>
        <w:t>预算收入</w:t>
      </w:r>
      <w:r>
        <w:rPr>
          <w:rFonts w:hint="eastAsia" w:ascii="仿宋" w:hAnsi="仿宋" w:eastAsia="仿宋" w:cs="仿宋"/>
          <w:color w:val="000000" w:themeColor="text1"/>
          <w:sz w:val="32"/>
          <w:szCs w:val="32"/>
          <w:lang w:val="en-US" w:eastAsia="zh-CN"/>
          <w14:textFill>
            <w14:solidFill>
              <w14:schemeClr w14:val="tx1"/>
            </w14:solidFill>
          </w14:textFill>
        </w:rPr>
        <w:t>2226.4</w:t>
      </w:r>
      <w:r>
        <w:rPr>
          <w:rFonts w:hint="eastAsia" w:ascii="仿宋" w:hAnsi="仿宋" w:eastAsia="仿宋" w:cs="仿宋"/>
          <w:color w:val="000000" w:themeColor="text1"/>
          <w:sz w:val="32"/>
          <w:szCs w:val="32"/>
          <w:highlight w:val="none"/>
          <w:u w:val="none" w:color="auto"/>
          <w:lang w:val="en-US" w:eastAsia="zh-CN"/>
          <w14:textFill>
            <w14:solidFill>
              <w14:schemeClr w14:val="tx1"/>
            </w14:solidFill>
          </w14:textFill>
        </w:rPr>
        <w:t>万元，决算收入</w:t>
      </w:r>
      <w:r>
        <w:rPr>
          <w:rFonts w:hint="eastAsia" w:ascii="仿宋" w:hAnsi="仿宋" w:eastAsia="仿宋" w:cs="仿宋"/>
          <w:color w:val="000000" w:themeColor="text1"/>
          <w:sz w:val="32"/>
          <w:szCs w:val="32"/>
          <w:lang w:val="en-US" w:eastAsia="zh-CN"/>
          <w14:textFill>
            <w14:solidFill>
              <w14:schemeClr w14:val="tx1"/>
            </w14:solidFill>
          </w14:textFill>
        </w:rPr>
        <w:t>1780.8</w:t>
      </w:r>
      <w:r>
        <w:rPr>
          <w:rFonts w:hint="eastAsia" w:ascii="仿宋" w:hAnsi="仿宋" w:eastAsia="仿宋" w:cs="仿宋"/>
          <w:color w:val="000000" w:themeColor="text1"/>
          <w:sz w:val="32"/>
          <w:szCs w:val="32"/>
          <w:highlight w:val="none"/>
          <w:u w:val="none" w:color="auto"/>
          <w:lang w:val="en-US" w:eastAsia="zh-CN"/>
          <w14:textFill>
            <w14:solidFill>
              <w14:schemeClr w14:val="tx1"/>
            </w14:solidFill>
          </w14:textFill>
        </w:rPr>
        <w:t>万元，上年结转0元，支出</w:t>
      </w:r>
      <w:r>
        <w:rPr>
          <w:rFonts w:hint="eastAsia" w:ascii="仿宋" w:hAnsi="仿宋" w:eastAsia="仿宋" w:cs="仿宋"/>
          <w:color w:val="000000" w:themeColor="text1"/>
          <w:sz w:val="32"/>
          <w:szCs w:val="32"/>
          <w:lang w:val="en-US" w:eastAsia="zh-CN"/>
          <w14:textFill>
            <w14:solidFill>
              <w14:schemeClr w14:val="tx1"/>
            </w14:solidFill>
          </w14:textFill>
        </w:rPr>
        <w:t>1780.8</w:t>
      </w:r>
      <w:r>
        <w:rPr>
          <w:rFonts w:hint="eastAsia" w:ascii="仿宋" w:hAnsi="仿宋" w:eastAsia="仿宋" w:cs="仿宋"/>
          <w:color w:val="000000" w:themeColor="text1"/>
          <w:sz w:val="32"/>
          <w:szCs w:val="32"/>
          <w:highlight w:val="none"/>
          <w:u w:val="none" w:color="auto"/>
          <w:lang w:val="en-US" w:eastAsia="zh-CN"/>
          <w14:textFill>
            <w14:solidFill>
              <w14:schemeClr w14:val="tx1"/>
            </w14:solidFill>
          </w14:textFill>
        </w:rPr>
        <w:t>元，结转下年0元，与上年相比预算收入增加10.78万元，决算收入增加56.64万元，支出增加56.64万元。</w:t>
      </w:r>
      <w:r>
        <w:rPr>
          <w:rFonts w:hint="eastAsia" w:ascii="仿宋" w:hAnsi="仿宋" w:eastAsia="仿宋" w:cs="仿宋"/>
          <w:color w:val="000000" w:themeColor="text1"/>
          <w:sz w:val="32"/>
          <w:szCs w:val="32"/>
          <w:lang w:val="en-US" w:eastAsia="zh-CN"/>
          <w14:textFill>
            <w14:solidFill>
              <w14:schemeClr w14:val="tx1"/>
            </w14:solidFill>
          </w14:textFill>
        </w:rPr>
        <w:t>2024年整体支出1780.8万元，其中：</w:t>
      </w:r>
      <w:r>
        <w:rPr>
          <w:rFonts w:hint="eastAsia" w:ascii="仿宋_GB2312" w:hAnsi="仿宋" w:eastAsia="仿宋_GB2312"/>
          <w:color w:val="000000" w:themeColor="text1"/>
          <w:sz w:val="32"/>
          <w:szCs w:val="32"/>
          <w14:textFill>
            <w14:solidFill>
              <w14:schemeClr w14:val="tx1"/>
            </w14:solidFill>
          </w14:textFill>
        </w:rPr>
        <w:t>其中人员经费</w:t>
      </w:r>
      <w:r>
        <w:rPr>
          <w:rFonts w:hint="eastAsia" w:ascii="仿宋_GB2312" w:hAnsi="仿宋" w:eastAsia="仿宋_GB2312"/>
          <w:color w:val="000000" w:themeColor="text1"/>
          <w:sz w:val="32"/>
          <w:szCs w:val="32"/>
          <w:lang w:val="en-US" w:eastAsia="zh-CN"/>
          <w14:textFill>
            <w14:solidFill>
              <w14:schemeClr w14:val="tx1"/>
            </w14:solidFill>
          </w14:textFill>
        </w:rPr>
        <w:t>948</w:t>
      </w:r>
      <w:r>
        <w:rPr>
          <w:rFonts w:hint="eastAsia" w:ascii="仿宋_GB2312" w:hAnsi="仿宋" w:eastAsia="仿宋_GB2312"/>
          <w:color w:val="000000" w:themeColor="text1"/>
          <w:sz w:val="32"/>
          <w:szCs w:val="32"/>
          <w14:textFill>
            <w14:solidFill>
              <w14:schemeClr w14:val="tx1"/>
            </w14:solidFill>
          </w14:textFill>
        </w:rPr>
        <w:t>万元，日常公用经费</w:t>
      </w:r>
      <w:r>
        <w:rPr>
          <w:rFonts w:hint="eastAsia" w:ascii="仿宋_GB2312" w:hAnsi="仿宋" w:eastAsia="仿宋_GB2312"/>
          <w:color w:val="000000" w:themeColor="text1"/>
          <w:sz w:val="32"/>
          <w:szCs w:val="32"/>
          <w:lang w:val="en-US" w:eastAsia="zh-CN"/>
          <w14:textFill>
            <w14:solidFill>
              <w14:schemeClr w14:val="tx1"/>
            </w14:solidFill>
          </w14:textFill>
        </w:rPr>
        <w:t>166</w:t>
      </w:r>
      <w:r>
        <w:rPr>
          <w:rFonts w:hint="eastAsia" w:ascii="仿宋_GB2312" w:hAnsi="仿宋" w:eastAsia="仿宋_GB2312"/>
          <w:color w:val="000000" w:themeColor="text1"/>
          <w:sz w:val="32"/>
          <w:szCs w:val="32"/>
          <w14:textFill>
            <w14:solidFill>
              <w14:schemeClr w14:val="tx1"/>
            </w14:solidFill>
          </w14:textFill>
        </w:rPr>
        <w:t>万元，项目支出</w:t>
      </w:r>
      <w:r>
        <w:rPr>
          <w:rFonts w:hint="eastAsia" w:ascii="仿宋_GB2312" w:hAnsi="仿宋" w:eastAsia="仿宋_GB2312"/>
          <w:color w:val="000000" w:themeColor="text1"/>
          <w:sz w:val="32"/>
          <w:szCs w:val="32"/>
          <w:lang w:val="en-US" w:eastAsia="zh-CN"/>
          <w14:textFill>
            <w14:solidFill>
              <w14:schemeClr w14:val="tx1"/>
            </w14:solidFill>
          </w14:textFill>
        </w:rPr>
        <w:t>840</w:t>
      </w:r>
      <w:r>
        <w:rPr>
          <w:rFonts w:hint="eastAsia" w:ascii="仿宋_GB2312" w:hAnsi="仿宋" w:eastAsia="仿宋_GB2312"/>
          <w:color w:val="000000" w:themeColor="text1"/>
          <w:sz w:val="32"/>
          <w:szCs w:val="32"/>
          <w14:textFill>
            <w14:solidFill>
              <w14:schemeClr w14:val="tx1"/>
            </w14:solidFill>
          </w14:textFill>
        </w:rPr>
        <w:t>万元。</w:t>
      </w:r>
    </w:p>
    <w:p w14:paraId="17267A74">
      <w:pPr>
        <w:keepNext w:val="0"/>
        <w:keepLines w:val="0"/>
        <w:pageBreakBefore w:val="0"/>
        <w:widowControl w:val="0"/>
        <w:numPr>
          <w:ilvl w:val="0"/>
          <w:numId w:val="1"/>
        </w:numPr>
        <w:kinsoku/>
        <w:wordWrap/>
        <w:overflowPunct/>
        <w:topLinePunct w:val="0"/>
        <w:autoSpaceDE/>
        <w:autoSpaceDN/>
        <w:bidi w:val="0"/>
        <w:spacing w:line="570" w:lineRule="exact"/>
        <w:ind w:left="0" w:leftChars="0"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14:paraId="3A51C61E">
      <w:pPr>
        <w:keepNext w:val="0"/>
        <w:keepLines w:val="0"/>
        <w:pageBreakBefore w:val="0"/>
        <w:widowControl w:val="0"/>
        <w:numPr>
          <w:ilvl w:val="0"/>
          <w:numId w:val="0"/>
        </w:numPr>
        <w:kinsoku/>
        <w:wordWrap/>
        <w:overflowPunct/>
        <w:topLinePunct w:val="0"/>
        <w:autoSpaceDE/>
        <w:autoSpaceDN/>
        <w:bidi w:val="0"/>
        <w:spacing w:line="57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1、总体绩效目标</w:t>
      </w:r>
      <w:bookmarkStart w:id="0" w:name="_GoBack"/>
      <w:bookmarkEnd w:id="0"/>
    </w:p>
    <w:p w14:paraId="3145F47C">
      <w:pPr>
        <w:keepNext w:val="0"/>
        <w:keepLines w:val="0"/>
        <w:pageBreakBefore w:val="0"/>
        <w:widowControl w:val="0"/>
        <w:kinsoku/>
        <w:wordWrap/>
        <w:overflowPunct/>
        <w:topLinePunct w:val="0"/>
        <w:autoSpaceDE/>
        <w:autoSpaceDN/>
        <w:bidi w:val="0"/>
        <w:adjustRightInd/>
        <w:snapToGrid/>
        <w:spacing w:before="0" w:beforeLines="0" w:after="0" w:line="570" w:lineRule="exact"/>
        <w:ind w:left="0" w:leftChars="0" w:right="0" w:rightChars="0" w:firstLine="640" w:firstLineChars="200"/>
        <w:jc w:val="both"/>
        <w:textAlignment w:val="auto"/>
        <w:outlineLvl w:val="9"/>
        <w:rPr>
          <w:rFonts w:hint="default"/>
          <w:lang w:val="en-US" w:eastAsia="zh-CN"/>
        </w:rPr>
      </w:pPr>
      <w:r>
        <w:rPr>
          <w:rFonts w:hint="eastAsia" w:ascii="仿宋" w:hAnsi="仿宋" w:eastAsia="仿宋" w:cs="仿宋"/>
          <w:sz w:val="32"/>
          <w:szCs w:val="32"/>
          <w:highlight w:val="none"/>
          <w:u w:val="none" w:color="auto"/>
        </w:rPr>
        <w:t>依法惩治刑事犯罪，监督行政机关依法行政，促进社会和谐，维护社会稳定，服务全县工作大局，发挥服务保障职能；积极推进执行工作，切实保障群众合法权益，维护社会公平正义；完善审判质效评估体系，促进审判质效、健全司法权力运行机制，提升司法公信力；为案件审判提供技术支撑，提高办案质量。保障信访工作正常进行，提高信访案件结案率、信访受理满意度，维护国家机关的正常工作秩序，做好稳控工作。不断完善司法救助，切实保护民生，让人民群众感受到司法以人为本，享受到司法人文关怀。不断提高队伍素质和执法能力，推进信息公开，提升审判质效，改进司法工作作风，树立法院良好形象。</w:t>
      </w:r>
    </w:p>
    <w:p w14:paraId="0F74F611">
      <w:pPr>
        <w:pStyle w:val="6"/>
        <w:keepNext w:val="0"/>
        <w:keepLines w:val="0"/>
        <w:pageBreakBefore w:val="0"/>
        <w:widowControl w:val="0"/>
        <w:numPr>
          <w:ilvl w:val="0"/>
          <w:numId w:val="2"/>
        </w:numPr>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kern w:val="2"/>
          <w:sz w:val="32"/>
          <w:szCs w:val="32"/>
          <w:lang w:val="en-US" w:eastAsia="zh-CN" w:bidi="ar-SA"/>
        </w:rPr>
        <w:t>分项绩效目标</w:t>
      </w:r>
    </w:p>
    <w:p w14:paraId="2349F2A7">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1.案件审判管理和执行</w:t>
      </w:r>
    </w:p>
    <w:p w14:paraId="6A85609E">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绩效目标：妥善审理经济转型过程中引发的各类矛盾纠纷，依法维护国家安全和社会稳定，严惩各类严重刑事犯罪，积极推进平安赞皇建设，营造良好的法治环境。</w:t>
      </w:r>
    </w:p>
    <w:p w14:paraId="41AB3F4A">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绩效指标：法定审限内结案率100%，法定执限内执结率80%以上，审判流程公开案件率100%，司法鉴定工作办结率80%以上。</w:t>
      </w:r>
    </w:p>
    <w:p w14:paraId="17AAD00B">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2.司法救助和国家赔偿</w:t>
      </w:r>
    </w:p>
    <w:p w14:paraId="7B182BE5">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改革涉诉信访工作，推动涉诉信访问题在法治轨道内解决；落实司法为民措施，保护被侵权人合法利益，促进国家机关依法行使职权；依法办理国家赔偿案件，保护被侵害人的合法权益，促进行政机关依法行政。</w:t>
      </w:r>
    </w:p>
    <w:p w14:paraId="654AE9F5">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绩效指标：信访案件结案率80%以上，司法救助案件结案率90%以上，国家赔偿案件结案率90%以上。</w:t>
      </w:r>
    </w:p>
    <w:p w14:paraId="3983897B">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3.法律事务管理</w:t>
      </w:r>
    </w:p>
    <w:p w14:paraId="7BA76E56">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绩效目标：提高队伍素质和执法能力，高质高效完成各项工作。  </w:t>
      </w:r>
    </w:p>
    <w:p w14:paraId="4A8BD870">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ascii="楷体" w:hAnsi="楷体" w:eastAsia="楷体" w:cs="楷体_GB2312"/>
          <w:bCs/>
          <w:sz w:val="32"/>
          <w:szCs w:val="32"/>
        </w:rPr>
      </w:pPr>
      <w:r>
        <w:rPr>
          <w:rFonts w:hint="eastAsia" w:ascii="仿宋" w:hAnsi="仿宋" w:eastAsia="仿宋" w:cs="仿宋"/>
          <w:sz w:val="32"/>
          <w:szCs w:val="32"/>
          <w:highlight w:val="none"/>
          <w:lang w:val="en-US" w:eastAsia="zh-CN"/>
        </w:rPr>
        <w:t xml:space="preserve">绩效指标：综合业务管理工作和各项保障工作完成率95%以上，力求达到100%。 </w:t>
      </w:r>
    </w:p>
    <w:p w14:paraId="367AB37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39288C6">
      <w:pPr>
        <w:spacing w:line="560" w:lineRule="exact"/>
        <w:rPr>
          <w:rFonts w:ascii="楷体" w:hAnsi="楷体" w:eastAsia="楷体" w:cs="楷体_GB2312"/>
          <w:sz w:val="32"/>
          <w:szCs w:val="32"/>
          <w:highlight w:val="none"/>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5319523B">
      <w:pPr>
        <w:keepNext w:val="0"/>
        <w:keepLines w:val="0"/>
        <w:pageBreakBefore w:val="0"/>
        <w:widowControl w:val="0"/>
        <w:kinsoku/>
        <w:wordWrap/>
        <w:overflowPunct/>
        <w:topLinePunct w:val="0"/>
        <w:autoSpaceDE/>
        <w:autoSpaceDN/>
        <w:bidi w:val="0"/>
        <w:snapToGrid w:val="0"/>
        <w:spacing w:line="570" w:lineRule="exact"/>
        <w:ind w:firstLine="640" w:firstLineChars="200"/>
        <w:textAlignment w:val="auto"/>
        <w:rPr>
          <w:rFonts w:ascii="仿宋" w:hAnsi="仿宋" w:eastAsia="仿宋"/>
          <w:sz w:val="32"/>
          <w:szCs w:val="32"/>
          <w:highlight w:val="yellow"/>
        </w:rPr>
      </w:pPr>
      <w:r>
        <w:rPr>
          <w:rFonts w:hint="eastAsia" w:ascii="仿宋" w:hAnsi="仿宋" w:eastAsia="仿宋" w:cs="仿宋"/>
          <w:sz w:val="32"/>
          <w:szCs w:val="32"/>
        </w:rPr>
        <w:t>为保证绩效评价工作顺利开展，我院成立了绩效评价工作小组，主管</w:t>
      </w:r>
      <w:r>
        <w:rPr>
          <w:rFonts w:hint="eastAsia" w:ascii="仿宋" w:hAnsi="仿宋" w:eastAsia="仿宋" w:cs="仿宋"/>
          <w:sz w:val="32"/>
          <w:szCs w:val="32"/>
          <w:lang w:eastAsia="zh-CN"/>
        </w:rPr>
        <w:t>财务</w:t>
      </w:r>
      <w:r>
        <w:rPr>
          <w:rFonts w:hint="eastAsia" w:ascii="仿宋" w:hAnsi="仿宋" w:eastAsia="仿宋" w:cs="仿宋"/>
          <w:sz w:val="32"/>
          <w:szCs w:val="32"/>
        </w:rPr>
        <w:t>院领导任组长，</w:t>
      </w:r>
      <w:r>
        <w:rPr>
          <w:rFonts w:hint="eastAsia" w:ascii="仿宋" w:hAnsi="仿宋" w:eastAsia="仿宋" w:cs="仿宋"/>
          <w:sz w:val="32"/>
          <w:szCs w:val="32"/>
          <w:lang w:eastAsia="zh-CN"/>
        </w:rPr>
        <w:t>办公室</w:t>
      </w:r>
      <w:r>
        <w:rPr>
          <w:rFonts w:hint="eastAsia" w:ascii="仿宋" w:hAnsi="仿宋" w:eastAsia="仿宋" w:cs="仿宋"/>
          <w:sz w:val="32"/>
          <w:szCs w:val="32"/>
        </w:rPr>
        <w:t>主任为副组长，</w:t>
      </w:r>
      <w:r>
        <w:rPr>
          <w:rFonts w:hint="eastAsia" w:ascii="仿宋" w:hAnsi="仿宋" w:eastAsia="仿宋" w:cs="仿宋"/>
          <w:sz w:val="32"/>
          <w:szCs w:val="32"/>
          <w:lang w:eastAsia="zh-CN"/>
        </w:rPr>
        <w:t>综合办公室</w:t>
      </w:r>
      <w:r>
        <w:rPr>
          <w:rFonts w:hint="eastAsia" w:ascii="仿宋" w:hAnsi="仿宋" w:eastAsia="仿宋" w:cs="仿宋"/>
          <w:sz w:val="32"/>
          <w:szCs w:val="32"/>
        </w:rPr>
        <w:t>干警为成员，负责绩效评价的组织管理和实施工作。评价采用定量分析和定性分析相结合的方法，从预算编制、预算执行、绩效目标完成情况、绩效目标设置质量等方面进行了综合评价。</w:t>
      </w:r>
    </w:p>
    <w:p w14:paraId="6517F3D3">
      <w:pPr>
        <w:numPr>
          <w:ilvl w:val="0"/>
          <w:numId w:val="3"/>
        </w:numPr>
        <w:spacing w:line="560" w:lineRule="exact"/>
        <w:rPr>
          <w:rFonts w:ascii="楷体" w:hAnsi="楷体" w:eastAsia="楷体" w:cs="楷体_GB2312"/>
          <w:bCs/>
          <w:sz w:val="32"/>
          <w:szCs w:val="32"/>
          <w:highlight w:val="none"/>
        </w:rPr>
      </w:pPr>
      <w:r>
        <w:rPr>
          <w:rFonts w:hint="eastAsia" w:ascii="楷体" w:hAnsi="楷体" w:eastAsia="楷体" w:cs="楷体_GB2312"/>
          <w:bCs/>
          <w:sz w:val="32"/>
          <w:szCs w:val="32"/>
          <w:highlight w:val="none"/>
        </w:rPr>
        <w:t>自评的方法和过程</w:t>
      </w:r>
    </w:p>
    <w:p w14:paraId="0C54CDB2">
      <w:pPr>
        <w:keepNext w:val="0"/>
        <w:keepLines w:val="0"/>
        <w:pageBreakBefore w:val="0"/>
        <w:kinsoku/>
        <w:overflowPunct/>
        <w:topLinePunct w:val="0"/>
        <w:autoSpaceDE/>
        <w:autoSpaceDN/>
        <w:bidi w:val="0"/>
        <w:snapToGrid w:val="0"/>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本次绩效评价工作过程包括前期准备、组织实施、撰写评价报告三个阶段。</w:t>
      </w:r>
    </w:p>
    <w:p w14:paraId="55ABF005">
      <w:pPr>
        <w:keepNext w:val="0"/>
        <w:keepLines w:val="0"/>
        <w:pageBreakBefore w:val="0"/>
        <w:kinsoku/>
        <w:overflowPunct/>
        <w:topLinePunct w:val="0"/>
        <w:autoSpaceDE/>
        <w:autoSpaceDN/>
        <w:bidi w:val="0"/>
        <w:spacing w:line="560" w:lineRule="exact"/>
        <w:ind w:firstLine="643" w:firstLineChars="200"/>
        <w:jc w:val="left"/>
        <w:textAlignment w:val="auto"/>
        <w:outlineLvl w:val="1"/>
        <w:rPr>
          <w:rFonts w:hint="eastAsia" w:ascii="仿宋_GB2312" w:hAnsi="仿宋" w:eastAsia="仿宋_GB2312"/>
          <w:b/>
          <w:bCs/>
          <w:sz w:val="32"/>
          <w:szCs w:val="32"/>
        </w:rPr>
      </w:pPr>
      <w:r>
        <w:rPr>
          <w:rFonts w:hint="eastAsia" w:ascii="仿宋_GB2312" w:hAnsi="仿宋" w:eastAsia="仿宋_GB2312"/>
          <w:b/>
          <w:bCs/>
          <w:sz w:val="32"/>
          <w:szCs w:val="32"/>
        </w:rPr>
        <w:t>1.前期准备</w:t>
      </w:r>
    </w:p>
    <w:p w14:paraId="23F4F8C3">
      <w:pPr>
        <w:keepNext w:val="0"/>
        <w:keepLines w:val="0"/>
        <w:pageBreakBefore w:val="0"/>
        <w:kinsoku/>
        <w:overflowPunct/>
        <w:topLinePunct w:val="0"/>
        <w:autoSpaceDE/>
        <w:autoSpaceDN/>
        <w:bidi w:val="0"/>
        <w:snapToGrid w:val="0"/>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一是按照绩效评价工作要求，明确绩效评价的内容和范围，初步制定绩效评价工作方案。二是召开座谈会，对工作方案进行反复讨论并广泛征求相关部门和有关人员意见。三是对我院各预算项目单独进行打分自评，在资料搜集、信息核实、现场调研、访谈沟通等工作的基础上，得出绩效数据，准确计量和评判各项目实施后产生的经济效益、生态效益、社会效益和可持续影响，为最终形成评价结论奠定基础。</w:t>
      </w:r>
    </w:p>
    <w:p w14:paraId="08F21FE0">
      <w:pPr>
        <w:keepNext w:val="0"/>
        <w:keepLines w:val="0"/>
        <w:pageBreakBefore w:val="0"/>
        <w:kinsoku/>
        <w:overflowPunct/>
        <w:topLinePunct w:val="0"/>
        <w:autoSpaceDE/>
        <w:autoSpaceDN/>
        <w:bidi w:val="0"/>
        <w:spacing w:line="560" w:lineRule="exact"/>
        <w:ind w:firstLine="643" w:firstLineChars="200"/>
        <w:jc w:val="left"/>
        <w:textAlignment w:val="auto"/>
        <w:outlineLvl w:val="1"/>
        <w:rPr>
          <w:rFonts w:hint="eastAsia" w:ascii="仿宋_GB2312" w:hAnsi="仿宋" w:eastAsia="仿宋_GB2312"/>
          <w:b/>
          <w:bCs/>
          <w:sz w:val="32"/>
          <w:szCs w:val="32"/>
        </w:rPr>
      </w:pPr>
      <w:r>
        <w:rPr>
          <w:rFonts w:hint="eastAsia" w:ascii="仿宋_GB2312" w:hAnsi="仿宋" w:eastAsia="仿宋_GB2312"/>
          <w:b/>
          <w:bCs/>
          <w:sz w:val="32"/>
          <w:szCs w:val="32"/>
        </w:rPr>
        <w:t>2.组织实施</w:t>
      </w:r>
    </w:p>
    <w:p w14:paraId="5BF4A568">
      <w:pPr>
        <w:keepNext w:val="0"/>
        <w:keepLines w:val="0"/>
        <w:pageBreakBefore w:val="0"/>
        <w:kinsoku/>
        <w:overflowPunct/>
        <w:topLinePunct w:val="0"/>
        <w:autoSpaceDE/>
        <w:autoSpaceDN/>
        <w:bidi w:val="0"/>
        <w:snapToGrid w:val="0"/>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评价工作小组对项目绩效目标的相关佐证材料进行收集、梳理。第一，对相关资料进行查阅、核实、分析，确保所提供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14:paraId="361357D5">
      <w:pPr>
        <w:keepNext w:val="0"/>
        <w:keepLines w:val="0"/>
        <w:pageBreakBefore w:val="0"/>
        <w:kinsoku/>
        <w:overflowPunct/>
        <w:topLinePunct w:val="0"/>
        <w:autoSpaceDE/>
        <w:autoSpaceDN/>
        <w:bidi w:val="0"/>
        <w:spacing w:line="560" w:lineRule="exact"/>
        <w:ind w:firstLine="643" w:firstLineChars="200"/>
        <w:jc w:val="left"/>
        <w:textAlignment w:val="auto"/>
        <w:outlineLvl w:val="1"/>
        <w:rPr>
          <w:rFonts w:hint="eastAsia" w:ascii="仿宋_GB2312" w:hAnsi="仿宋" w:eastAsia="仿宋_GB2312"/>
          <w:b/>
          <w:bCs/>
          <w:sz w:val="32"/>
          <w:szCs w:val="32"/>
        </w:rPr>
      </w:pPr>
      <w:r>
        <w:rPr>
          <w:rFonts w:hint="eastAsia" w:ascii="仿宋_GB2312" w:hAnsi="仿宋" w:eastAsia="仿宋_GB2312"/>
          <w:b/>
          <w:bCs/>
          <w:sz w:val="32"/>
          <w:szCs w:val="32"/>
        </w:rPr>
        <w:t>3.撰写绩效评价报告</w:t>
      </w:r>
    </w:p>
    <w:p w14:paraId="6FAA6F4F">
      <w:pPr>
        <w:keepNext w:val="0"/>
        <w:keepLines w:val="0"/>
        <w:pageBreakBefore w:val="0"/>
        <w:kinsoku/>
        <w:overflowPunct/>
        <w:topLinePunct w:val="0"/>
        <w:autoSpaceDE/>
        <w:autoSpaceDN/>
        <w:bidi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cs="仿宋"/>
          <w:sz w:val="32"/>
          <w:szCs w:val="32"/>
        </w:rPr>
        <w:t>在对收集的数据、资料进行核对、比较、计算的基础上，对比年度绩效目标，形成评价结论；根据评价结论，撰写绩效评价报告。</w:t>
      </w:r>
    </w:p>
    <w:p w14:paraId="6C747996">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235A3BC">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7E77C37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依法惩治刑事犯罪，监督行政机关依法行政，促进社会和谐，维护社会稳定，服务全县工作大局，发挥服务保障职能；积极推进执行工作，切实保障群众合法权益，维护社会公平正义；完善审判质效评估体系，促进审判质效、健全司法权力运行机制，提升司法公信力；为案件审判提供技术支撑，提高办案质量。保障信访工作正常进行，提高信访案件结案率、信访受理满意度，维护国家机关的正常工作秩序，做好稳控工作。不断完善司法救助，切实保护民生，让人民群众感受到司法以人为本，享受到司法人文关怀。不断提高队伍素质和执法能力，推进信息公开，提升审判质效，改进司法工作作风，树立法院良好形象。</w:t>
      </w:r>
    </w:p>
    <w:p w14:paraId="269867D2">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D7B98F7">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lang w:val="en-US" w:eastAsia="zh-CN"/>
        </w:rPr>
        <w:t>1.</w:t>
      </w:r>
      <w:r>
        <w:rPr>
          <w:rFonts w:hint="eastAsia" w:ascii="仿宋" w:hAnsi="仿宋" w:eastAsia="仿宋" w:cs="仿宋"/>
          <w:sz w:val="32"/>
          <w:szCs w:val="32"/>
          <w:highlight w:val="none"/>
          <w:u w:val="none" w:color="auto"/>
        </w:rPr>
        <w:t>案件审判管理和执行</w:t>
      </w:r>
    </w:p>
    <w:p w14:paraId="5E1B03A5">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绩效目标：妥善审理经济转型过程中引发的各类矛盾纠纷，依法维护国家安全和社会稳定，严惩各类严重刑事犯罪，积极推进平安赞皇建设，营造良好的法治环境。</w:t>
      </w:r>
    </w:p>
    <w:p w14:paraId="6DD6F92F">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绩效指标：法定审限内结案率100%，法定执限内执结率80%以上，审判流程公开案件率100%，司法鉴定工作办结率80%以上。</w:t>
      </w:r>
    </w:p>
    <w:p w14:paraId="3A7A6595">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lang w:val="en-US" w:eastAsia="zh-CN"/>
        </w:rPr>
        <w:t>2.</w:t>
      </w:r>
      <w:r>
        <w:rPr>
          <w:rFonts w:hint="eastAsia" w:ascii="仿宋" w:hAnsi="仿宋" w:eastAsia="仿宋" w:cs="仿宋"/>
          <w:sz w:val="32"/>
          <w:szCs w:val="32"/>
          <w:highlight w:val="none"/>
          <w:u w:val="none" w:color="auto"/>
        </w:rPr>
        <w:t>司法救助和国家赔偿</w:t>
      </w:r>
    </w:p>
    <w:p w14:paraId="7BD7CA9B">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绩效目标：改革涉诉信访工作，推动涉诉信访问题在法治轨道内解决；落实司法为民措施，保护被侵权人合法利益，促进国家机关依法行使职权；依法办理国家赔偿案件，保护被侵害人的合法权益，促进行政机关依法行政。</w:t>
      </w:r>
    </w:p>
    <w:p w14:paraId="2296902C">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绩效指标：信访案件结案率80%以上，司法救助案件结案率90%以上，国家赔偿案件结案率90%以上。</w:t>
      </w:r>
    </w:p>
    <w:p w14:paraId="0CB1900B">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lang w:val="en-US" w:eastAsia="zh-CN"/>
        </w:rPr>
        <w:t>3.</w:t>
      </w:r>
      <w:r>
        <w:rPr>
          <w:rFonts w:hint="eastAsia" w:ascii="仿宋" w:hAnsi="仿宋" w:eastAsia="仿宋" w:cs="仿宋"/>
          <w:sz w:val="32"/>
          <w:szCs w:val="32"/>
          <w:highlight w:val="none"/>
          <w:u w:val="none" w:color="auto"/>
        </w:rPr>
        <w:t>法律事务管理</w:t>
      </w:r>
    </w:p>
    <w:p w14:paraId="426E03B7">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 xml:space="preserve">绩效目标：提高队伍素质和执法能力，高质高效完成各项工作。  </w:t>
      </w:r>
    </w:p>
    <w:p w14:paraId="2351E373">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 xml:space="preserve">绩效指标：综合业务管理工作和各项保障工作完成率95%以上，力求达到100%。 </w:t>
      </w:r>
    </w:p>
    <w:p w14:paraId="7E8E7F81">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A6A2B6A">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202</w:t>
      </w:r>
      <w:r>
        <w:rPr>
          <w:rFonts w:hint="eastAsia" w:ascii="仿宋_GB2312" w:hAnsi="仿宋" w:eastAsia="仿宋_GB2312"/>
          <w:sz w:val="32"/>
          <w:szCs w:val="32"/>
          <w:lang w:val="en-US" w:eastAsia="zh-CN"/>
        </w:rPr>
        <w:t>4</w:t>
      </w:r>
      <w:r>
        <w:rPr>
          <w:rFonts w:hint="eastAsia" w:ascii="仿宋_GB2312" w:hAnsi="仿宋" w:eastAsia="仿宋_GB2312"/>
          <w:sz w:val="32"/>
          <w:szCs w:val="32"/>
        </w:rPr>
        <w:t>年我院积极履职，通过加强预算收支管理，不断梳理内部管理流程，建立健全内部管理制度，部门整体支出管理水平得到提升。经自评，</w:t>
      </w:r>
      <w:r>
        <w:rPr>
          <w:rFonts w:hint="eastAsia" w:ascii="仿宋_GB2312" w:hAnsi="仿宋" w:eastAsia="仿宋_GB2312"/>
          <w:sz w:val="32"/>
          <w:szCs w:val="32"/>
          <w:lang w:val="en-US" w:eastAsia="zh-CN"/>
        </w:rPr>
        <w:t>9</w:t>
      </w:r>
      <w:r>
        <w:rPr>
          <w:rFonts w:hint="eastAsia" w:ascii="仿宋_GB2312" w:hAnsi="仿宋" w:eastAsia="仿宋_GB2312"/>
          <w:sz w:val="32"/>
          <w:szCs w:val="32"/>
        </w:rPr>
        <w:t>个项目自评得分均在90分以上，20</w:t>
      </w:r>
      <w:r>
        <w:rPr>
          <w:rFonts w:hint="eastAsia" w:ascii="仿宋_GB2312" w:hAnsi="仿宋" w:eastAsia="仿宋_GB2312"/>
          <w:sz w:val="32"/>
          <w:szCs w:val="32"/>
          <w:lang w:val="en-US" w:eastAsia="zh-CN"/>
        </w:rPr>
        <w:t>24</w:t>
      </w:r>
      <w:r>
        <w:rPr>
          <w:rFonts w:hint="eastAsia" w:ascii="仿宋_GB2312" w:hAnsi="仿宋" w:eastAsia="仿宋_GB2312"/>
          <w:sz w:val="32"/>
          <w:szCs w:val="32"/>
        </w:rPr>
        <w:t>年我院较好的完成了年度工作目标，综合评价等级为“优秀”。</w:t>
      </w:r>
    </w:p>
    <w:p w14:paraId="54A500F9">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002FC8C">
      <w:pPr>
        <w:keepNext w:val="0"/>
        <w:keepLines w:val="0"/>
        <w:pageBreakBefore w:val="0"/>
        <w:kinsoku/>
        <w:overflowPunct/>
        <w:topLinePunct w:val="0"/>
        <w:autoSpaceDE/>
        <w:autoSpaceDN/>
        <w:bidi w:val="0"/>
        <w:spacing w:line="560" w:lineRule="exact"/>
        <w:ind w:firstLine="640" w:firstLineChars="200"/>
        <w:textAlignment w:val="auto"/>
        <w:rPr>
          <w:rFonts w:hint="eastAsia" w:ascii="楷体" w:hAnsi="楷体" w:eastAsia="楷体"/>
          <w:bCs/>
          <w:sz w:val="32"/>
          <w:szCs w:val="32"/>
        </w:rPr>
      </w:pPr>
      <w:r>
        <w:rPr>
          <w:rFonts w:hint="eastAsia" w:ascii="楷体" w:hAnsi="楷体" w:eastAsia="楷体"/>
          <w:bCs/>
          <w:sz w:val="32"/>
          <w:szCs w:val="32"/>
        </w:rPr>
        <w:t>（一）存在的主要问题</w:t>
      </w:r>
    </w:p>
    <w:p w14:paraId="384D0A04">
      <w:pPr>
        <w:keepNext w:val="0"/>
        <w:keepLines w:val="0"/>
        <w:pageBreakBefore w:val="0"/>
        <w:kinsoku/>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仿宋_GB2312" w:hAnsi="仿宋" w:eastAsia="仿宋_GB2312"/>
          <w:sz w:val="32"/>
          <w:szCs w:val="32"/>
        </w:rPr>
        <w:t>从自评情况看，有关项目总体立项规范，绩效目标明确，预算编制较为合理，预算执行及时，有效，资金及时到位，各项管理制度健全并且能有效执行，绩效目标得到较好实现，部门履职水平不断提高，但也存在部分项目产出指标低于预期、项目实施进展慢等问题。</w:t>
      </w:r>
    </w:p>
    <w:p w14:paraId="124D7125">
      <w:pPr>
        <w:numPr>
          <w:ilvl w:val="0"/>
          <w:numId w:val="4"/>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275763B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bCs/>
          <w:sz w:val="32"/>
          <w:szCs w:val="32"/>
        </w:rPr>
      </w:pPr>
      <w:r>
        <w:rPr>
          <w:rFonts w:hint="eastAsia" w:ascii="仿宋_GB2312" w:hAnsi="仿宋" w:eastAsia="仿宋_GB2312"/>
          <w:sz w:val="32"/>
          <w:szCs w:val="32"/>
        </w:rPr>
        <w:t>建议相关部门年初应制定较为详细的资金使用明细和计划，有效保障下一年度的资金使用和项目实施，采取项目事前评估或其他方式对项目执行过程中可能发生的问题进行预测，有的放矢的采取相关措施保障计划顺利实施。</w:t>
      </w:r>
    </w:p>
    <w:p w14:paraId="4FEBB813">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4BBDFA3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杨柳新 赞皇县人民法院 综合办公室干警</w:t>
      </w:r>
    </w:p>
    <w:p w14:paraId="05284EC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 xml:space="preserve">赵欣然 赞皇县人民法院 综合办公室干警 </w:t>
      </w:r>
    </w:p>
    <w:p w14:paraId="39A4DF17">
      <w:pPr>
        <w:spacing w:line="560" w:lineRule="exact"/>
        <w:rPr>
          <w:rFonts w:ascii="仿宋" w:hAnsi="仿宋" w:eastAsia="仿宋"/>
        </w:rPr>
      </w:pPr>
    </w:p>
    <w:p w14:paraId="650C0090">
      <w:pPr>
        <w:spacing w:line="560" w:lineRule="exact"/>
        <w:rPr>
          <w:rFonts w:ascii="仿宋" w:hAnsi="仿宋" w:eastAsia="仿宋"/>
        </w:rPr>
      </w:pPr>
    </w:p>
    <w:p w14:paraId="650FF818">
      <w:pPr>
        <w:spacing w:line="560" w:lineRule="exact"/>
        <w:rPr>
          <w:rFonts w:ascii="仿宋" w:hAnsi="仿宋" w:eastAsia="仿宋"/>
        </w:rPr>
      </w:pPr>
    </w:p>
    <w:p w14:paraId="687C0AEB">
      <w:pPr>
        <w:spacing w:line="560" w:lineRule="exact"/>
        <w:rPr>
          <w:rFonts w:ascii="仿宋" w:hAnsi="仿宋" w:eastAsia="仿宋"/>
        </w:rPr>
      </w:pPr>
    </w:p>
    <w:p w14:paraId="1FDAE570">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                                        赞皇县人民法院</w:t>
      </w:r>
    </w:p>
    <w:p w14:paraId="55D2D12B">
      <w:pPr>
        <w:keepNext w:val="0"/>
        <w:keepLines w:val="0"/>
        <w:pageBreakBefore w:val="0"/>
        <w:widowControl w:val="0"/>
        <w:kinsoku/>
        <w:wordWrap/>
        <w:overflowPunct/>
        <w:topLinePunct w:val="0"/>
        <w:autoSpaceDE/>
        <w:autoSpaceDN/>
        <w:bidi w:val="0"/>
        <w:adjustRightInd/>
        <w:snapToGrid/>
        <w:spacing w:line="570" w:lineRule="exact"/>
        <w:jc w:val="right"/>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2024年4月15日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60B088">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B387FF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7B387FF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95310C"/>
    <w:multiLevelType w:val="singleLevel"/>
    <w:tmpl w:val="E195310C"/>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15D6D961"/>
    <w:multiLevelType w:val="singleLevel"/>
    <w:tmpl w:val="15D6D961"/>
    <w:lvl w:ilvl="0" w:tentative="0">
      <w:start w:val="2"/>
      <w:numFmt w:val="decimal"/>
      <w:suff w:val="nothing"/>
      <w:lvlText w:val="%1、"/>
      <w:lvlJc w:val="left"/>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2YzZiYjkwYjdiYTA1NTMxYzllNjQ2NWQyMDExNGM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BC23936"/>
    <w:rsid w:val="0EB97A43"/>
    <w:rsid w:val="0EBD2122"/>
    <w:rsid w:val="0F214EAE"/>
    <w:rsid w:val="11B71E6A"/>
    <w:rsid w:val="17FB3D57"/>
    <w:rsid w:val="1A7E4CF4"/>
    <w:rsid w:val="1AAF0063"/>
    <w:rsid w:val="1BBD5A6D"/>
    <w:rsid w:val="1BE140DE"/>
    <w:rsid w:val="248C197D"/>
    <w:rsid w:val="252959AF"/>
    <w:rsid w:val="277A6671"/>
    <w:rsid w:val="292D35B7"/>
    <w:rsid w:val="33EB6CFF"/>
    <w:rsid w:val="35A12947"/>
    <w:rsid w:val="37387040"/>
    <w:rsid w:val="3B625C0A"/>
    <w:rsid w:val="3CEE1963"/>
    <w:rsid w:val="436B78D3"/>
    <w:rsid w:val="47E7438B"/>
    <w:rsid w:val="48C67D17"/>
    <w:rsid w:val="4C9C27FE"/>
    <w:rsid w:val="512260B4"/>
    <w:rsid w:val="52BD6ACB"/>
    <w:rsid w:val="55537534"/>
    <w:rsid w:val="561A74F1"/>
    <w:rsid w:val="56CA019F"/>
    <w:rsid w:val="597244E8"/>
    <w:rsid w:val="5EB71C30"/>
    <w:rsid w:val="66AF0CE5"/>
    <w:rsid w:val="6AC537CF"/>
    <w:rsid w:val="6B837963"/>
    <w:rsid w:val="6E5B14A6"/>
    <w:rsid w:val="711B255E"/>
    <w:rsid w:val="78C006E1"/>
    <w:rsid w:val="79453341"/>
    <w:rsid w:val="7BB51E06"/>
    <w:rsid w:val="7C387F7C"/>
    <w:rsid w:val="7C5E546D"/>
    <w:rsid w:val="7C8F476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toa heading"/>
    <w:basedOn w:val="1"/>
    <w:next w:val="1"/>
    <w:autoRedefine/>
    <w:qFormat/>
    <w:uiPriority w:val="0"/>
    <w:pPr>
      <w:spacing w:before="120" w:beforeLines="0" w:beforeAutospacing="0"/>
    </w:pPr>
    <w:rPr>
      <w:rFonts w:ascii="Arial" w:hAnsi="Arial"/>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3160</Words>
  <Characters>3296</Characters>
  <Lines>4</Lines>
  <Paragraphs>1</Paragraphs>
  <TotalTime>0</TotalTime>
  <ScaleCrop>false</ScaleCrop>
  <LinksUpToDate>false</LinksUpToDate>
  <CharactersWithSpaces>3365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2024-05-14T01:14:00Z</cp:lastPrinted>
  <dcterms:modified xsi:type="dcterms:W3CDTF">2025-04-01T13:33:04Z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84B00A8986B1407CBAFF176D30029136_13</vt:lpwstr>
  </property>
  <property fmtid="{D5CDD505-2E9C-101B-9397-08002B2CF9AE}" pid="4" name="KSOTemplateDocerSaveRecord">
    <vt:lpwstr>eyJoZGlkIjoiNmE2YzZiYjkwYjdiYTA1NTMxYzllNjQ2NWQyMDExNGMifQ==</vt:lpwstr>
  </property>
</Properties>
</file>