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A8E137">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p>
    <w:p w14:paraId="42BD864A">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p>
    <w:p w14:paraId="63A0CD3D">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r>
        <w:rPr>
          <w:rFonts w:hint="eastAsia" w:ascii="宋体" w:hAnsi="宋体" w:cs="宋体"/>
          <w:b/>
          <w:bCs/>
          <w:kern w:val="0"/>
          <w:sz w:val="44"/>
          <w:szCs w:val="44"/>
        </w:rPr>
        <w:t>石家庄市卫生健康委员会</w:t>
      </w:r>
    </w:p>
    <w:p w14:paraId="1F956109">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kern w:val="0"/>
          <w:sz w:val="44"/>
          <w:szCs w:val="44"/>
          <w:lang w:val="en-US" w:eastAsia="zh-CN"/>
        </w:rPr>
        <w:t>2024</w:t>
      </w:r>
      <w:r>
        <w:rPr>
          <w:rFonts w:hint="eastAsia" w:ascii="宋体" w:hAnsi="宋体" w:cs="宋体"/>
          <w:b/>
          <w:bCs/>
          <w:kern w:val="0"/>
          <w:sz w:val="44"/>
          <w:szCs w:val="44"/>
        </w:rPr>
        <w:t>部门年度</w:t>
      </w:r>
      <w:r>
        <w:rPr>
          <w:rFonts w:hint="eastAsia" w:ascii="宋体" w:hAnsi="宋体" w:cs="宋体"/>
          <w:b/>
          <w:bCs/>
          <w:sz w:val="44"/>
          <w:szCs w:val="44"/>
        </w:rPr>
        <w:t>绩效自评工作报告</w:t>
      </w:r>
    </w:p>
    <w:p w14:paraId="5242042F">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6F70E035">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2CE19D58">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4E1B9043">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29846608">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1DD39F32">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652446B8">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39124171">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0064F9C9">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5672584C">
      <w:pPr>
        <w:keepNext/>
        <w:keepLines/>
        <w:pageBreakBefore w:val="0"/>
        <w:widowControl w:val="0"/>
        <w:kinsoku/>
        <w:wordWrap/>
        <w:overflowPunct/>
        <w:topLinePunct w:val="0"/>
        <w:autoSpaceDE/>
        <w:autoSpaceDN/>
        <w:bidi w:val="0"/>
        <w:adjustRightInd/>
        <w:snapToGrid/>
        <w:spacing w:line="578" w:lineRule="exact"/>
        <w:ind w:left="1151" w:hanging="1151"/>
        <w:textAlignment w:val="auto"/>
        <w:outlineLvl w:val="9"/>
        <w:rPr>
          <w:rFonts w:hint="eastAsia" w:ascii="宋体" w:hAnsi="宋体" w:cs="宋体"/>
          <w:b/>
          <w:bCs/>
          <w:sz w:val="44"/>
          <w:szCs w:val="44"/>
        </w:rPr>
      </w:pPr>
    </w:p>
    <w:p w14:paraId="67285922">
      <w:pPr>
        <w:pageBreakBefore w:val="0"/>
        <w:widowControl w:val="0"/>
        <w:kinsoku/>
        <w:wordWrap/>
        <w:overflowPunct/>
        <w:topLinePunct w:val="0"/>
        <w:autoSpaceDE/>
        <w:autoSpaceDN/>
        <w:bidi w:val="0"/>
        <w:adjustRightInd/>
        <w:snapToGrid/>
        <w:spacing w:line="578" w:lineRule="exact"/>
        <w:textAlignment w:val="auto"/>
        <w:outlineLvl w:val="9"/>
        <w:rPr>
          <w:rFonts w:hint="eastAsia"/>
        </w:rPr>
      </w:pPr>
    </w:p>
    <w:p w14:paraId="0D2EA323">
      <w:pPr>
        <w:pageBreakBefore w:val="0"/>
        <w:widowControl w:val="0"/>
        <w:kinsoku/>
        <w:wordWrap/>
        <w:overflowPunct/>
        <w:topLinePunct w:val="0"/>
        <w:autoSpaceDE/>
        <w:autoSpaceDN/>
        <w:bidi w:val="0"/>
        <w:adjustRightInd/>
        <w:snapToGrid/>
        <w:spacing w:line="578" w:lineRule="exact"/>
        <w:textAlignment w:val="auto"/>
        <w:outlineLvl w:val="9"/>
        <w:rPr>
          <w:rFonts w:hint="eastAsia"/>
        </w:rPr>
      </w:pPr>
    </w:p>
    <w:p w14:paraId="18DDEE9A">
      <w:pPr>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lang w:val="en-US" w:eastAsia="zh-CN"/>
        </w:rPr>
      </w:pPr>
      <w:r>
        <w:rPr>
          <w:rFonts w:hint="eastAsia" w:ascii="Calibri" w:hAnsi="Calibri"/>
          <w:b/>
          <w:bCs/>
          <w:sz w:val="32"/>
          <w:szCs w:val="32"/>
          <w:lang w:eastAsia="zh-CN"/>
        </w:rPr>
        <w:t>石家庄市卫生健康委员会</w:t>
      </w:r>
    </w:p>
    <w:p w14:paraId="08070B18">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14:paraId="09A34803">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14:paraId="2D462007">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14:paraId="5F3AF219">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r>
        <w:rPr>
          <w:rFonts w:hint="eastAsia" w:ascii="宋体" w:hAnsi="宋体" w:cs="宋体"/>
          <w:b/>
          <w:bCs/>
          <w:sz w:val="32"/>
          <w:szCs w:val="32"/>
          <w:lang w:val="en-US" w:eastAsia="zh-CN"/>
        </w:rPr>
        <w:t>2025年3月</w:t>
      </w:r>
    </w:p>
    <w:p w14:paraId="386F81A2">
      <w:pPr>
        <w:keepNext/>
        <w:keepLines/>
        <w:pageBreakBefore w:val="0"/>
        <w:widowControl w:val="0"/>
        <w:kinsoku/>
        <w:wordWrap/>
        <w:overflowPunct/>
        <w:topLinePunct w:val="0"/>
        <w:autoSpaceDE/>
        <w:autoSpaceDN/>
        <w:bidi w:val="0"/>
        <w:adjustRightInd/>
        <w:snapToGrid/>
        <w:spacing w:line="578" w:lineRule="exact"/>
        <w:ind w:left="1151" w:hanging="1151"/>
        <w:textAlignment w:val="auto"/>
        <w:outlineLvl w:val="9"/>
        <w:rPr>
          <w:rFonts w:hint="default"/>
          <w:lang w:val="en-US" w:eastAsia="zh-CN"/>
        </w:rPr>
      </w:pPr>
    </w:p>
    <w:p w14:paraId="33A44E4B">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sectPr>
          <w:headerReference r:id="rId3" w:type="default"/>
          <w:pgSz w:w="11906" w:h="16838"/>
          <w:pgMar w:top="2041" w:right="1304" w:bottom="1701" w:left="1531" w:header="851" w:footer="992" w:gutter="0"/>
          <w:pgNumType w:fmt="numberInDash"/>
          <w:cols w:space="720" w:num="1"/>
          <w:docGrid w:type="lines" w:linePitch="312" w:charSpace="0"/>
        </w:sectPr>
      </w:pPr>
    </w:p>
    <w:p w14:paraId="48E96802">
      <w:pPr>
        <w:keepNext w:val="0"/>
        <w:keepLines w:val="0"/>
        <w:pageBreakBefore w:val="0"/>
        <w:widowControl w:val="0"/>
        <w:kinsoku/>
        <w:wordWrap/>
        <w:overflowPunct/>
        <w:topLinePunct w:val="0"/>
        <w:autoSpaceDE/>
        <w:autoSpaceDN/>
        <w:bidi w:val="0"/>
        <w:adjustRightInd/>
        <w:snapToGrid/>
        <w:spacing w:before="0" w:beforeLines="0" w:after="157" w:afterLines="50" w:line="240" w:lineRule="auto"/>
        <w:ind w:left="0" w:leftChars="0" w:right="0" w:rightChars="0" w:firstLine="0" w:firstLineChars="0"/>
        <w:jc w:val="center"/>
        <w:textAlignment w:val="auto"/>
        <w:outlineLvl w:val="9"/>
        <w:rPr>
          <w:sz w:val="44"/>
          <w:szCs w:val="44"/>
        </w:rPr>
      </w:pPr>
      <w:r>
        <w:rPr>
          <w:rFonts w:ascii="宋体" w:hAnsi="宋体" w:eastAsia="宋体"/>
          <w:b/>
          <w:bCs/>
          <w:sz w:val="36"/>
          <w:szCs w:val="44"/>
        </w:rPr>
        <w:t>目</w:t>
      </w:r>
      <w:r>
        <w:rPr>
          <w:rFonts w:hint="eastAsia" w:ascii="宋体" w:hAnsi="宋体" w:eastAsia="宋体"/>
          <w:b/>
          <w:bCs/>
          <w:sz w:val="36"/>
          <w:szCs w:val="44"/>
          <w:lang w:val="en-US" w:eastAsia="zh-CN"/>
        </w:rPr>
        <w:t xml:space="preserve"> </w:t>
      </w:r>
      <w:r>
        <w:rPr>
          <w:rFonts w:ascii="宋体" w:hAnsi="宋体" w:eastAsia="宋体"/>
          <w:b/>
          <w:bCs/>
          <w:sz w:val="36"/>
          <w:szCs w:val="44"/>
        </w:rPr>
        <w:t>录</w:t>
      </w:r>
    </w:p>
    <w:p w14:paraId="003BF5CB">
      <w:pPr>
        <w:pStyle w:val="8"/>
        <w:tabs>
          <w:tab w:val="right" w:leader="dot" w:pos="9071"/>
        </w:tabs>
        <w:rPr>
          <w:sz w:val="28"/>
          <w:szCs w:val="36"/>
        </w:rPr>
      </w:pPr>
      <w:r>
        <w:rPr>
          <w:rFonts w:hint="eastAsia" w:ascii="宋体" w:hAnsi="宋体" w:cs="宋体"/>
          <w:b/>
          <w:bCs/>
          <w:kern w:val="0"/>
          <w:sz w:val="44"/>
          <w:szCs w:val="44"/>
        </w:rPr>
        <w:fldChar w:fldCharType="begin"/>
      </w:r>
      <w:r>
        <w:rPr>
          <w:rFonts w:hint="eastAsia" w:ascii="宋体" w:hAnsi="宋体" w:cs="宋体"/>
          <w:b/>
          <w:bCs/>
          <w:kern w:val="0"/>
          <w:sz w:val="44"/>
          <w:szCs w:val="44"/>
        </w:rPr>
        <w:instrText xml:space="preserve">TOC \o "1-2" \h \u </w:instrText>
      </w:r>
      <w:r>
        <w:rPr>
          <w:rFonts w:hint="eastAsia" w:ascii="宋体" w:hAnsi="宋体" w:cs="宋体"/>
          <w:b/>
          <w:bCs/>
          <w:kern w:val="0"/>
          <w:sz w:val="44"/>
          <w:szCs w:val="44"/>
        </w:rPr>
        <w:fldChar w:fldCharType="separate"/>
      </w: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_Toc11007 </w:instrText>
      </w:r>
      <w:r>
        <w:rPr>
          <w:rFonts w:hint="eastAsia" w:ascii="宋体" w:hAnsi="宋体" w:cs="宋体"/>
          <w:bCs/>
          <w:kern w:val="0"/>
          <w:sz w:val="28"/>
          <w:szCs w:val="56"/>
        </w:rPr>
        <w:fldChar w:fldCharType="separate"/>
      </w:r>
      <w:r>
        <w:rPr>
          <w:rFonts w:hint="eastAsia" w:ascii="黑体" w:hAnsi="黑体" w:eastAsia="黑体" w:cs="黑体"/>
          <w:sz w:val="28"/>
          <w:szCs w:val="44"/>
        </w:rPr>
        <w:t>一、绩效自评工作组织开展情况</w:t>
      </w:r>
      <w:r>
        <w:rPr>
          <w:sz w:val="28"/>
          <w:szCs w:val="36"/>
        </w:rPr>
        <w:tab/>
      </w:r>
      <w:r>
        <w:rPr>
          <w:sz w:val="28"/>
          <w:szCs w:val="36"/>
        </w:rPr>
        <w:fldChar w:fldCharType="begin"/>
      </w:r>
      <w:r>
        <w:rPr>
          <w:sz w:val="28"/>
          <w:szCs w:val="36"/>
        </w:rPr>
        <w:instrText xml:space="preserve"> PAGEREF _Toc11007 \h </w:instrText>
      </w:r>
      <w:r>
        <w:rPr>
          <w:sz w:val="28"/>
          <w:szCs w:val="36"/>
        </w:rPr>
        <w:fldChar w:fldCharType="separate"/>
      </w:r>
      <w:r>
        <w:rPr>
          <w:sz w:val="28"/>
          <w:szCs w:val="36"/>
        </w:rPr>
        <w:t>- 1 -</w:t>
      </w:r>
      <w:r>
        <w:rPr>
          <w:sz w:val="28"/>
          <w:szCs w:val="36"/>
        </w:rPr>
        <w:fldChar w:fldCharType="end"/>
      </w:r>
      <w:r>
        <w:rPr>
          <w:rFonts w:hint="eastAsia" w:ascii="宋体" w:hAnsi="宋体" w:cs="宋体"/>
          <w:bCs/>
          <w:kern w:val="0"/>
          <w:sz w:val="28"/>
          <w:szCs w:val="56"/>
        </w:rPr>
        <w:fldChar w:fldCharType="end"/>
      </w:r>
    </w:p>
    <w:p w14:paraId="00B21371">
      <w:pPr>
        <w:pStyle w:val="9"/>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_Toc13440 </w:instrText>
      </w:r>
      <w:r>
        <w:rPr>
          <w:rFonts w:hint="eastAsia" w:ascii="宋体" w:hAnsi="宋体" w:cs="宋体"/>
          <w:bCs/>
          <w:kern w:val="0"/>
          <w:sz w:val="28"/>
          <w:szCs w:val="56"/>
        </w:rPr>
        <w:fldChar w:fldCharType="separate"/>
      </w:r>
      <w:r>
        <w:rPr>
          <w:rFonts w:hint="eastAsia" w:ascii="楷体" w:hAnsi="楷体" w:eastAsia="楷体" w:cs="楷体"/>
          <w:sz w:val="28"/>
          <w:szCs w:val="44"/>
          <w:lang w:eastAsia="zh-CN"/>
        </w:rPr>
        <w:t>（</w:t>
      </w:r>
      <w:r>
        <w:rPr>
          <w:rFonts w:hint="eastAsia" w:ascii="楷体" w:hAnsi="楷体" w:eastAsia="楷体" w:cs="楷体"/>
          <w:sz w:val="28"/>
          <w:szCs w:val="44"/>
          <w:lang w:val="en-US" w:eastAsia="zh-CN"/>
        </w:rPr>
        <w:t>一</w:t>
      </w:r>
      <w:r>
        <w:rPr>
          <w:rFonts w:hint="eastAsia" w:ascii="楷体" w:hAnsi="楷体" w:eastAsia="楷体" w:cs="楷体"/>
          <w:sz w:val="28"/>
          <w:szCs w:val="44"/>
          <w:lang w:eastAsia="zh-CN"/>
        </w:rPr>
        <w:t>）</w:t>
      </w:r>
      <w:r>
        <w:rPr>
          <w:rFonts w:hint="eastAsia" w:ascii="楷体" w:hAnsi="楷体" w:eastAsia="楷体" w:cs="楷体"/>
          <w:sz w:val="28"/>
          <w:szCs w:val="44"/>
          <w:lang w:val="en-US" w:eastAsia="zh-CN"/>
        </w:rPr>
        <w:t>组织与实施情况</w:t>
      </w:r>
      <w:r>
        <w:rPr>
          <w:sz w:val="28"/>
          <w:szCs w:val="36"/>
        </w:rPr>
        <w:tab/>
      </w:r>
      <w:r>
        <w:rPr>
          <w:sz w:val="28"/>
          <w:szCs w:val="36"/>
        </w:rPr>
        <w:fldChar w:fldCharType="begin"/>
      </w:r>
      <w:r>
        <w:rPr>
          <w:sz w:val="28"/>
          <w:szCs w:val="36"/>
        </w:rPr>
        <w:instrText xml:space="preserve"> PAGEREF _Toc13440 \h </w:instrText>
      </w:r>
      <w:r>
        <w:rPr>
          <w:sz w:val="28"/>
          <w:szCs w:val="36"/>
        </w:rPr>
        <w:fldChar w:fldCharType="separate"/>
      </w:r>
      <w:r>
        <w:rPr>
          <w:sz w:val="28"/>
          <w:szCs w:val="36"/>
        </w:rPr>
        <w:t>- 1 -</w:t>
      </w:r>
      <w:r>
        <w:rPr>
          <w:sz w:val="28"/>
          <w:szCs w:val="36"/>
        </w:rPr>
        <w:fldChar w:fldCharType="end"/>
      </w:r>
      <w:r>
        <w:rPr>
          <w:rFonts w:hint="eastAsia" w:ascii="宋体" w:hAnsi="宋体" w:cs="宋体"/>
          <w:bCs/>
          <w:kern w:val="0"/>
          <w:sz w:val="28"/>
          <w:szCs w:val="56"/>
        </w:rPr>
        <w:fldChar w:fldCharType="end"/>
      </w:r>
    </w:p>
    <w:p w14:paraId="35A1B52B">
      <w:pPr>
        <w:pStyle w:val="9"/>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_Toc15327 </w:instrText>
      </w:r>
      <w:r>
        <w:rPr>
          <w:rFonts w:hint="eastAsia" w:ascii="宋体" w:hAnsi="宋体" w:cs="宋体"/>
          <w:bCs/>
          <w:kern w:val="0"/>
          <w:sz w:val="28"/>
          <w:szCs w:val="56"/>
        </w:rPr>
        <w:fldChar w:fldCharType="separate"/>
      </w:r>
      <w:r>
        <w:rPr>
          <w:rFonts w:hint="eastAsia" w:ascii="楷体" w:hAnsi="楷体" w:eastAsia="楷体" w:cs="楷体"/>
          <w:sz w:val="28"/>
          <w:szCs w:val="44"/>
          <w:lang w:eastAsia="zh-CN"/>
        </w:rPr>
        <w:t>（</w:t>
      </w:r>
      <w:r>
        <w:rPr>
          <w:rFonts w:hint="eastAsia" w:ascii="楷体" w:hAnsi="楷体" w:eastAsia="楷体" w:cs="楷体"/>
          <w:sz w:val="28"/>
          <w:szCs w:val="44"/>
          <w:lang w:val="en-US" w:eastAsia="zh-CN"/>
        </w:rPr>
        <w:t>二</w:t>
      </w:r>
      <w:r>
        <w:rPr>
          <w:rFonts w:hint="eastAsia" w:ascii="楷体" w:hAnsi="楷体" w:eastAsia="楷体" w:cs="楷体"/>
          <w:sz w:val="28"/>
          <w:szCs w:val="44"/>
          <w:lang w:eastAsia="zh-CN"/>
        </w:rPr>
        <w:t>）预算安排及资金分配拨付</w:t>
      </w:r>
      <w:r>
        <w:rPr>
          <w:rFonts w:hint="eastAsia" w:ascii="楷体" w:hAnsi="楷体" w:eastAsia="楷体" w:cs="楷体"/>
          <w:sz w:val="28"/>
          <w:szCs w:val="44"/>
          <w:lang w:val="en-US" w:eastAsia="zh-CN"/>
        </w:rPr>
        <w:t>情况</w:t>
      </w:r>
      <w:r>
        <w:rPr>
          <w:sz w:val="28"/>
          <w:szCs w:val="36"/>
        </w:rPr>
        <w:tab/>
      </w:r>
      <w:r>
        <w:rPr>
          <w:sz w:val="28"/>
          <w:szCs w:val="36"/>
        </w:rPr>
        <w:fldChar w:fldCharType="begin"/>
      </w:r>
      <w:r>
        <w:rPr>
          <w:sz w:val="28"/>
          <w:szCs w:val="36"/>
        </w:rPr>
        <w:instrText xml:space="preserve"> PAGEREF _Toc15327 \h </w:instrText>
      </w:r>
      <w:r>
        <w:rPr>
          <w:sz w:val="28"/>
          <w:szCs w:val="36"/>
        </w:rPr>
        <w:fldChar w:fldCharType="separate"/>
      </w:r>
      <w:r>
        <w:rPr>
          <w:sz w:val="28"/>
          <w:szCs w:val="36"/>
        </w:rPr>
        <w:t>- 2 -</w:t>
      </w:r>
      <w:r>
        <w:rPr>
          <w:sz w:val="28"/>
          <w:szCs w:val="36"/>
        </w:rPr>
        <w:fldChar w:fldCharType="end"/>
      </w:r>
      <w:r>
        <w:rPr>
          <w:rFonts w:hint="eastAsia" w:ascii="宋体" w:hAnsi="宋体" w:cs="宋体"/>
          <w:bCs/>
          <w:kern w:val="0"/>
          <w:sz w:val="28"/>
          <w:szCs w:val="56"/>
        </w:rPr>
        <w:fldChar w:fldCharType="end"/>
      </w:r>
    </w:p>
    <w:p w14:paraId="511DF52F">
      <w:pPr>
        <w:pStyle w:val="9"/>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_Toc30985 </w:instrText>
      </w:r>
      <w:r>
        <w:rPr>
          <w:rFonts w:hint="eastAsia" w:ascii="宋体" w:hAnsi="宋体" w:cs="宋体"/>
          <w:bCs/>
          <w:kern w:val="0"/>
          <w:sz w:val="28"/>
          <w:szCs w:val="56"/>
        </w:rPr>
        <w:fldChar w:fldCharType="separate"/>
      </w:r>
      <w:r>
        <w:rPr>
          <w:rFonts w:hint="eastAsia" w:ascii="楷体" w:hAnsi="楷体" w:eastAsia="楷体" w:cs="楷体"/>
          <w:sz w:val="28"/>
          <w:szCs w:val="44"/>
          <w:lang w:eastAsia="zh-CN"/>
        </w:rPr>
        <w:t>（</w:t>
      </w:r>
      <w:r>
        <w:rPr>
          <w:rFonts w:hint="eastAsia" w:ascii="楷体" w:hAnsi="楷体" w:eastAsia="楷体" w:cs="楷体"/>
          <w:sz w:val="28"/>
          <w:szCs w:val="44"/>
          <w:lang w:val="en-US" w:eastAsia="zh-CN"/>
        </w:rPr>
        <w:t>三</w:t>
      </w:r>
      <w:r>
        <w:rPr>
          <w:rFonts w:hint="eastAsia" w:ascii="楷体" w:hAnsi="楷体" w:eastAsia="楷体" w:cs="楷体"/>
          <w:sz w:val="28"/>
          <w:szCs w:val="44"/>
          <w:lang w:eastAsia="zh-CN"/>
        </w:rPr>
        <w:t>）</w:t>
      </w:r>
      <w:r>
        <w:rPr>
          <w:rFonts w:hint="eastAsia" w:ascii="楷体" w:hAnsi="楷体" w:eastAsia="楷体" w:cs="楷体"/>
          <w:sz w:val="28"/>
          <w:szCs w:val="44"/>
          <w:lang w:val="en-US" w:eastAsia="zh-CN"/>
        </w:rPr>
        <w:t>制度建设情况</w:t>
      </w:r>
      <w:r>
        <w:rPr>
          <w:sz w:val="28"/>
          <w:szCs w:val="36"/>
        </w:rPr>
        <w:tab/>
      </w:r>
      <w:r>
        <w:rPr>
          <w:sz w:val="28"/>
          <w:szCs w:val="36"/>
        </w:rPr>
        <w:fldChar w:fldCharType="begin"/>
      </w:r>
      <w:r>
        <w:rPr>
          <w:sz w:val="28"/>
          <w:szCs w:val="36"/>
        </w:rPr>
        <w:instrText xml:space="preserve"> PAGEREF _Toc30985 \h </w:instrText>
      </w:r>
      <w:r>
        <w:rPr>
          <w:sz w:val="28"/>
          <w:szCs w:val="36"/>
        </w:rPr>
        <w:fldChar w:fldCharType="separate"/>
      </w:r>
      <w:r>
        <w:rPr>
          <w:sz w:val="28"/>
          <w:szCs w:val="36"/>
        </w:rPr>
        <w:t>- 4 -</w:t>
      </w:r>
      <w:r>
        <w:rPr>
          <w:sz w:val="28"/>
          <w:szCs w:val="36"/>
        </w:rPr>
        <w:fldChar w:fldCharType="end"/>
      </w:r>
      <w:r>
        <w:rPr>
          <w:rFonts w:hint="eastAsia" w:ascii="宋体" w:hAnsi="宋体" w:cs="宋体"/>
          <w:bCs/>
          <w:kern w:val="0"/>
          <w:sz w:val="28"/>
          <w:szCs w:val="56"/>
        </w:rPr>
        <w:fldChar w:fldCharType="end"/>
      </w:r>
    </w:p>
    <w:p w14:paraId="55B8084C">
      <w:pPr>
        <w:pStyle w:val="8"/>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_Toc19175 </w:instrText>
      </w:r>
      <w:r>
        <w:rPr>
          <w:rFonts w:hint="eastAsia" w:ascii="宋体" w:hAnsi="宋体" w:cs="宋体"/>
          <w:bCs/>
          <w:kern w:val="0"/>
          <w:sz w:val="28"/>
          <w:szCs w:val="56"/>
        </w:rPr>
        <w:fldChar w:fldCharType="separate"/>
      </w:r>
      <w:r>
        <w:rPr>
          <w:rFonts w:hint="eastAsia" w:ascii="黑体" w:hAnsi="黑体" w:eastAsia="黑体" w:cs="黑体"/>
          <w:sz w:val="28"/>
          <w:szCs w:val="44"/>
        </w:rPr>
        <w:t>二、绩效目标实现情况</w:t>
      </w:r>
      <w:r>
        <w:rPr>
          <w:sz w:val="28"/>
          <w:szCs w:val="36"/>
        </w:rPr>
        <w:tab/>
      </w:r>
      <w:r>
        <w:rPr>
          <w:sz w:val="28"/>
          <w:szCs w:val="36"/>
        </w:rPr>
        <w:fldChar w:fldCharType="begin"/>
      </w:r>
      <w:r>
        <w:rPr>
          <w:sz w:val="28"/>
          <w:szCs w:val="36"/>
        </w:rPr>
        <w:instrText xml:space="preserve"> PAGEREF _Toc19175 \h </w:instrText>
      </w:r>
      <w:r>
        <w:rPr>
          <w:sz w:val="28"/>
          <w:szCs w:val="36"/>
        </w:rPr>
        <w:fldChar w:fldCharType="separate"/>
      </w:r>
      <w:r>
        <w:rPr>
          <w:sz w:val="28"/>
          <w:szCs w:val="36"/>
        </w:rPr>
        <w:t>- 4 -</w:t>
      </w:r>
      <w:r>
        <w:rPr>
          <w:sz w:val="28"/>
          <w:szCs w:val="36"/>
        </w:rPr>
        <w:fldChar w:fldCharType="end"/>
      </w:r>
      <w:r>
        <w:rPr>
          <w:rFonts w:hint="eastAsia" w:ascii="宋体" w:hAnsi="宋体" w:cs="宋体"/>
          <w:bCs/>
          <w:kern w:val="0"/>
          <w:sz w:val="28"/>
          <w:szCs w:val="56"/>
        </w:rPr>
        <w:fldChar w:fldCharType="end"/>
      </w:r>
    </w:p>
    <w:p w14:paraId="0F555BA9">
      <w:pPr>
        <w:pStyle w:val="9"/>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_Toc28588 </w:instrText>
      </w:r>
      <w:r>
        <w:rPr>
          <w:rFonts w:hint="eastAsia" w:ascii="宋体" w:hAnsi="宋体" w:cs="宋体"/>
          <w:bCs/>
          <w:kern w:val="0"/>
          <w:sz w:val="28"/>
          <w:szCs w:val="56"/>
        </w:rPr>
        <w:fldChar w:fldCharType="separate"/>
      </w:r>
      <w:r>
        <w:rPr>
          <w:rFonts w:hint="eastAsia" w:ascii="楷体" w:hAnsi="楷体" w:eastAsia="楷体" w:cs="楷体"/>
          <w:sz w:val="28"/>
          <w:szCs w:val="44"/>
          <w:lang w:eastAsia="zh-CN"/>
        </w:rPr>
        <w:t>（</w:t>
      </w:r>
      <w:r>
        <w:rPr>
          <w:rFonts w:hint="eastAsia" w:ascii="楷体" w:hAnsi="楷体" w:eastAsia="楷体" w:cs="楷体"/>
          <w:sz w:val="28"/>
          <w:szCs w:val="44"/>
          <w:lang w:val="en-US" w:eastAsia="zh-CN"/>
        </w:rPr>
        <w:t>一</w:t>
      </w:r>
      <w:r>
        <w:rPr>
          <w:rFonts w:hint="eastAsia" w:ascii="楷体" w:hAnsi="楷体" w:eastAsia="楷体" w:cs="楷体"/>
          <w:sz w:val="28"/>
          <w:szCs w:val="44"/>
          <w:lang w:eastAsia="zh-CN"/>
        </w:rPr>
        <w:t>）部门总体工作开展情况</w:t>
      </w:r>
      <w:r>
        <w:rPr>
          <w:sz w:val="28"/>
          <w:szCs w:val="36"/>
        </w:rPr>
        <w:tab/>
      </w:r>
      <w:r>
        <w:rPr>
          <w:sz w:val="28"/>
          <w:szCs w:val="36"/>
        </w:rPr>
        <w:fldChar w:fldCharType="begin"/>
      </w:r>
      <w:r>
        <w:rPr>
          <w:sz w:val="28"/>
          <w:szCs w:val="36"/>
        </w:rPr>
        <w:instrText xml:space="preserve"> PAGEREF _Toc28588 \h </w:instrText>
      </w:r>
      <w:r>
        <w:rPr>
          <w:sz w:val="28"/>
          <w:szCs w:val="36"/>
        </w:rPr>
        <w:fldChar w:fldCharType="separate"/>
      </w:r>
      <w:r>
        <w:rPr>
          <w:sz w:val="28"/>
          <w:szCs w:val="36"/>
        </w:rPr>
        <w:t>- 4 -</w:t>
      </w:r>
      <w:r>
        <w:rPr>
          <w:sz w:val="28"/>
          <w:szCs w:val="36"/>
        </w:rPr>
        <w:fldChar w:fldCharType="end"/>
      </w:r>
      <w:r>
        <w:rPr>
          <w:rFonts w:hint="eastAsia" w:ascii="宋体" w:hAnsi="宋体" w:cs="宋体"/>
          <w:bCs/>
          <w:kern w:val="0"/>
          <w:sz w:val="28"/>
          <w:szCs w:val="56"/>
        </w:rPr>
        <w:fldChar w:fldCharType="end"/>
      </w:r>
    </w:p>
    <w:p w14:paraId="12012298">
      <w:pPr>
        <w:pStyle w:val="9"/>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_Toc20208 </w:instrText>
      </w:r>
      <w:r>
        <w:rPr>
          <w:rFonts w:hint="eastAsia" w:ascii="宋体" w:hAnsi="宋体" w:cs="宋体"/>
          <w:bCs/>
          <w:kern w:val="0"/>
          <w:sz w:val="28"/>
          <w:szCs w:val="56"/>
        </w:rPr>
        <w:fldChar w:fldCharType="separate"/>
      </w:r>
      <w:r>
        <w:rPr>
          <w:rFonts w:hint="eastAsia" w:ascii="楷体" w:hAnsi="楷体" w:eastAsia="楷体" w:cs="楷体"/>
          <w:sz w:val="28"/>
          <w:szCs w:val="44"/>
          <w:highlight w:val="none"/>
          <w:lang w:val="en-US" w:eastAsia="zh-CN"/>
        </w:rPr>
        <w:t>（二）绩效目标完成情况</w:t>
      </w:r>
      <w:r>
        <w:rPr>
          <w:sz w:val="28"/>
          <w:szCs w:val="36"/>
        </w:rPr>
        <w:tab/>
      </w:r>
      <w:r>
        <w:rPr>
          <w:sz w:val="28"/>
          <w:szCs w:val="36"/>
        </w:rPr>
        <w:fldChar w:fldCharType="begin"/>
      </w:r>
      <w:r>
        <w:rPr>
          <w:sz w:val="28"/>
          <w:szCs w:val="36"/>
        </w:rPr>
        <w:instrText xml:space="preserve"> PAGEREF _Toc20208 \h </w:instrText>
      </w:r>
      <w:r>
        <w:rPr>
          <w:sz w:val="28"/>
          <w:szCs w:val="36"/>
        </w:rPr>
        <w:fldChar w:fldCharType="separate"/>
      </w:r>
      <w:r>
        <w:rPr>
          <w:sz w:val="28"/>
          <w:szCs w:val="36"/>
        </w:rPr>
        <w:t>- 4 -</w:t>
      </w:r>
      <w:r>
        <w:rPr>
          <w:sz w:val="28"/>
          <w:szCs w:val="36"/>
        </w:rPr>
        <w:fldChar w:fldCharType="end"/>
      </w:r>
      <w:r>
        <w:rPr>
          <w:rFonts w:hint="eastAsia" w:ascii="宋体" w:hAnsi="宋体" w:cs="宋体"/>
          <w:bCs/>
          <w:kern w:val="0"/>
          <w:sz w:val="28"/>
          <w:szCs w:val="56"/>
        </w:rPr>
        <w:fldChar w:fldCharType="end"/>
      </w:r>
    </w:p>
    <w:p w14:paraId="57FA4162">
      <w:pPr>
        <w:pStyle w:val="9"/>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_Toc12893 </w:instrText>
      </w:r>
      <w:r>
        <w:rPr>
          <w:rFonts w:hint="eastAsia" w:ascii="宋体" w:hAnsi="宋体" w:cs="宋体"/>
          <w:bCs/>
          <w:kern w:val="0"/>
          <w:sz w:val="28"/>
          <w:szCs w:val="56"/>
        </w:rPr>
        <w:fldChar w:fldCharType="separate"/>
      </w:r>
      <w:r>
        <w:rPr>
          <w:rFonts w:hint="eastAsia" w:ascii="楷体" w:hAnsi="楷体" w:eastAsia="楷体" w:cs="楷体"/>
          <w:sz w:val="28"/>
          <w:szCs w:val="44"/>
          <w:highlight w:val="none"/>
          <w:lang w:val="en-US" w:eastAsia="zh-CN"/>
        </w:rPr>
        <w:t>（三）存在的问题及原因</w:t>
      </w:r>
      <w:r>
        <w:rPr>
          <w:sz w:val="28"/>
          <w:szCs w:val="36"/>
        </w:rPr>
        <w:tab/>
      </w:r>
      <w:r>
        <w:rPr>
          <w:sz w:val="28"/>
          <w:szCs w:val="36"/>
        </w:rPr>
        <w:fldChar w:fldCharType="begin"/>
      </w:r>
      <w:r>
        <w:rPr>
          <w:sz w:val="28"/>
          <w:szCs w:val="36"/>
        </w:rPr>
        <w:instrText xml:space="preserve"> PAGEREF _Toc12893 \h </w:instrText>
      </w:r>
      <w:r>
        <w:rPr>
          <w:sz w:val="28"/>
          <w:szCs w:val="36"/>
        </w:rPr>
        <w:fldChar w:fldCharType="separate"/>
      </w:r>
      <w:r>
        <w:rPr>
          <w:sz w:val="28"/>
          <w:szCs w:val="36"/>
        </w:rPr>
        <w:t>- 9 -</w:t>
      </w:r>
      <w:r>
        <w:rPr>
          <w:sz w:val="28"/>
          <w:szCs w:val="36"/>
        </w:rPr>
        <w:fldChar w:fldCharType="end"/>
      </w:r>
      <w:r>
        <w:rPr>
          <w:rFonts w:hint="eastAsia" w:ascii="宋体" w:hAnsi="宋体" w:cs="宋体"/>
          <w:bCs/>
          <w:kern w:val="0"/>
          <w:sz w:val="28"/>
          <w:szCs w:val="56"/>
        </w:rPr>
        <w:fldChar w:fldCharType="end"/>
      </w:r>
    </w:p>
    <w:p w14:paraId="5B16004E">
      <w:pPr>
        <w:pStyle w:val="8"/>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_Toc1686 </w:instrText>
      </w:r>
      <w:r>
        <w:rPr>
          <w:rFonts w:hint="eastAsia" w:ascii="宋体" w:hAnsi="宋体" w:cs="宋体"/>
          <w:bCs/>
          <w:kern w:val="0"/>
          <w:sz w:val="28"/>
          <w:szCs w:val="56"/>
        </w:rPr>
        <w:fldChar w:fldCharType="separate"/>
      </w:r>
      <w:r>
        <w:rPr>
          <w:rFonts w:hint="eastAsia" w:ascii="黑体" w:hAnsi="黑体" w:eastAsia="黑体" w:cs="黑体"/>
          <w:sz w:val="28"/>
          <w:szCs w:val="44"/>
          <w:highlight w:val="none"/>
        </w:rPr>
        <w:t>三、绩效目标设定质量情况</w:t>
      </w:r>
      <w:r>
        <w:rPr>
          <w:sz w:val="28"/>
          <w:szCs w:val="36"/>
        </w:rPr>
        <w:tab/>
      </w:r>
      <w:r>
        <w:rPr>
          <w:sz w:val="28"/>
          <w:szCs w:val="36"/>
        </w:rPr>
        <w:fldChar w:fldCharType="begin"/>
      </w:r>
      <w:r>
        <w:rPr>
          <w:sz w:val="28"/>
          <w:szCs w:val="36"/>
        </w:rPr>
        <w:instrText xml:space="preserve"> PAGEREF _Toc1686 \h </w:instrText>
      </w:r>
      <w:r>
        <w:rPr>
          <w:sz w:val="28"/>
          <w:szCs w:val="36"/>
        </w:rPr>
        <w:fldChar w:fldCharType="separate"/>
      </w:r>
      <w:r>
        <w:rPr>
          <w:sz w:val="28"/>
          <w:szCs w:val="36"/>
        </w:rPr>
        <w:t>- 13 -</w:t>
      </w:r>
      <w:r>
        <w:rPr>
          <w:sz w:val="28"/>
          <w:szCs w:val="36"/>
        </w:rPr>
        <w:fldChar w:fldCharType="end"/>
      </w:r>
      <w:r>
        <w:rPr>
          <w:rFonts w:hint="eastAsia" w:ascii="宋体" w:hAnsi="宋体" w:cs="宋体"/>
          <w:bCs/>
          <w:kern w:val="0"/>
          <w:sz w:val="28"/>
          <w:szCs w:val="56"/>
        </w:rPr>
        <w:fldChar w:fldCharType="end"/>
      </w:r>
    </w:p>
    <w:p w14:paraId="1B9CF19C">
      <w:pPr>
        <w:pStyle w:val="8"/>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_Toc18397 </w:instrText>
      </w:r>
      <w:r>
        <w:rPr>
          <w:rFonts w:hint="eastAsia" w:ascii="宋体" w:hAnsi="宋体" w:cs="宋体"/>
          <w:bCs/>
          <w:kern w:val="0"/>
          <w:sz w:val="28"/>
          <w:szCs w:val="56"/>
        </w:rPr>
        <w:fldChar w:fldCharType="separate"/>
      </w:r>
      <w:r>
        <w:rPr>
          <w:rFonts w:hint="eastAsia" w:ascii="黑体" w:hAnsi="黑体" w:eastAsia="黑体" w:cs="黑体"/>
          <w:sz w:val="28"/>
          <w:szCs w:val="44"/>
          <w:highlight w:val="none"/>
        </w:rPr>
        <w:t>四、整改措施及结果应用</w:t>
      </w:r>
      <w:r>
        <w:rPr>
          <w:sz w:val="28"/>
          <w:szCs w:val="36"/>
        </w:rPr>
        <w:tab/>
      </w:r>
      <w:r>
        <w:rPr>
          <w:sz w:val="28"/>
          <w:szCs w:val="36"/>
        </w:rPr>
        <w:fldChar w:fldCharType="begin"/>
      </w:r>
      <w:r>
        <w:rPr>
          <w:sz w:val="28"/>
          <w:szCs w:val="36"/>
        </w:rPr>
        <w:instrText xml:space="preserve"> PAGEREF _Toc18397 \h </w:instrText>
      </w:r>
      <w:r>
        <w:rPr>
          <w:sz w:val="28"/>
          <w:szCs w:val="36"/>
        </w:rPr>
        <w:fldChar w:fldCharType="separate"/>
      </w:r>
      <w:r>
        <w:rPr>
          <w:sz w:val="28"/>
          <w:szCs w:val="36"/>
        </w:rPr>
        <w:t>- 13 -</w:t>
      </w:r>
      <w:r>
        <w:rPr>
          <w:sz w:val="28"/>
          <w:szCs w:val="36"/>
        </w:rPr>
        <w:fldChar w:fldCharType="end"/>
      </w:r>
      <w:r>
        <w:rPr>
          <w:rFonts w:hint="eastAsia" w:ascii="宋体" w:hAnsi="宋体" w:cs="宋体"/>
          <w:bCs/>
          <w:kern w:val="0"/>
          <w:sz w:val="28"/>
          <w:szCs w:val="56"/>
        </w:rPr>
        <w:fldChar w:fldCharType="end"/>
      </w:r>
    </w:p>
    <w:p w14:paraId="1CBA66A8">
      <w:pPr>
        <w:pStyle w:val="9"/>
        <w:tabs>
          <w:tab w:val="right" w:leader="dot" w:pos="9071"/>
        </w:tabs>
        <w:rPr>
          <w:sz w:val="28"/>
          <w:szCs w:val="36"/>
        </w:rPr>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_Toc24035 </w:instrText>
      </w:r>
      <w:r>
        <w:rPr>
          <w:rFonts w:hint="eastAsia" w:ascii="宋体" w:hAnsi="宋体" w:cs="宋体"/>
          <w:bCs/>
          <w:kern w:val="0"/>
          <w:sz w:val="28"/>
          <w:szCs w:val="56"/>
        </w:rPr>
        <w:fldChar w:fldCharType="separate"/>
      </w:r>
      <w:r>
        <w:rPr>
          <w:rFonts w:hint="eastAsia" w:ascii="楷体" w:hAnsi="楷体" w:eastAsia="楷体" w:cs="楷体"/>
          <w:sz w:val="28"/>
          <w:szCs w:val="44"/>
          <w:highlight w:val="none"/>
          <w:lang w:eastAsia="zh-CN"/>
        </w:rPr>
        <w:t>（</w:t>
      </w:r>
      <w:r>
        <w:rPr>
          <w:rFonts w:hint="eastAsia" w:ascii="楷体" w:hAnsi="楷体" w:eastAsia="楷体" w:cs="楷体"/>
          <w:sz w:val="28"/>
          <w:szCs w:val="44"/>
          <w:highlight w:val="none"/>
          <w:lang w:val="en-US" w:eastAsia="zh-CN"/>
        </w:rPr>
        <w:t>一</w:t>
      </w:r>
      <w:r>
        <w:rPr>
          <w:rFonts w:hint="eastAsia" w:ascii="楷体" w:hAnsi="楷体" w:eastAsia="楷体" w:cs="楷体"/>
          <w:sz w:val="28"/>
          <w:szCs w:val="44"/>
          <w:highlight w:val="none"/>
          <w:lang w:eastAsia="zh-CN"/>
        </w:rPr>
        <w:t>）</w:t>
      </w:r>
      <w:r>
        <w:rPr>
          <w:rFonts w:hint="eastAsia" w:ascii="楷体" w:hAnsi="楷体" w:eastAsia="楷体" w:cs="楷体"/>
          <w:sz w:val="28"/>
          <w:szCs w:val="44"/>
          <w:highlight w:val="none"/>
          <w:lang w:val="en-US" w:eastAsia="zh-CN"/>
        </w:rPr>
        <w:t>整改措施</w:t>
      </w:r>
      <w:r>
        <w:rPr>
          <w:sz w:val="28"/>
          <w:szCs w:val="36"/>
        </w:rPr>
        <w:tab/>
      </w:r>
      <w:r>
        <w:rPr>
          <w:sz w:val="28"/>
          <w:szCs w:val="36"/>
        </w:rPr>
        <w:fldChar w:fldCharType="begin"/>
      </w:r>
      <w:r>
        <w:rPr>
          <w:sz w:val="28"/>
          <w:szCs w:val="36"/>
        </w:rPr>
        <w:instrText xml:space="preserve"> PAGEREF _Toc24035 \h </w:instrText>
      </w:r>
      <w:r>
        <w:rPr>
          <w:sz w:val="28"/>
          <w:szCs w:val="36"/>
        </w:rPr>
        <w:fldChar w:fldCharType="separate"/>
      </w:r>
      <w:r>
        <w:rPr>
          <w:sz w:val="28"/>
          <w:szCs w:val="36"/>
        </w:rPr>
        <w:t>- 13 -</w:t>
      </w:r>
      <w:r>
        <w:rPr>
          <w:sz w:val="28"/>
          <w:szCs w:val="36"/>
        </w:rPr>
        <w:fldChar w:fldCharType="end"/>
      </w:r>
      <w:r>
        <w:rPr>
          <w:rFonts w:hint="eastAsia" w:ascii="宋体" w:hAnsi="宋体" w:cs="宋体"/>
          <w:bCs/>
          <w:kern w:val="0"/>
          <w:sz w:val="28"/>
          <w:szCs w:val="56"/>
        </w:rPr>
        <w:fldChar w:fldCharType="end"/>
      </w:r>
    </w:p>
    <w:p w14:paraId="72EBBEF6">
      <w:pPr>
        <w:pStyle w:val="9"/>
        <w:tabs>
          <w:tab w:val="right" w:leader="dot" w:pos="9071"/>
        </w:tabs>
      </w:pPr>
      <w:r>
        <w:rPr>
          <w:rFonts w:hint="eastAsia" w:ascii="宋体" w:hAnsi="宋体" w:cs="宋体"/>
          <w:bCs/>
          <w:kern w:val="0"/>
          <w:sz w:val="28"/>
          <w:szCs w:val="56"/>
        </w:rPr>
        <w:fldChar w:fldCharType="begin"/>
      </w:r>
      <w:r>
        <w:rPr>
          <w:rFonts w:hint="eastAsia" w:ascii="宋体" w:hAnsi="宋体" w:cs="宋体"/>
          <w:bCs/>
          <w:kern w:val="0"/>
          <w:sz w:val="28"/>
          <w:szCs w:val="56"/>
        </w:rPr>
        <w:instrText xml:space="preserve"> HYPERLINK \l _Toc4908 </w:instrText>
      </w:r>
      <w:r>
        <w:rPr>
          <w:rFonts w:hint="eastAsia" w:ascii="宋体" w:hAnsi="宋体" w:cs="宋体"/>
          <w:bCs/>
          <w:kern w:val="0"/>
          <w:sz w:val="28"/>
          <w:szCs w:val="56"/>
        </w:rPr>
        <w:fldChar w:fldCharType="separate"/>
      </w:r>
      <w:r>
        <w:rPr>
          <w:rFonts w:hint="eastAsia" w:ascii="楷体" w:hAnsi="楷体" w:eastAsia="楷体" w:cs="楷体"/>
          <w:sz w:val="28"/>
          <w:szCs w:val="44"/>
          <w:highlight w:val="none"/>
          <w:lang w:eastAsia="zh-CN"/>
        </w:rPr>
        <w:t>（</w:t>
      </w:r>
      <w:r>
        <w:rPr>
          <w:rFonts w:hint="eastAsia" w:ascii="楷体" w:hAnsi="楷体" w:eastAsia="楷体" w:cs="楷体"/>
          <w:sz w:val="28"/>
          <w:szCs w:val="44"/>
          <w:highlight w:val="none"/>
          <w:lang w:val="en-US" w:eastAsia="zh-CN"/>
        </w:rPr>
        <w:t>二</w:t>
      </w:r>
      <w:r>
        <w:rPr>
          <w:rFonts w:hint="eastAsia" w:ascii="楷体" w:hAnsi="楷体" w:eastAsia="楷体" w:cs="楷体"/>
          <w:sz w:val="28"/>
          <w:szCs w:val="44"/>
          <w:highlight w:val="none"/>
          <w:lang w:eastAsia="zh-CN"/>
        </w:rPr>
        <w:t>）结果运用</w:t>
      </w:r>
      <w:r>
        <w:rPr>
          <w:sz w:val="28"/>
          <w:szCs w:val="36"/>
        </w:rPr>
        <w:tab/>
      </w:r>
      <w:r>
        <w:rPr>
          <w:sz w:val="28"/>
          <w:szCs w:val="36"/>
        </w:rPr>
        <w:fldChar w:fldCharType="begin"/>
      </w:r>
      <w:r>
        <w:rPr>
          <w:sz w:val="28"/>
          <w:szCs w:val="36"/>
        </w:rPr>
        <w:instrText xml:space="preserve"> PAGEREF _Toc4908 \h </w:instrText>
      </w:r>
      <w:r>
        <w:rPr>
          <w:sz w:val="28"/>
          <w:szCs w:val="36"/>
        </w:rPr>
        <w:fldChar w:fldCharType="separate"/>
      </w:r>
      <w:r>
        <w:rPr>
          <w:sz w:val="28"/>
          <w:szCs w:val="36"/>
        </w:rPr>
        <w:t>- 14 -</w:t>
      </w:r>
      <w:r>
        <w:rPr>
          <w:sz w:val="28"/>
          <w:szCs w:val="36"/>
        </w:rPr>
        <w:fldChar w:fldCharType="end"/>
      </w:r>
      <w:r>
        <w:rPr>
          <w:rFonts w:hint="eastAsia" w:ascii="宋体" w:hAnsi="宋体" w:cs="宋体"/>
          <w:bCs/>
          <w:kern w:val="0"/>
          <w:sz w:val="28"/>
          <w:szCs w:val="56"/>
        </w:rPr>
        <w:fldChar w:fldCharType="end"/>
      </w:r>
    </w:p>
    <w:p w14:paraId="033C4B98">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sectPr>
          <w:footerReference r:id="rId4" w:type="default"/>
          <w:pgSz w:w="11906" w:h="16838"/>
          <w:pgMar w:top="2041" w:right="1304" w:bottom="1701" w:left="1531" w:header="851" w:footer="992" w:gutter="0"/>
          <w:pgNumType w:fmt="numberInDash" w:start="1"/>
          <w:cols w:space="720" w:num="1"/>
          <w:docGrid w:type="lines" w:linePitch="312" w:charSpace="0"/>
        </w:sectPr>
      </w:pPr>
      <w:r>
        <w:rPr>
          <w:rFonts w:hint="eastAsia" w:ascii="宋体" w:hAnsi="宋体" w:cs="宋体"/>
          <w:bCs/>
          <w:kern w:val="0"/>
          <w:szCs w:val="44"/>
        </w:rPr>
        <w:fldChar w:fldCharType="end"/>
      </w:r>
    </w:p>
    <w:p w14:paraId="5E010C48">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r>
        <w:rPr>
          <w:rFonts w:hint="eastAsia" w:ascii="宋体" w:hAnsi="宋体" w:cs="宋体"/>
          <w:b/>
          <w:bCs/>
          <w:kern w:val="0"/>
          <w:sz w:val="44"/>
          <w:szCs w:val="44"/>
        </w:rPr>
        <w:t>石家庄市卫生健康委员会</w:t>
      </w:r>
    </w:p>
    <w:p w14:paraId="2F264975">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kern w:val="0"/>
          <w:sz w:val="44"/>
          <w:szCs w:val="44"/>
          <w:lang w:val="en-US" w:eastAsia="zh-CN"/>
        </w:rPr>
        <w:t>2024年度</w:t>
      </w:r>
      <w:r>
        <w:rPr>
          <w:rFonts w:hint="eastAsia" w:ascii="宋体" w:hAnsi="宋体" w:cs="宋体"/>
          <w:b/>
          <w:bCs/>
          <w:kern w:val="0"/>
          <w:sz w:val="44"/>
          <w:szCs w:val="44"/>
        </w:rPr>
        <w:t>部门年度</w:t>
      </w:r>
      <w:r>
        <w:rPr>
          <w:rFonts w:hint="eastAsia" w:ascii="宋体" w:hAnsi="宋体" w:cs="宋体"/>
          <w:b/>
          <w:bCs/>
          <w:sz w:val="44"/>
          <w:szCs w:val="44"/>
        </w:rPr>
        <w:t>绩效自评工作报告</w:t>
      </w:r>
    </w:p>
    <w:p w14:paraId="7001DC26">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sz w:val="44"/>
          <w:szCs w:val="44"/>
        </w:rPr>
      </w:pPr>
    </w:p>
    <w:p w14:paraId="03FF3F19">
      <w:pPr>
        <w:keepNext w:val="0"/>
        <w:keepLines w:val="0"/>
        <w:widowControl/>
        <w:suppressLineNumbers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为切实做好202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年度部门绩效自评工作，提高财政资金的使用效益，根据《石家庄市市级部门预算项目绩效自评管理办法》、《石家庄市财政局关于开展202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年绩效自评工作的通知》</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石财绩〔</w:t>
      </w:r>
      <w:r>
        <w:rPr>
          <w:rFonts w:hint="default" w:ascii="仿宋_GB2312" w:hAnsi="仿宋_GB2312" w:eastAsia="仿宋_GB2312" w:cs="仿宋_GB2312"/>
          <w:sz w:val="32"/>
          <w:szCs w:val="32"/>
          <w:highlight w:val="none"/>
          <w:lang w:val="en-US" w:eastAsia="zh-CN"/>
        </w:rPr>
        <w:t>202</w:t>
      </w:r>
      <w:r>
        <w:rPr>
          <w:rFonts w:hint="eastAsia" w:ascii="仿宋_GB2312" w:hAnsi="仿宋_GB2312" w:eastAsia="仿宋_GB2312" w:cs="仿宋_GB2312"/>
          <w:sz w:val="32"/>
          <w:szCs w:val="32"/>
          <w:highlight w:val="none"/>
          <w:lang w:val="en-US" w:eastAsia="zh-CN"/>
        </w:rPr>
        <w:t>5〕</w:t>
      </w:r>
      <w:r>
        <w:rPr>
          <w:rFonts w:hint="default"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val="en-US" w:eastAsia="zh-CN"/>
        </w:rPr>
        <w:t>号</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要</w:t>
      </w:r>
      <w:r>
        <w:rPr>
          <w:rFonts w:hint="eastAsia" w:ascii="仿宋_GB2312" w:hAnsi="仿宋_GB2312" w:eastAsia="仿宋_GB2312" w:cs="仿宋_GB2312"/>
          <w:sz w:val="32"/>
          <w:szCs w:val="32"/>
        </w:rPr>
        <w:t>求，结合实际情况，石家庄市卫生健康委员会（以下简称“我</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rPr>
        <w:t>”）组织专门力量，</w:t>
      </w:r>
      <w:r>
        <w:rPr>
          <w:rFonts w:hint="eastAsia" w:ascii="仿宋_GB2312" w:hAnsi="仿宋_GB2312" w:eastAsia="仿宋_GB2312" w:cs="仿宋_GB2312"/>
          <w:sz w:val="32"/>
          <w:szCs w:val="32"/>
          <w:highlight w:val="none"/>
        </w:rPr>
        <w:t>于202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28</w:t>
      </w:r>
      <w:r>
        <w:rPr>
          <w:rFonts w:hint="eastAsia" w:ascii="仿宋_GB2312" w:hAnsi="仿宋_GB2312" w:eastAsia="仿宋_GB2312" w:cs="仿宋_GB2312"/>
          <w:sz w:val="32"/>
          <w:szCs w:val="32"/>
          <w:highlight w:val="none"/>
        </w:rPr>
        <w:t>日至</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月</w:t>
      </w:r>
      <w:r>
        <w:rPr>
          <w:rFonts w:hint="eastAsia" w:ascii="仿宋_GB2312" w:hAnsi="仿宋_GB2312" w:eastAsia="仿宋_GB2312" w:cs="仿宋_GB2312"/>
          <w:sz w:val="32"/>
          <w:szCs w:val="32"/>
          <w:highlight w:val="none"/>
          <w:lang w:val="en-US" w:eastAsia="zh-CN"/>
        </w:rPr>
        <w:t>31</w:t>
      </w:r>
      <w:r>
        <w:rPr>
          <w:rFonts w:hint="eastAsia" w:ascii="仿宋_GB2312" w:hAnsi="仿宋_GB2312" w:eastAsia="仿宋_GB2312" w:cs="仿宋_GB2312"/>
          <w:sz w:val="32"/>
          <w:szCs w:val="32"/>
          <w:highlight w:val="none"/>
        </w:rPr>
        <w:t>日</w:t>
      </w:r>
      <w:r>
        <w:rPr>
          <w:rFonts w:hint="eastAsia" w:ascii="仿宋_GB2312" w:hAnsi="仿宋_GB2312" w:eastAsia="仿宋_GB2312" w:cs="仿宋_GB2312"/>
          <w:sz w:val="32"/>
          <w:szCs w:val="32"/>
        </w:rPr>
        <w:t>期间，对我</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年度部门所有预算项目（包括</w:t>
      </w:r>
      <w:r>
        <w:rPr>
          <w:rFonts w:hint="eastAsia" w:ascii="仿宋_GB2312" w:hAnsi="仿宋_GB2312" w:eastAsia="仿宋_GB2312" w:cs="仿宋_GB2312"/>
          <w:sz w:val="32"/>
          <w:szCs w:val="32"/>
          <w:lang w:eastAsia="zh-CN"/>
        </w:rPr>
        <w:t>本级</w:t>
      </w:r>
      <w:r>
        <w:rPr>
          <w:rFonts w:hint="eastAsia" w:ascii="仿宋_GB2312" w:hAnsi="仿宋_GB2312" w:eastAsia="仿宋_GB2312" w:cs="仿宋_GB2312"/>
          <w:sz w:val="32"/>
          <w:szCs w:val="32"/>
        </w:rPr>
        <w:t>项目和下属单位项目）进行绩效自评。本次评价采用定性分析与定量分析相结合的方法，从预算管理、预算执行、专项资金使用及资金效益等方面进行了综合且客观的评价。现将绩效自评情况报告如下：</w:t>
      </w:r>
    </w:p>
    <w:p w14:paraId="7F841365">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0"/>
        <w:rPr>
          <w:rFonts w:hint="eastAsia" w:ascii="黑体" w:hAnsi="黑体" w:eastAsia="黑体" w:cs="黑体"/>
          <w:sz w:val="32"/>
          <w:szCs w:val="32"/>
        </w:rPr>
      </w:pPr>
      <w:bookmarkStart w:id="0" w:name="_Toc11007"/>
      <w:r>
        <w:rPr>
          <w:rFonts w:hint="eastAsia" w:ascii="黑体" w:hAnsi="黑体" w:eastAsia="黑体" w:cs="黑体"/>
          <w:sz w:val="32"/>
          <w:szCs w:val="32"/>
        </w:rPr>
        <w:t>一、绩效自评工作组织开展情况</w:t>
      </w:r>
      <w:bookmarkEnd w:id="0"/>
    </w:p>
    <w:p w14:paraId="5AB844F6">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1"/>
        <w:rPr>
          <w:rFonts w:hint="eastAsia" w:ascii="楷体" w:hAnsi="楷体" w:eastAsia="楷体" w:cs="楷体"/>
          <w:sz w:val="32"/>
          <w:szCs w:val="32"/>
          <w:lang w:val="en-US" w:eastAsia="zh-CN"/>
        </w:rPr>
      </w:pPr>
      <w:bookmarkStart w:id="1" w:name="_Toc13440"/>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组织与实施情况</w:t>
      </w:r>
      <w:bookmarkEnd w:id="1"/>
    </w:p>
    <w:p w14:paraId="2A4C568C">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我</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lang w:val="en-US" w:eastAsia="zh-CN"/>
        </w:rPr>
        <w:t>接到2025年自评通知后，由财务科室牵头，业务科室配合，组成绩效评价工作组（以下简称“评价组”），评价组成员如下：</w:t>
      </w:r>
      <w:r>
        <w:rPr>
          <w:rFonts w:hint="eastAsia" w:ascii="仿宋_GB2312" w:hAnsi="仿宋_GB2312" w:eastAsia="仿宋_GB2312" w:cs="仿宋_GB2312"/>
          <w:color w:val="auto"/>
          <w:kern w:val="0"/>
          <w:sz w:val="32"/>
          <w:szCs w:val="32"/>
          <w:highlight w:val="none"/>
          <w:lang w:val="en-US" w:eastAsia="zh-CN"/>
        </w:rPr>
        <w:t>由</w:t>
      </w:r>
      <w:r>
        <w:rPr>
          <w:rFonts w:hint="eastAsia" w:ascii="仿宋_GB2312" w:hAnsi="仿宋_GB2312" w:eastAsia="仿宋_GB2312" w:cs="仿宋_GB2312"/>
          <w:sz w:val="32"/>
          <w:szCs w:val="32"/>
          <w:highlight w:val="none"/>
          <w:lang w:val="en-US" w:eastAsia="zh-CN"/>
        </w:rPr>
        <w:t xml:space="preserve">石家庄市卫健委副主任 </w:t>
      </w:r>
      <w:r>
        <w:rPr>
          <w:rFonts w:hint="eastAsia" w:ascii="仿宋_GB2312" w:hAnsi="仿宋_GB2312" w:eastAsia="仿宋_GB2312" w:cs="仿宋_GB2312"/>
          <w:color w:val="auto"/>
          <w:kern w:val="0"/>
          <w:sz w:val="32"/>
          <w:szCs w:val="32"/>
          <w:highlight w:val="none"/>
          <w:lang w:val="en-US" w:eastAsia="zh-CN"/>
        </w:rPr>
        <w:t>施文国任绩效评价组组长，</w:t>
      </w:r>
      <w:r>
        <w:rPr>
          <w:rFonts w:hint="eastAsia" w:ascii="仿宋_GB2312" w:hAnsi="仿宋_GB2312" w:eastAsia="仿宋_GB2312" w:cs="仿宋_GB2312"/>
          <w:sz w:val="32"/>
          <w:szCs w:val="32"/>
          <w:highlight w:val="none"/>
        </w:rPr>
        <w:t>成员包括</w:t>
      </w:r>
      <w:r>
        <w:rPr>
          <w:rFonts w:hint="eastAsia" w:ascii="仿宋_GB2312" w:hAnsi="仿宋_GB2312" w:eastAsia="仿宋_GB2312" w:cs="仿宋_GB2312"/>
          <w:sz w:val="32"/>
          <w:szCs w:val="32"/>
          <w:highlight w:val="none"/>
          <w:lang w:val="en-US" w:eastAsia="zh-CN"/>
        </w:rPr>
        <w:t>杨伟娟、赵一丁</w:t>
      </w:r>
      <w:r>
        <w:rPr>
          <w:rFonts w:hint="eastAsia" w:ascii="仿宋_GB2312" w:hAnsi="仿宋_GB2312" w:eastAsia="仿宋_GB2312" w:cs="仿宋_GB2312"/>
          <w:color w:val="auto"/>
          <w:kern w:val="0"/>
          <w:sz w:val="32"/>
          <w:szCs w:val="32"/>
          <w:highlight w:val="none"/>
          <w:lang w:val="en-US" w:eastAsia="zh-CN"/>
        </w:rPr>
        <w:t>、刘萱瑶、孟伟及项目主管部门相关负责人。</w:t>
      </w:r>
    </w:p>
    <w:p w14:paraId="61FC7ADB">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评价组制定自评工作方案，明确评价内容、评价程序、参与人员及时间安排。组织相关人员召开专题会议，传达自评工作要求及工作安排，最终形成自评表、重点项目绩效自评报告、部门年度绩效自评工作报告、部门年度整体支出绩效自评报告等。</w:t>
      </w:r>
    </w:p>
    <w:p w14:paraId="6375C6BC">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1"/>
        <w:rPr>
          <w:rFonts w:hint="eastAsia" w:ascii="楷体" w:hAnsi="楷体" w:eastAsia="楷体" w:cs="楷体"/>
          <w:sz w:val="32"/>
          <w:szCs w:val="32"/>
          <w:lang w:val="en-US" w:eastAsia="zh-CN"/>
        </w:rPr>
      </w:pPr>
      <w:bookmarkStart w:id="2" w:name="_Toc15327"/>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二</w:t>
      </w:r>
      <w:r>
        <w:rPr>
          <w:rFonts w:hint="eastAsia" w:ascii="楷体" w:hAnsi="楷体" w:eastAsia="楷体" w:cs="楷体"/>
          <w:sz w:val="32"/>
          <w:szCs w:val="32"/>
          <w:lang w:eastAsia="zh-CN"/>
        </w:rPr>
        <w:t>）预算安排及资金分配拨付</w:t>
      </w:r>
      <w:r>
        <w:rPr>
          <w:rFonts w:hint="eastAsia" w:ascii="楷体" w:hAnsi="楷体" w:eastAsia="楷体" w:cs="楷体"/>
          <w:sz w:val="32"/>
          <w:szCs w:val="32"/>
          <w:lang w:val="en-US" w:eastAsia="zh-CN"/>
        </w:rPr>
        <w:t>情况</w:t>
      </w:r>
      <w:bookmarkEnd w:id="2"/>
    </w:p>
    <w:p w14:paraId="1B5B5F53">
      <w:pPr>
        <w:keepNext w:val="0"/>
        <w:keepLines w:val="0"/>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24年度</w:t>
      </w:r>
      <w:r>
        <w:rPr>
          <w:rFonts w:hint="eastAsia" w:ascii="仿宋_GB2312" w:hAnsi="仿宋_GB2312" w:eastAsia="仿宋_GB2312" w:cs="仿宋_GB2312"/>
          <w:sz w:val="32"/>
          <w:szCs w:val="32"/>
        </w:rPr>
        <w:t>我</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lang w:val="en-US" w:eastAsia="zh-CN"/>
        </w:rPr>
        <w:t>本级</w:t>
      </w:r>
      <w:r>
        <w:rPr>
          <w:rFonts w:hint="eastAsia" w:ascii="仿宋_GB2312" w:hAnsi="仿宋_GB2312" w:eastAsia="仿宋_GB2312" w:cs="仿宋_GB2312"/>
          <w:sz w:val="32"/>
          <w:szCs w:val="32"/>
          <w:highlight w:val="none"/>
          <w:lang w:val="en-US" w:eastAsia="zh-CN"/>
        </w:rPr>
        <w:t>及下属单位需绩效自评项目共计517</w:t>
      </w:r>
      <w:r>
        <w:rPr>
          <w:rFonts w:hint="eastAsia" w:ascii="仿宋_GB2312" w:hAnsi="仿宋_GB2312" w:eastAsia="仿宋_GB2312" w:cs="仿宋_GB2312"/>
          <w:sz w:val="32"/>
          <w:szCs w:val="32"/>
          <w:highlight w:val="none"/>
        </w:rPr>
        <w:t>个</w:t>
      </w:r>
      <w:r>
        <w:rPr>
          <w:rFonts w:hint="eastAsia" w:ascii="仿宋_GB2312" w:hAnsi="仿宋_GB2312" w:eastAsia="仿宋_GB2312" w:cs="仿宋_GB2312"/>
          <w:sz w:val="32"/>
          <w:szCs w:val="32"/>
          <w:highlight w:val="none"/>
          <w:lang w:val="en-US" w:eastAsia="zh-CN"/>
        </w:rPr>
        <w:t>，因</w:t>
      </w:r>
      <w:r>
        <w:rPr>
          <w:rFonts w:hint="eastAsia" w:ascii="仿宋_GB2312" w:hAnsi="仿宋_GB2312" w:eastAsia="仿宋_GB2312" w:cs="仿宋_GB2312"/>
          <w:sz w:val="32"/>
          <w:szCs w:val="32"/>
          <w:highlight w:val="none"/>
        </w:rPr>
        <w:t>涉密项目</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个，</w:t>
      </w:r>
      <w:r>
        <w:rPr>
          <w:rFonts w:hint="eastAsia" w:ascii="仿宋_GB2312" w:hAnsi="仿宋_GB2312" w:eastAsia="仿宋_GB2312" w:cs="仿宋_GB2312"/>
          <w:sz w:val="32"/>
          <w:szCs w:val="32"/>
          <w:highlight w:val="none"/>
          <w:lang w:val="en-US" w:eastAsia="zh-CN"/>
        </w:rPr>
        <w:t>财政未拨款项目0</w:t>
      </w:r>
      <w:r>
        <w:rPr>
          <w:rFonts w:hint="eastAsia" w:ascii="仿宋_GB2312" w:hAnsi="仿宋_GB2312" w:eastAsia="仿宋_GB2312" w:cs="仿宋_GB2312"/>
          <w:sz w:val="32"/>
          <w:szCs w:val="32"/>
          <w:highlight w:val="none"/>
        </w:rPr>
        <w:t>个</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故</w:t>
      </w:r>
      <w:r>
        <w:rPr>
          <w:rFonts w:hint="eastAsia" w:ascii="仿宋_GB2312" w:hAnsi="仿宋_GB2312" w:eastAsia="仿宋_GB2312" w:cs="仿宋_GB2312"/>
          <w:sz w:val="32"/>
          <w:szCs w:val="32"/>
        </w:rPr>
        <w:t>纳入本次自评价</w:t>
      </w:r>
      <w:r>
        <w:rPr>
          <w:rFonts w:hint="eastAsia" w:ascii="仿宋_GB2312" w:hAnsi="仿宋_GB2312" w:eastAsia="仿宋_GB2312" w:cs="仿宋_GB2312"/>
          <w:sz w:val="32"/>
          <w:szCs w:val="32"/>
          <w:highlight w:val="none"/>
        </w:rPr>
        <w:t>范围的</w:t>
      </w:r>
      <w:r>
        <w:rPr>
          <w:rFonts w:hint="eastAsia" w:ascii="仿宋_GB2312" w:hAnsi="仿宋_GB2312" w:eastAsia="仿宋_GB2312" w:cs="仿宋_GB2312"/>
          <w:sz w:val="32"/>
          <w:szCs w:val="32"/>
          <w:highlight w:val="none"/>
          <w:lang w:val="en-US" w:eastAsia="zh-CN"/>
        </w:rPr>
        <w:t>自评项目为517</w:t>
      </w:r>
      <w:r>
        <w:rPr>
          <w:rFonts w:hint="eastAsia" w:ascii="仿宋_GB2312" w:hAnsi="仿宋_GB2312" w:eastAsia="仿宋_GB2312" w:cs="仿宋_GB2312"/>
          <w:sz w:val="32"/>
          <w:szCs w:val="32"/>
          <w:highlight w:val="none"/>
        </w:rPr>
        <w:t>个</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其中本级涉及项目72个，下属单位涉及项目445个</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rPr>
        <w:t>涉及</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lang w:val="en-US" w:eastAsia="zh-CN"/>
        </w:rPr>
        <w:t>资金370029.27万元，资金执行数296033.03万元，</w:t>
      </w:r>
      <w:r>
        <w:rPr>
          <w:rFonts w:hint="eastAsia" w:ascii="仿宋_GB2312" w:hAnsi="仿宋_GB2312" w:eastAsia="仿宋_GB2312" w:cs="仿宋_GB2312"/>
          <w:sz w:val="32"/>
          <w:szCs w:val="32"/>
          <w:highlight w:val="none"/>
          <w:lang w:val="en-US" w:eastAsia="zh-CN"/>
        </w:rPr>
        <w:t>年末结余73996.24万元。</w:t>
      </w:r>
    </w:p>
    <w:p w14:paraId="033993C7">
      <w:pPr>
        <w:keepNext w:val="0"/>
        <w:keepLines w:val="0"/>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sectPr>
          <w:footerReference r:id="rId5" w:type="default"/>
          <w:pgSz w:w="11906" w:h="16838"/>
          <w:pgMar w:top="2041" w:right="1304" w:bottom="1701" w:left="1531" w:header="851" w:footer="992" w:gutter="0"/>
          <w:pgNumType w:fmt="numberInDash" w:start="1"/>
          <w:cols w:space="720" w:num="1"/>
          <w:docGrid w:type="lines" w:linePitch="312" w:charSpace="0"/>
        </w:sectPr>
      </w:pPr>
      <w:r>
        <w:rPr>
          <w:rFonts w:hint="eastAsia" w:ascii="仿宋_GB2312" w:hAnsi="仿宋_GB2312" w:eastAsia="仿宋_GB2312" w:cs="仿宋_GB2312"/>
          <w:sz w:val="32"/>
          <w:szCs w:val="32"/>
          <w:highlight w:val="none"/>
          <w:lang w:val="en-US" w:eastAsia="zh-CN"/>
        </w:rPr>
        <w:t>具体明细如下（单位：万元）：</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16"/>
        <w:gridCol w:w="4423"/>
        <w:gridCol w:w="1158"/>
        <w:gridCol w:w="1856"/>
        <w:gridCol w:w="2327"/>
        <w:gridCol w:w="1958"/>
        <w:gridCol w:w="869"/>
      </w:tblGrid>
      <w:tr w14:paraId="38F05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2191B">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6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20277">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项目实施单位</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53211">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项目数</w:t>
            </w:r>
          </w:p>
        </w:tc>
        <w:tc>
          <w:tcPr>
            <w:tcW w:w="69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0E22D">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预算数</w:t>
            </w:r>
          </w:p>
          <w:p w14:paraId="20481020">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（调整后）</w:t>
            </w:r>
          </w:p>
        </w:tc>
        <w:tc>
          <w:tcPr>
            <w:tcW w:w="8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B9FA3">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执行数</w:t>
            </w:r>
          </w:p>
          <w:p w14:paraId="7D01F015">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（至2023年底）</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DF4B2">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年末结余数</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B48F0">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15E53A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9A55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D1D2D">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石家庄市卫生健康委员会本级</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240A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95F2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23431.69</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41D3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17671.53</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88F0F">
            <w:pPr>
              <w:keepNext w:val="0"/>
              <w:keepLines w:val="0"/>
              <w:widowControl/>
              <w:suppressLineNumbers w:val="0"/>
              <w:spacing w:line="240" w:lineRule="auto"/>
              <w:jc w:val="center"/>
              <w:textAlignment w:val="center"/>
              <w:rPr>
                <w:rFonts w:hint="default" w:ascii="宋体" w:hAnsi="宋体" w:eastAsia="宋体" w:cs="宋体"/>
                <w:i w:val="0"/>
                <w:iCs w:val="0"/>
                <w:color w:val="000000"/>
                <w:sz w:val="24"/>
                <w:szCs w:val="24"/>
                <w:u w:val="none"/>
                <w:lang w:val="en-US"/>
              </w:rPr>
            </w:pPr>
            <w:r>
              <w:rPr>
                <w:rFonts w:hint="eastAsia" w:ascii="宋体" w:hAnsi="宋体" w:cs="宋体"/>
                <w:i w:val="0"/>
                <w:iCs w:val="0"/>
                <w:color w:val="000000"/>
                <w:kern w:val="0"/>
                <w:sz w:val="24"/>
                <w:szCs w:val="24"/>
                <w:u w:val="none"/>
                <w:lang w:val="en-US" w:eastAsia="zh-CN" w:bidi="ar"/>
              </w:rPr>
              <w:t>5760.16</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23AB8">
            <w:pPr>
              <w:spacing w:line="240" w:lineRule="auto"/>
              <w:jc w:val="center"/>
              <w:rPr>
                <w:rFonts w:hint="eastAsia" w:ascii="宋体" w:hAnsi="宋体" w:eastAsia="宋体" w:cs="宋体"/>
                <w:i w:val="0"/>
                <w:iCs w:val="0"/>
                <w:color w:val="000000"/>
                <w:sz w:val="24"/>
                <w:szCs w:val="24"/>
                <w:u w:val="none"/>
              </w:rPr>
            </w:pPr>
          </w:p>
        </w:tc>
      </w:tr>
      <w:tr w14:paraId="70D705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07D28">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42035">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石家庄市急救中心</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6BE8E">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26FFB">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3546.23</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745D7">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3243.49</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82077">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302.74</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ABD7A">
            <w:pPr>
              <w:spacing w:line="240" w:lineRule="auto"/>
              <w:jc w:val="center"/>
              <w:rPr>
                <w:rFonts w:hint="eastAsia" w:ascii="宋体" w:hAnsi="宋体" w:eastAsia="宋体" w:cs="宋体"/>
                <w:i w:val="0"/>
                <w:iCs w:val="0"/>
                <w:color w:val="000000"/>
                <w:sz w:val="24"/>
                <w:szCs w:val="24"/>
                <w:u w:val="none"/>
              </w:rPr>
            </w:pPr>
          </w:p>
        </w:tc>
      </w:tr>
      <w:tr w14:paraId="14B0D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BB636">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7CD2B">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石家庄市疾病预防控制中心</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6F97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41087">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4507.36</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E4F4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3375.98</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EE51D">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1131.38</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E7944">
            <w:pPr>
              <w:spacing w:line="240" w:lineRule="auto"/>
              <w:jc w:val="center"/>
              <w:rPr>
                <w:rFonts w:hint="eastAsia" w:ascii="宋体" w:hAnsi="宋体" w:eastAsia="宋体" w:cs="宋体"/>
                <w:i w:val="0"/>
                <w:iCs w:val="0"/>
                <w:color w:val="000000"/>
                <w:sz w:val="24"/>
                <w:szCs w:val="24"/>
                <w:u w:val="none"/>
              </w:rPr>
            </w:pPr>
          </w:p>
        </w:tc>
      </w:tr>
      <w:tr w14:paraId="5175A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9B133">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F7EF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石家庄市人民医院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C43CE">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54</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22D2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46979.14</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034F5">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46141.75</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9A2A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837.39</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97150">
            <w:pPr>
              <w:spacing w:line="240" w:lineRule="auto"/>
              <w:jc w:val="center"/>
              <w:rPr>
                <w:rFonts w:hint="eastAsia" w:ascii="宋体" w:hAnsi="宋体" w:eastAsia="宋体" w:cs="宋体"/>
                <w:i w:val="0"/>
                <w:iCs w:val="0"/>
                <w:color w:val="000000"/>
                <w:sz w:val="24"/>
                <w:szCs w:val="24"/>
                <w:u w:val="none"/>
              </w:rPr>
            </w:pPr>
          </w:p>
        </w:tc>
      </w:tr>
      <w:tr w14:paraId="477D2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5C21F">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0FD48">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石家庄市第二医院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DB098">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49</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B6A2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35366.76</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8A455">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31413.7</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7162F">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3953.06</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FB2A0">
            <w:pPr>
              <w:spacing w:line="240" w:lineRule="auto"/>
              <w:jc w:val="center"/>
              <w:rPr>
                <w:rFonts w:hint="eastAsia" w:ascii="宋体" w:hAnsi="宋体" w:eastAsia="宋体" w:cs="宋体"/>
                <w:i w:val="0"/>
                <w:iCs w:val="0"/>
                <w:color w:val="000000"/>
                <w:sz w:val="24"/>
                <w:szCs w:val="24"/>
                <w:u w:val="none"/>
              </w:rPr>
            </w:pPr>
          </w:p>
        </w:tc>
      </w:tr>
      <w:tr w14:paraId="111F4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B30DD">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0A675">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石家庄市第三医院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DE18E">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3E9DF">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57168.78</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24DA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41339.46</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4D2C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15829.32</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77BF9">
            <w:pPr>
              <w:spacing w:line="240" w:lineRule="auto"/>
              <w:jc w:val="center"/>
              <w:rPr>
                <w:rFonts w:hint="eastAsia" w:ascii="宋体" w:hAnsi="宋体" w:eastAsia="宋体" w:cs="宋体"/>
                <w:i w:val="0"/>
                <w:iCs w:val="0"/>
                <w:color w:val="000000"/>
                <w:sz w:val="24"/>
                <w:szCs w:val="24"/>
                <w:u w:val="none"/>
              </w:rPr>
            </w:pPr>
          </w:p>
        </w:tc>
      </w:tr>
      <w:tr w14:paraId="4C35E7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A3618">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2DDC5">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石家庄市第四医院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386D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3677A">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60802.64</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DAD43">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45890.79</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EECB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14911.85</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ED33A">
            <w:pPr>
              <w:spacing w:line="240" w:lineRule="auto"/>
              <w:jc w:val="center"/>
              <w:rPr>
                <w:rFonts w:hint="eastAsia" w:ascii="宋体" w:hAnsi="宋体" w:eastAsia="宋体" w:cs="宋体"/>
                <w:i w:val="0"/>
                <w:iCs w:val="0"/>
                <w:color w:val="000000"/>
                <w:sz w:val="24"/>
                <w:szCs w:val="24"/>
                <w:u w:val="none"/>
              </w:rPr>
            </w:pPr>
          </w:p>
        </w:tc>
      </w:tr>
      <w:tr w14:paraId="690D0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90067">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997C2">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石家庄市第五医院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79E86">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3E409">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27249.4</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69DB5">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20066.83</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FFD9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7182.57</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0561D">
            <w:pPr>
              <w:spacing w:line="240" w:lineRule="auto"/>
              <w:jc w:val="center"/>
              <w:rPr>
                <w:rFonts w:hint="eastAsia" w:ascii="宋体" w:hAnsi="宋体" w:eastAsia="宋体" w:cs="宋体"/>
                <w:i w:val="0"/>
                <w:iCs w:val="0"/>
                <w:color w:val="000000"/>
                <w:sz w:val="24"/>
                <w:szCs w:val="24"/>
                <w:u w:val="none"/>
              </w:rPr>
            </w:pPr>
          </w:p>
        </w:tc>
      </w:tr>
      <w:tr w14:paraId="355EF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A8572">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78FD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石家庄市妇幼保健院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93B73">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FAFB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27695.35</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70343">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21297.94</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84EAA">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6397.41</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DE834">
            <w:pPr>
              <w:spacing w:line="240" w:lineRule="auto"/>
              <w:jc w:val="center"/>
              <w:rPr>
                <w:rFonts w:hint="eastAsia" w:ascii="宋体" w:hAnsi="宋体" w:eastAsia="宋体" w:cs="宋体"/>
                <w:i w:val="0"/>
                <w:iCs w:val="0"/>
                <w:color w:val="000000"/>
                <w:sz w:val="24"/>
                <w:szCs w:val="24"/>
                <w:u w:val="none"/>
              </w:rPr>
            </w:pPr>
          </w:p>
        </w:tc>
      </w:tr>
      <w:tr w14:paraId="7BAEE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8CC96">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FF16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石家庄市第八医院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5B69D">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4619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10596.75</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BDF26">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6631.77</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F260F">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3964.98</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BC854">
            <w:pPr>
              <w:spacing w:line="240" w:lineRule="auto"/>
              <w:jc w:val="center"/>
              <w:rPr>
                <w:rFonts w:hint="eastAsia" w:ascii="宋体" w:hAnsi="宋体" w:eastAsia="宋体" w:cs="宋体"/>
                <w:i w:val="0"/>
                <w:iCs w:val="0"/>
                <w:color w:val="000000"/>
                <w:sz w:val="24"/>
                <w:szCs w:val="24"/>
                <w:u w:val="none"/>
              </w:rPr>
            </w:pPr>
          </w:p>
        </w:tc>
      </w:tr>
      <w:tr w14:paraId="0CB8E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5F869">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9C92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石家庄市中医院</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52D4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9F68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71928.69</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988EA">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58329.55</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3F31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13599.14</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E7EA1">
            <w:pPr>
              <w:spacing w:line="240" w:lineRule="auto"/>
              <w:jc w:val="center"/>
              <w:rPr>
                <w:rFonts w:hint="eastAsia" w:ascii="宋体" w:hAnsi="宋体" w:eastAsia="宋体" w:cs="宋体"/>
                <w:i w:val="0"/>
                <w:iCs w:val="0"/>
                <w:color w:val="000000"/>
                <w:sz w:val="24"/>
                <w:szCs w:val="24"/>
                <w:u w:val="none"/>
              </w:rPr>
            </w:pPr>
          </w:p>
        </w:tc>
      </w:tr>
      <w:tr w14:paraId="6811A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028B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12863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石家庄市卫生健康委员会药具管理中心</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2DBD2">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40D83">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64.53</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C660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64.53</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B9BC27">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29818">
            <w:pPr>
              <w:spacing w:line="240" w:lineRule="auto"/>
              <w:jc w:val="center"/>
              <w:rPr>
                <w:rFonts w:hint="eastAsia" w:ascii="宋体" w:hAnsi="宋体" w:eastAsia="宋体" w:cs="宋体"/>
                <w:i w:val="0"/>
                <w:iCs w:val="0"/>
                <w:color w:val="000000"/>
                <w:sz w:val="24"/>
                <w:szCs w:val="24"/>
                <w:u w:val="none"/>
              </w:rPr>
            </w:pPr>
          </w:p>
        </w:tc>
      </w:tr>
      <w:tr w14:paraId="417D3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9B52E">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411F7">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石家庄市卫生健康宣传教育中心</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969E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90AC3">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105.29</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967AD">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101.12</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5190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4.17</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1D744">
            <w:pPr>
              <w:spacing w:line="240" w:lineRule="auto"/>
              <w:jc w:val="center"/>
              <w:rPr>
                <w:rFonts w:hint="eastAsia" w:ascii="宋体" w:hAnsi="宋体" w:eastAsia="宋体" w:cs="宋体"/>
                <w:i w:val="0"/>
                <w:iCs w:val="0"/>
                <w:color w:val="000000"/>
                <w:sz w:val="24"/>
                <w:szCs w:val="24"/>
                <w:u w:val="none"/>
              </w:rPr>
            </w:pPr>
          </w:p>
        </w:tc>
      </w:tr>
      <w:tr w14:paraId="283FB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AA19C">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197A5">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石家庄市卫生健康信息与发展研究中心</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49A56">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59CD1">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5.62</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4A319">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4.636</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8F9AE">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0.984</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035C9">
            <w:pPr>
              <w:spacing w:line="240" w:lineRule="auto"/>
              <w:jc w:val="center"/>
              <w:rPr>
                <w:rFonts w:hint="eastAsia" w:ascii="宋体" w:hAnsi="宋体" w:eastAsia="宋体" w:cs="宋体"/>
                <w:i w:val="0"/>
                <w:iCs w:val="0"/>
                <w:color w:val="000000"/>
                <w:sz w:val="24"/>
                <w:szCs w:val="24"/>
                <w:u w:val="none"/>
              </w:rPr>
            </w:pPr>
          </w:p>
        </w:tc>
      </w:tr>
      <w:tr w14:paraId="2A923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0E0F7">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27D386">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石家庄市医学技能考试鉴定中心</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1BBFE">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921AB">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451.62</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33ED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343.1</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CAEAA">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108.52</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14A57">
            <w:pPr>
              <w:spacing w:line="240" w:lineRule="auto"/>
              <w:jc w:val="center"/>
              <w:rPr>
                <w:rFonts w:hint="eastAsia" w:ascii="宋体" w:hAnsi="宋体" w:eastAsia="宋体" w:cs="宋体"/>
                <w:i w:val="0"/>
                <w:iCs w:val="0"/>
                <w:color w:val="000000"/>
                <w:sz w:val="24"/>
                <w:szCs w:val="24"/>
                <w:u w:val="none"/>
              </w:rPr>
            </w:pPr>
          </w:p>
        </w:tc>
      </w:tr>
      <w:tr w14:paraId="5F446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0200D">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6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5B31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石家庄市卫生健康委医疗评价指导中心</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4C716">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45700">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129.42</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45D44">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116.85</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E887B">
            <w:pPr>
              <w:keepNext w:val="0"/>
              <w:keepLines w:val="0"/>
              <w:widowControl/>
              <w:suppressLineNumbers w:val="0"/>
              <w:spacing w:line="24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12.57</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FC14D">
            <w:pPr>
              <w:spacing w:line="240" w:lineRule="auto"/>
              <w:jc w:val="center"/>
              <w:rPr>
                <w:rFonts w:hint="eastAsia" w:ascii="宋体" w:hAnsi="宋体" w:eastAsia="宋体" w:cs="宋体"/>
                <w:i w:val="0"/>
                <w:iCs w:val="0"/>
                <w:color w:val="000000"/>
                <w:sz w:val="24"/>
                <w:szCs w:val="24"/>
                <w:u w:val="none"/>
              </w:rPr>
            </w:pPr>
          </w:p>
        </w:tc>
      </w:tr>
      <w:tr w14:paraId="2F0CC0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930"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176F3">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合计</w:t>
            </w:r>
          </w:p>
        </w:tc>
        <w:tc>
          <w:tcPr>
            <w:tcW w:w="4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8F812">
            <w:pPr>
              <w:keepNext w:val="0"/>
              <w:keepLines w:val="0"/>
              <w:widowControl/>
              <w:suppressLineNumbers w:val="0"/>
              <w:spacing w:line="24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517</w:t>
            </w:r>
          </w:p>
        </w:tc>
        <w:tc>
          <w:tcPr>
            <w:tcW w:w="69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D8608">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370029.27</w:t>
            </w:r>
          </w:p>
        </w:tc>
        <w:tc>
          <w:tcPr>
            <w:tcW w:w="87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981E3">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296033.03</w:t>
            </w:r>
          </w:p>
        </w:tc>
        <w:tc>
          <w:tcPr>
            <w:tcW w:w="7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17804">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73996.24</w:t>
            </w:r>
          </w:p>
        </w:tc>
        <w:tc>
          <w:tcPr>
            <w:tcW w:w="3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BC52A">
            <w:pPr>
              <w:spacing w:line="240" w:lineRule="auto"/>
              <w:jc w:val="center"/>
              <w:rPr>
                <w:rFonts w:hint="eastAsia" w:ascii="宋体" w:hAnsi="宋体" w:eastAsia="宋体" w:cs="宋体"/>
                <w:i w:val="0"/>
                <w:iCs w:val="0"/>
                <w:color w:val="000000"/>
                <w:sz w:val="28"/>
                <w:szCs w:val="28"/>
                <w:u w:val="none"/>
              </w:rPr>
            </w:pPr>
          </w:p>
        </w:tc>
      </w:tr>
    </w:tbl>
    <w:p w14:paraId="3EA0650C">
      <w:pPr>
        <w:keepNext w:val="0"/>
        <w:keepLines w:val="0"/>
        <w:pageBreakBefore w:val="0"/>
        <w:widowControl w:val="0"/>
        <w:kinsoku/>
        <w:wordWrap/>
        <w:overflowPunct/>
        <w:topLinePunct w:val="0"/>
        <w:autoSpaceDE/>
        <w:autoSpaceDN/>
        <w:bidi w:val="0"/>
        <w:adjustRightInd/>
        <w:snapToGrid w:val="0"/>
        <w:spacing w:line="578" w:lineRule="exact"/>
        <w:textAlignment w:val="auto"/>
        <w:rPr>
          <w:rFonts w:hint="eastAsia" w:ascii="宋体" w:hAnsi="宋体" w:eastAsia="宋体" w:cs="宋体"/>
          <w:sz w:val="21"/>
          <w:szCs w:val="21"/>
          <w:lang w:val="en-US" w:eastAsia="zh-CN"/>
        </w:rPr>
        <w:sectPr>
          <w:pgSz w:w="16838" w:h="11906" w:orient="landscape"/>
          <w:pgMar w:top="1531" w:right="2041" w:bottom="1304" w:left="1701" w:header="851" w:footer="992" w:gutter="0"/>
          <w:pgNumType w:fmt="numberInDash"/>
          <w:cols w:space="0" w:num="1"/>
          <w:rtlGutter w:val="0"/>
          <w:docGrid w:type="lines" w:linePitch="312" w:charSpace="0"/>
        </w:sectPr>
      </w:pPr>
      <w:r>
        <w:rPr>
          <w:rFonts w:hint="eastAsia" w:ascii="宋体" w:hAnsi="宋体" w:eastAsia="宋体" w:cs="宋体"/>
          <w:sz w:val="21"/>
          <w:szCs w:val="21"/>
          <w:lang w:val="en-US" w:eastAsia="zh-CN"/>
        </w:rPr>
        <w:t>注：以上数据存在四舍五入。</w:t>
      </w:r>
    </w:p>
    <w:p w14:paraId="2E510B0E">
      <w:pPr>
        <w:pStyle w:val="2"/>
        <w:rPr>
          <w:rFonts w:hint="eastAsia"/>
          <w:lang w:val="en-US" w:eastAsia="zh-CN"/>
        </w:rPr>
      </w:pPr>
    </w:p>
    <w:p w14:paraId="7FCD78B1">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1"/>
        <w:rPr>
          <w:rFonts w:hint="eastAsia" w:ascii="楷体" w:hAnsi="楷体" w:eastAsia="楷体" w:cs="楷体"/>
          <w:sz w:val="32"/>
          <w:szCs w:val="32"/>
          <w:lang w:val="en-US" w:eastAsia="zh-CN"/>
        </w:rPr>
      </w:pPr>
      <w:bookmarkStart w:id="3" w:name="_Toc30985"/>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三</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制度建设情况</w:t>
      </w:r>
      <w:bookmarkEnd w:id="3"/>
    </w:p>
    <w:p w14:paraId="65FE7AF0">
      <w:pPr>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lang w:eastAsia="zh-CN"/>
        </w:rPr>
      </w:pPr>
      <w:r>
        <w:rPr>
          <w:rFonts w:hint="eastAsia" w:ascii="仿宋_GB2312" w:hAnsi="仿宋_GB2312" w:eastAsia="仿宋_GB2312" w:cs="仿宋_GB2312"/>
          <w:sz w:val="32"/>
          <w:szCs w:val="32"/>
          <w:highlight w:val="none"/>
          <w:lang w:eastAsia="zh-CN"/>
        </w:rPr>
        <w:t>我</w:t>
      </w:r>
      <w:r>
        <w:rPr>
          <w:rFonts w:hint="eastAsia" w:ascii="仿宋_GB2312" w:hAnsi="仿宋_GB2312" w:eastAsia="仿宋_GB2312" w:cs="仿宋_GB2312"/>
          <w:sz w:val="32"/>
          <w:szCs w:val="32"/>
          <w:highlight w:val="none"/>
          <w:lang w:val="en-US" w:eastAsia="zh-CN"/>
        </w:rPr>
        <w:t>委</w:t>
      </w:r>
      <w:r>
        <w:rPr>
          <w:rFonts w:hint="eastAsia" w:ascii="仿宋_GB2312" w:hAnsi="仿宋_GB2312" w:eastAsia="仿宋_GB2312" w:cs="仿宋_GB2312"/>
          <w:sz w:val="32"/>
          <w:szCs w:val="32"/>
          <w:highlight w:val="none"/>
        </w:rPr>
        <w:t>依照《中华人民共和国预算法》《中华人民共和国会计法》《</w:t>
      </w:r>
      <w:r>
        <w:rPr>
          <w:rFonts w:hint="eastAsia" w:ascii="仿宋_GB2312" w:hAnsi="仿宋_GB2312" w:eastAsia="仿宋_GB2312" w:cs="仿宋_GB2312"/>
          <w:sz w:val="32"/>
          <w:szCs w:val="32"/>
          <w:highlight w:val="none"/>
          <w:lang w:eastAsia="zh-CN"/>
        </w:rPr>
        <w:t>政府会计准则—基本准则</w:t>
      </w:r>
      <w:r>
        <w:rPr>
          <w:rFonts w:hint="eastAsia" w:ascii="仿宋_GB2312" w:hAnsi="仿宋_GB2312" w:eastAsia="仿宋_GB2312" w:cs="仿宋_GB2312"/>
          <w:sz w:val="32"/>
          <w:szCs w:val="32"/>
          <w:highlight w:val="none"/>
        </w:rPr>
        <w:t>》等法律法规</w:t>
      </w:r>
      <w:r>
        <w:rPr>
          <w:rFonts w:hint="eastAsia" w:ascii="仿宋_GB2312" w:hAnsi="仿宋_GB2312" w:eastAsia="仿宋_GB2312" w:cs="仿宋_GB2312"/>
          <w:sz w:val="32"/>
          <w:szCs w:val="32"/>
          <w:highlight w:val="none"/>
          <w:lang w:eastAsia="zh-CN"/>
        </w:rPr>
        <w:t>、规章制度</w:t>
      </w:r>
      <w:r>
        <w:rPr>
          <w:rFonts w:hint="eastAsia" w:ascii="仿宋_GB2312" w:hAnsi="仿宋_GB2312" w:eastAsia="仿宋_GB2312" w:cs="仿宋_GB2312"/>
          <w:sz w:val="32"/>
          <w:szCs w:val="32"/>
          <w:highlight w:val="none"/>
        </w:rPr>
        <w:t>及</w:t>
      </w:r>
      <w:r>
        <w:rPr>
          <w:rFonts w:hint="eastAsia" w:ascii="仿宋_GB2312" w:hAnsi="仿宋_GB2312" w:eastAsia="仿宋_GB2312" w:cs="仿宋_GB2312"/>
          <w:sz w:val="32"/>
          <w:szCs w:val="32"/>
          <w:highlight w:val="none"/>
          <w:lang w:val="en-US" w:eastAsia="zh-CN"/>
        </w:rPr>
        <w:t>委属单位的财务管理制度等</w:t>
      </w:r>
      <w:r>
        <w:rPr>
          <w:rFonts w:hint="eastAsia" w:ascii="仿宋_GB2312" w:hAnsi="仿宋_GB2312" w:eastAsia="仿宋_GB2312" w:cs="仿宋_GB2312"/>
          <w:sz w:val="32"/>
          <w:szCs w:val="32"/>
          <w:highlight w:val="none"/>
        </w:rPr>
        <w:t>，加强</w:t>
      </w:r>
      <w:r>
        <w:rPr>
          <w:rFonts w:hint="eastAsia" w:ascii="仿宋_GB2312" w:hAnsi="仿宋_GB2312" w:eastAsia="仿宋_GB2312" w:cs="仿宋_GB2312"/>
          <w:sz w:val="32"/>
          <w:szCs w:val="32"/>
          <w:highlight w:val="none"/>
          <w:lang w:val="en-US" w:eastAsia="zh-CN"/>
        </w:rPr>
        <w:t>了</w:t>
      </w:r>
      <w:r>
        <w:rPr>
          <w:rFonts w:hint="eastAsia" w:ascii="仿宋_GB2312" w:hAnsi="仿宋_GB2312" w:eastAsia="仿宋_GB2312" w:cs="仿宋_GB2312"/>
          <w:sz w:val="32"/>
          <w:szCs w:val="32"/>
          <w:highlight w:val="none"/>
        </w:rPr>
        <w:t>资金支付审批管理，明确</w:t>
      </w:r>
      <w:r>
        <w:rPr>
          <w:rFonts w:hint="eastAsia" w:ascii="仿宋_GB2312" w:hAnsi="仿宋_GB2312" w:eastAsia="仿宋_GB2312" w:cs="仿宋_GB2312"/>
          <w:sz w:val="32"/>
          <w:szCs w:val="32"/>
          <w:highlight w:val="none"/>
          <w:lang w:val="en-US" w:eastAsia="zh-CN"/>
        </w:rPr>
        <w:t>了</w:t>
      </w:r>
      <w:r>
        <w:rPr>
          <w:rFonts w:hint="eastAsia" w:ascii="仿宋_GB2312" w:hAnsi="仿宋_GB2312" w:eastAsia="仿宋_GB2312" w:cs="仿宋_GB2312"/>
          <w:sz w:val="32"/>
          <w:szCs w:val="32"/>
          <w:highlight w:val="none"/>
        </w:rPr>
        <w:t>项目资金管理的原则，加强</w:t>
      </w:r>
      <w:r>
        <w:rPr>
          <w:rFonts w:hint="eastAsia" w:ascii="仿宋_GB2312" w:hAnsi="仿宋_GB2312" w:eastAsia="仿宋_GB2312" w:cs="仿宋_GB2312"/>
          <w:sz w:val="32"/>
          <w:szCs w:val="32"/>
          <w:highlight w:val="none"/>
          <w:lang w:val="en-US" w:eastAsia="zh-CN"/>
        </w:rPr>
        <w:t>了</w:t>
      </w:r>
      <w:r>
        <w:rPr>
          <w:rFonts w:hint="eastAsia" w:ascii="仿宋_GB2312" w:hAnsi="仿宋_GB2312" w:eastAsia="仿宋_GB2312" w:cs="仿宋_GB2312"/>
          <w:sz w:val="32"/>
          <w:szCs w:val="32"/>
          <w:highlight w:val="none"/>
        </w:rPr>
        <w:t>资金使用管理，定期监督检查资金使用合规性、支出进度，确保账面数字真实，资金使用规范化。</w:t>
      </w:r>
    </w:p>
    <w:p w14:paraId="4BDD7293">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0"/>
        <w:rPr>
          <w:rFonts w:hint="eastAsia" w:ascii="黑体" w:hAnsi="黑体" w:eastAsia="黑体" w:cs="黑体"/>
          <w:sz w:val="32"/>
          <w:szCs w:val="32"/>
        </w:rPr>
      </w:pPr>
      <w:bookmarkStart w:id="4" w:name="_Toc19175"/>
      <w:r>
        <w:rPr>
          <w:rFonts w:hint="eastAsia" w:ascii="黑体" w:hAnsi="黑体" w:eastAsia="黑体" w:cs="黑体"/>
          <w:sz w:val="32"/>
          <w:szCs w:val="32"/>
        </w:rPr>
        <w:t>二、绩效目标实现情况</w:t>
      </w:r>
      <w:bookmarkEnd w:id="4"/>
    </w:p>
    <w:p w14:paraId="63ACA952">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1"/>
        <w:rPr>
          <w:rFonts w:hint="eastAsia" w:ascii="楷体" w:hAnsi="楷体" w:eastAsia="楷体" w:cs="楷体"/>
          <w:sz w:val="32"/>
          <w:szCs w:val="32"/>
          <w:lang w:eastAsia="zh-CN"/>
        </w:rPr>
      </w:pPr>
      <w:bookmarkStart w:id="5" w:name="_Toc5428"/>
      <w:bookmarkStart w:id="6" w:name="_Toc28588"/>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w:t>
      </w:r>
      <w:r>
        <w:rPr>
          <w:rFonts w:hint="eastAsia" w:ascii="楷体" w:hAnsi="楷体" w:eastAsia="楷体" w:cs="楷体"/>
          <w:sz w:val="32"/>
          <w:szCs w:val="32"/>
          <w:lang w:eastAsia="zh-CN"/>
        </w:rPr>
        <w:t>）部门总体工作开展情况</w:t>
      </w:r>
      <w:bookmarkEnd w:id="5"/>
      <w:bookmarkEnd w:id="6"/>
    </w:p>
    <w:p w14:paraId="0B36AD61">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在市委、市政府的正确领导和大力支持下，我部门坚持以习近平新时代中国特色社会主义思想为指导，深入学习领会习近平总书记视察河北、视察石家庄重要讲话和重要指示精神，全面贯彻党的二十届三中全会精神，抢抓机遇、乘势而上，奋发进取、务实笃行，全力推动卫生健康事业高质量发展再上新台阶，为加快建设现代化、国际化美丽省会城市提供更加坚实的健康保障。</w:t>
      </w:r>
    </w:p>
    <w:p w14:paraId="45E0A430">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1"/>
        <w:rPr>
          <w:rFonts w:hint="eastAsia" w:ascii="楷体" w:hAnsi="楷体" w:eastAsia="楷体" w:cs="楷体"/>
          <w:sz w:val="32"/>
          <w:szCs w:val="32"/>
          <w:highlight w:val="none"/>
          <w:lang w:val="en-US" w:eastAsia="zh-CN"/>
        </w:rPr>
      </w:pPr>
      <w:bookmarkStart w:id="7" w:name="_Toc8251"/>
      <w:bookmarkStart w:id="8" w:name="_Toc20208"/>
      <w:r>
        <w:rPr>
          <w:rFonts w:hint="eastAsia" w:ascii="楷体" w:hAnsi="楷体" w:eastAsia="楷体" w:cs="楷体"/>
          <w:sz w:val="32"/>
          <w:szCs w:val="32"/>
          <w:highlight w:val="none"/>
          <w:lang w:val="en-US" w:eastAsia="zh-CN"/>
        </w:rPr>
        <w:t>（二）绩效目标完成情况</w:t>
      </w:r>
      <w:bookmarkEnd w:id="7"/>
      <w:bookmarkEnd w:id="8"/>
    </w:p>
    <w:p w14:paraId="379424E9">
      <w:pPr>
        <w:keepNext w:val="0"/>
        <w:keepLines w:val="0"/>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sz w:val="32"/>
          <w:szCs w:val="32"/>
          <w:highlight w:val="none"/>
          <w:lang w:val="en-US" w:eastAsia="zh-CN"/>
        </w:rPr>
        <w:sectPr>
          <w:pgSz w:w="11906" w:h="16838"/>
          <w:pgMar w:top="2041" w:right="1304" w:bottom="1701" w:left="1531" w:header="851" w:footer="992" w:gutter="0"/>
          <w:pgNumType w:fmt="numberInDash"/>
          <w:cols w:space="0" w:num="1"/>
          <w:rtlGutter w:val="0"/>
          <w:docGrid w:type="lines" w:linePitch="312" w:charSpace="0"/>
        </w:sectPr>
      </w:pPr>
      <w:r>
        <w:rPr>
          <w:rFonts w:hint="eastAsia" w:ascii="仿宋_GB2312" w:hAnsi="仿宋_GB2312" w:eastAsia="仿宋_GB2312" w:cs="仿宋_GB2312"/>
          <w:sz w:val="32"/>
          <w:szCs w:val="32"/>
          <w:highlight w:val="none"/>
          <w:lang w:val="en-US" w:eastAsia="zh-CN"/>
        </w:rPr>
        <w:t>本次评价的517个项目具体绩效目标完成情况及评价结果如下：</w:t>
      </w:r>
    </w:p>
    <w:tbl>
      <w:tblPr>
        <w:tblStyle w:val="11"/>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2"/>
        <w:gridCol w:w="4571"/>
        <w:gridCol w:w="1861"/>
        <w:gridCol w:w="1595"/>
        <w:gridCol w:w="1483"/>
        <w:gridCol w:w="1579"/>
        <w:gridCol w:w="1366"/>
      </w:tblGrid>
      <w:tr w14:paraId="79A15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0B6A9">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序号</w:t>
            </w:r>
          </w:p>
        </w:tc>
        <w:tc>
          <w:tcPr>
            <w:tcW w:w="171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F899E">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项目实施单位</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B9ACE">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项目数</w:t>
            </w:r>
          </w:p>
        </w:tc>
        <w:tc>
          <w:tcPr>
            <w:tcW w:w="59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C48E2">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优</w:t>
            </w:r>
          </w:p>
        </w:tc>
        <w:tc>
          <w:tcPr>
            <w:tcW w:w="5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A993F">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良</w:t>
            </w:r>
          </w:p>
        </w:tc>
        <w:tc>
          <w:tcPr>
            <w:tcW w:w="5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FDE984">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cs="宋体"/>
                <w:b/>
                <w:bCs/>
                <w:i w:val="0"/>
                <w:iCs w:val="0"/>
                <w:color w:val="000000"/>
                <w:kern w:val="0"/>
                <w:sz w:val="24"/>
                <w:szCs w:val="24"/>
                <w:u w:val="none"/>
                <w:lang w:val="en-US" w:eastAsia="zh-CN" w:bidi="ar"/>
              </w:rPr>
              <w:t>中</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C83A7">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差</w:t>
            </w:r>
          </w:p>
        </w:tc>
      </w:tr>
      <w:tr w14:paraId="3518F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3AEB7">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2101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石家庄市卫生健康委员会本级</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81B9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72</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F9BE0">
            <w:pPr>
              <w:keepNext w:val="0"/>
              <w:keepLines w:val="0"/>
              <w:widowControl/>
              <w:suppressLineNumbers w:val="0"/>
              <w:spacing w:line="240" w:lineRule="auto"/>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47</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BC44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EA89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74C98">
            <w:pPr>
              <w:keepNext w:val="0"/>
              <w:keepLines w:val="0"/>
              <w:widowControl/>
              <w:suppressLineNumbers w:val="0"/>
              <w:spacing w:line="240" w:lineRule="auto"/>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25</w:t>
            </w:r>
          </w:p>
        </w:tc>
      </w:tr>
      <w:tr w14:paraId="2E0DD5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A209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E3421">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石家庄市急救中心</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91A3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17</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EC80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16</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9868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F7ED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3170E">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22B31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4693C">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8CFF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石家庄市疾病预防控制中心</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FF8A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36</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944C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34</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FD99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B834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7036E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6423C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7B6A4">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04812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石家庄市人民医院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27137">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54</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69D8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4B01E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7506E">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1</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09EE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3</w:t>
            </w:r>
          </w:p>
        </w:tc>
      </w:tr>
      <w:tr w14:paraId="2DFCC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59BE3">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2C4D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石家庄市第二医院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706AD">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49</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9417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46</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23E2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9516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C726C">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r>
      <w:tr w14:paraId="055A94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9A5B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3C5E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石家庄市第三医院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4A71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43</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DE04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D3BC3">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385E5">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8B89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07083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1744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711E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石家庄市第四医院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E815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38</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AAA73">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37</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9DC9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FA16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94E0A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r>
      <w:tr w14:paraId="1DE4A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B6FA5">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B429BE">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石家庄市第五医院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EA2E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40</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11B8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38</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2B40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8ACDC">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A0C4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r>
      <w:tr w14:paraId="6E398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E555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90D0C">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石家庄市妇幼保健院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BDFF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41</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98CF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36</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EBE2D">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D80B7">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4383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r>
      <w:tr w14:paraId="29DC3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2D884">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11</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435DC">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石家庄市第八医院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68784">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32</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5371">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28</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B073E">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D4FF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5A6A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r>
      <w:tr w14:paraId="4BA7D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A1D35">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8FC7D">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石家庄市中医院</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74E5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60</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642CF">
            <w:pPr>
              <w:keepNext w:val="0"/>
              <w:keepLines w:val="0"/>
              <w:widowControl/>
              <w:suppressLineNumbers w:val="0"/>
              <w:spacing w:line="240" w:lineRule="auto"/>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57</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0B9F7">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BFAA6">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D1C51">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3</w:t>
            </w:r>
          </w:p>
        </w:tc>
      </w:tr>
      <w:tr w14:paraId="5F952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2A9B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13</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09CF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石家庄市卫生健康委员会药具管理中心</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C624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2578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3530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C2B2E">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3DC65">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r>
      <w:tr w14:paraId="5C66D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2B05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14</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A74C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石家庄市卫生健康宣传教育中心</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774B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809B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0FA51">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3D54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D702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r>
      <w:tr w14:paraId="71300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0EB22">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15</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7DD15">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石家庄市卫生健康信息与发展研究中心</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3F9D5">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B7F5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BCA71">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44493">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D7B6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r>
      <w:tr w14:paraId="29147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C7C1A">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16</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50AD8">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石家庄市医学技能考试鉴定中心</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1C0B1">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F036B">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7E587">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14BA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D5713">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r>
      <w:tr w14:paraId="4D972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32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A46A0">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17</w:t>
            </w:r>
          </w:p>
        </w:tc>
        <w:tc>
          <w:tcPr>
            <w:tcW w:w="17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257DE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石家庄市卫生健康委医疗评价指导中心</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0D929">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66EB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10</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A8833">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B9B6F">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55D7E">
            <w:pPr>
              <w:keepNext w:val="0"/>
              <w:keepLines w:val="0"/>
              <w:widowControl/>
              <w:suppressLineNumbers w:val="0"/>
              <w:spacing w:line="24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0</w:t>
            </w:r>
          </w:p>
        </w:tc>
      </w:tr>
      <w:tr w14:paraId="7B7E2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203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782A4">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合计</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D5ECB">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517</w:t>
            </w:r>
          </w:p>
        </w:tc>
        <w:tc>
          <w:tcPr>
            <w:tcW w:w="5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5536E">
            <w:pPr>
              <w:keepNext w:val="0"/>
              <w:keepLines w:val="0"/>
              <w:widowControl/>
              <w:suppressLineNumbers w:val="0"/>
              <w:spacing w:line="240" w:lineRule="auto"/>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cs="宋体"/>
                <w:b/>
                <w:bCs/>
                <w:i w:val="0"/>
                <w:iCs w:val="0"/>
                <w:color w:val="000000"/>
                <w:kern w:val="0"/>
                <w:sz w:val="24"/>
                <w:szCs w:val="24"/>
                <w:u w:val="none"/>
                <w:lang w:val="en-US" w:eastAsia="zh-CN" w:bidi="ar"/>
              </w:rPr>
              <w:t>464</w:t>
            </w:r>
          </w:p>
        </w:tc>
        <w:tc>
          <w:tcPr>
            <w:tcW w:w="5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482EE">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cs="宋体"/>
                <w:b/>
                <w:bCs/>
                <w:i w:val="0"/>
                <w:iCs w:val="0"/>
                <w:color w:val="000000"/>
                <w:kern w:val="0"/>
                <w:sz w:val="24"/>
                <w:szCs w:val="24"/>
                <w:u w:val="none"/>
                <w:lang w:val="en-US" w:eastAsia="zh-CN" w:bidi="ar"/>
              </w:rPr>
              <w:t>2</w:t>
            </w:r>
          </w:p>
        </w:tc>
        <w:tc>
          <w:tcPr>
            <w:tcW w:w="59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165D3">
            <w:pPr>
              <w:keepNext w:val="0"/>
              <w:keepLines w:val="0"/>
              <w:widowControl/>
              <w:suppressLineNumbers w:val="0"/>
              <w:spacing w:line="24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2</w:t>
            </w:r>
          </w:p>
        </w:tc>
        <w:tc>
          <w:tcPr>
            <w:tcW w:w="5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97A58">
            <w:pPr>
              <w:keepNext w:val="0"/>
              <w:keepLines w:val="0"/>
              <w:widowControl/>
              <w:suppressLineNumbers w:val="0"/>
              <w:spacing w:line="240" w:lineRule="auto"/>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eastAsia" w:ascii="宋体" w:hAnsi="宋体" w:cs="宋体"/>
                <w:b/>
                <w:bCs/>
                <w:i w:val="0"/>
                <w:iCs w:val="0"/>
                <w:color w:val="000000"/>
                <w:kern w:val="0"/>
                <w:sz w:val="24"/>
                <w:szCs w:val="24"/>
                <w:u w:val="none"/>
                <w:lang w:val="en-US" w:eastAsia="zh-CN" w:bidi="ar"/>
              </w:rPr>
              <w:t>49</w:t>
            </w:r>
          </w:p>
        </w:tc>
      </w:tr>
    </w:tbl>
    <w:p w14:paraId="76B5459D">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highlight w:val="yellow"/>
          <w:lang w:eastAsia="zh-CN"/>
        </w:rPr>
        <w:sectPr>
          <w:pgSz w:w="16838" w:h="11906" w:orient="landscape"/>
          <w:pgMar w:top="1531" w:right="2041" w:bottom="1304" w:left="1701" w:header="851" w:footer="992" w:gutter="0"/>
          <w:pgNumType w:fmt="numberInDash"/>
          <w:cols w:space="0" w:num="1"/>
          <w:rtlGutter w:val="0"/>
          <w:docGrid w:type="lines" w:linePitch="312" w:charSpace="0"/>
        </w:sectPr>
      </w:pPr>
    </w:p>
    <w:p w14:paraId="5A98D6CC">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highlight w:val="none"/>
          <w:lang w:eastAsia="zh-CN"/>
        </w:rPr>
        <w:t>参与本次评价的项目共计</w:t>
      </w:r>
      <w:r>
        <w:rPr>
          <w:rFonts w:hint="eastAsia" w:ascii="仿宋_GB2312" w:hAnsi="仿宋_GB2312" w:eastAsia="仿宋_GB2312" w:cs="仿宋_GB2312"/>
          <w:sz w:val="32"/>
          <w:szCs w:val="32"/>
          <w:highlight w:val="none"/>
          <w:lang w:val="en-US" w:eastAsia="zh-CN"/>
        </w:rPr>
        <w:t>517</w:t>
      </w:r>
      <w:r>
        <w:rPr>
          <w:rFonts w:hint="eastAsia" w:ascii="仿宋_GB2312" w:hAnsi="仿宋_GB2312" w:eastAsia="仿宋_GB2312" w:cs="仿宋_GB2312"/>
          <w:sz w:val="32"/>
          <w:szCs w:val="32"/>
          <w:highlight w:val="none"/>
          <w:lang w:eastAsia="zh-CN"/>
        </w:rPr>
        <w:t>个，绩效自评整体平均分数</w:t>
      </w:r>
      <w:r>
        <w:rPr>
          <w:rFonts w:hint="eastAsia" w:ascii="仿宋_GB2312" w:hAnsi="仿宋_GB2312" w:eastAsia="仿宋_GB2312" w:cs="仿宋_GB2312"/>
          <w:sz w:val="32"/>
          <w:szCs w:val="32"/>
          <w:highlight w:val="none"/>
          <w:lang w:val="en-US" w:eastAsia="zh-CN"/>
        </w:rPr>
        <w:t>为</w:t>
      </w:r>
      <w:bookmarkStart w:id="23" w:name="_GoBack"/>
      <w:r>
        <w:rPr>
          <w:rFonts w:hint="eastAsia" w:ascii="仿宋_GB2312" w:hAnsi="仿宋_GB2312" w:eastAsia="仿宋_GB2312" w:cs="仿宋_GB2312"/>
          <w:sz w:val="32"/>
          <w:szCs w:val="32"/>
          <w:highlight w:val="none"/>
          <w:lang w:val="en-US" w:eastAsia="zh-CN"/>
        </w:rPr>
        <w:t>88.92</w:t>
      </w:r>
      <w:bookmarkEnd w:id="23"/>
      <w:r>
        <w:rPr>
          <w:rFonts w:hint="eastAsia" w:ascii="仿宋_GB2312" w:hAnsi="仿宋_GB2312" w:eastAsia="仿宋_GB2312" w:cs="仿宋_GB2312"/>
          <w:sz w:val="32"/>
          <w:szCs w:val="32"/>
          <w:highlight w:val="none"/>
          <w:lang w:eastAsia="zh-CN"/>
        </w:rPr>
        <w:t>分。</w:t>
      </w:r>
      <w:r>
        <w:rPr>
          <w:rFonts w:hint="eastAsia" w:ascii="仿宋_GB2312" w:hAnsi="仿宋_GB2312" w:eastAsia="仿宋_GB2312" w:cs="仿宋_GB2312"/>
          <w:sz w:val="32"/>
          <w:szCs w:val="32"/>
          <w:highlight w:val="none"/>
          <w:lang w:val="en-US" w:eastAsia="zh-CN"/>
        </w:rPr>
        <w:t>2024年我市</w:t>
      </w:r>
      <w:r>
        <w:rPr>
          <w:rFonts w:hint="default" w:ascii="仿宋_GB2312" w:hAnsi="仿宋_GB2312" w:eastAsia="仿宋_GB2312" w:cs="仿宋_GB2312"/>
          <w:sz w:val="32"/>
          <w:szCs w:val="32"/>
          <w:highlight w:val="none"/>
          <w:lang w:val="en-US" w:eastAsia="zh-CN"/>
        </w:rPr>
        <w:t>先后被确定为“国家中医药传承创新发展试验区”</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“儿童青少年肥胖中医药干预试点地区”</w:t>
      </w:r>
      <w:r>
        <w:rPr>
          <w:rFonts w:hint="eastAsia" w:ascii="仿宋_GB2312" w:hAnsi="仿宋_GB2312" w:eastAsia="仿宋_GB2312" w:cs="仿宋_GB2312"/>
          <w:sz w:val="32"/>
          <w:szCs w:val="32"/>
          <w:highlight w:val="none"/>
          <w:lang w:val="en-US" w:eastAsia="zh-CN"/>
        </w:rPr>
        <w:t>、“医疗机构疾控监督员制度国家试点”、省电子预防接种证试点，</w:t>
      </w:r>
      <w:r>
        <w:rPr>
          <w:rFonts w:hint="default" w:ascii="仿宋_GB2312" w:hAnsi="仿宋_GB2312" w:eastAsia="仿宋_GB2312" w:cs="仿宋_GB2312"/>
          <w:sz w:val="32"/>
          <w:szCs w:val="32"/>
          <w:highlight w:val="none"/>
          <w:lang w:val="en-US" w:eastAsia="zh-CN"/>
        </w:rPr>
        <w:t>争取国家级地方计生协综合改革试点、向日葵亲子小屋、新市民健康行动等</w:t>
      </w:r>
      <w:r>
        <w:rPr>
          <w:rFonts w:hint="eastAsia" w:ascii="仿宋_GB2312" w:hAnsi="仿宋_GB2312" w:eastAsia="仿宋_GB2312" w:cs="仿宋_GB2312"/>
          <w:sz w:val="32"/>
          <w:szCs w:val="32"/>
          <w:highlight w:val="none"/>
          <w:lang w:val="en-US" w:eastAsia="zh-CN"/>
        </w:rPr>
        <w:t>计生协</w:t>
      </w:r>
      <w:r>
        <w:rPr>
          <w:rFonts w:hint="default" w:ascii="仿宋_GB2312" w:hAnsi="仿宋_GB2312" w:eastAsia="仿宋_GB2312" w:cs="仿宋_GB2312"/>
          <w:sz w:val="32"/>
          <w:szCs w:val="32"/>
          <w:highlight w:val="none"/>
          <w:lang w:val="en-US" w:eastAsia="zh-CN"/>
        </w:rPr>
        <w:t>国家试点7个、省级5个，</w:t>
      </w:r>
      <w:r>
        <w:rPr>
          <w:rFonts w:hint="eastAsia" w:ascii="仿宋_GB2312" w:hAnsi="仿宋_GB2312" w:eastAsia="仿宋_GB2312" w:cs="仿宋_GB2312"/>
          <w:sz w:val="32"/>
          <w:szCs w:val="32"/>
          <w:highlight w:val="none"/>
          <w:lang w:val="en-US" w:eastAsia="zh-CN"/>
        </w:rPr>
        <w:t>获评</w:t>
      </w:r>
      <w:r>
        <w:rPr>
          <w:rFonts w:hint="default" w:ascii="仿宋_GB2312" w:hAnsi="仿宋_GB2312" w:eastAsia="仿宋_GB2312" w:cs="仿宋_GB2312"/>
          <w:sz w:val="32"/>
          <w:szCs w:val="32"/>
          <w:highlight w:val="none"/>
          <w:lang w:val="en-US" w:eastAsia="zh-CN"/>
        </w:rPr>
        <w:t>京津冀医联体</w:t>
      </w:r>
      <w:r>
        <w:rPr>
          <w:rFonts w:hint="eastAsia" w:ascii="仿宋_GB2312" w:hAnsi="仿宋_GB2312" w:eastAsia="仿宋_GB2312" w:cs="仿宋_GB2312"/>
          <w:sz w:val="32"/>
          <w:szCs w:val="32"/>
          <w:highlight w:val="none"/>
          <w:lang w:val="en-US" w:eastAsia="zh-CN"/>
        </w:rPr>
        <w:t>5家、国家</w:t>
      </w:r>
      <w:r>
        <w:rPr>
          <w:rFonts w:hint="default" w:ascii="仿宋_GB2312" w:hAnsi="仿宋_GB2312" w:eastAsia="仿宋_GB2312" w:cs="仿宋_GB2312"/>
          <w:sz w:val="32"/>
          <w:szCs w:val="32"/>
          <w:highlight w:val="none"/>
          <w:lang w:val="en-US" w:eastAsia="zh-CN"/>
        </w:rPr>
        <w:t>环境健康风险评估适宜技术应用试点单位</w:t>
      </w:r>
      <w:r>
        <w:rPr>
          <w:rFonts w:hint="eastAsia" w:ascii="仿宋_GB2312" w:hAnsi="仿宋_GB2312" w:eastAsia="仿宋_GB2312" w:cs="仿宋_GB2312"/>
          <w:sz w:val="32"/>
          <w:szCs w:val="32"/>
          <w:highlight w:val="none"/>
          <w:lang w:val="en-US" w:eastAsia="zh-CN"/>
        </w:rPr>
        <w:t>1家、国家级健康促进医院优秀案例1个、国家级健康县区建设优秀案例1个、</w:t>
      </w:r>
      <w:r>
        <w:rPr>
          <w:rFonts w:hint="default" w:ascii="仿宋_GB2312" w:hAnsi="仿宋_GB2312" w:eastAsia="仿宋_GB2312" w:cs="仿宋_GB2312"/>
          <w:sz w:val="32"/>
          <w:szCs w:val="32"/>
          <w:highlight w:val="none"/>
          <w:lang w:val="en-US" w:eastAsia="zh-CN"/>
        </w:rPr>
        <w:t>全国老年医学人才培训项目省级培训基地</w:t>
      </w:r>
      <w:r>
        <w:rPr>
          <w:rFonts w:hint="eastAsia" w:ascii="仿宋_GB2312" w:hAnsi="仿宋_GB2312" w:eastAsia="仿宋_GB2312" w:cs="仿宋_GB2312"/>
          <w:sz w:val="32"/>
          <w:szCs w:val="32"/>
          <w:highlight w:val="none"/>
          <w:lang w:val="en-US" w:eastAsia="zh-CN"/>
        </w:rPr>
        <w:t>1个、</w:t>
      </w:r>
      <w:r>
        <w:rPr>
          <w:rFonts w:hint="default" w:ascii="仿宋_GB2312" w:hAnsi="仿宋_GB2312" w:eastAsia="仿宋_GB2312" w:cs="仿宋_GB2312"/>
          <w:sz w:val="32"/>
          <w:szCs w:val="32"/>
          <w:highlight w:val="none"/>
          <w:lang w:val="en-US" w:eastAsia="zh-CN"/>
        </w:rPr>
        <w:t>公立医院高质量发展省级试点医院</w:t>
      </w:r>
      <w:r>
        <w:rPr>
          <w:rFonts w:hint="eastAsia" w:ascii="仿宋_GB2312" w:hAnsi="仿宋_GB2312" w:eastAsia="仿宋_GB2312" w:cs="仿宋_GB2312"/>
          <w:sz w:val="32"/>
          <w:szCs w:val="32"/>
          <w:highlight w:val="none"/>
          <w:lang w:val="en-US" w:eastAsia="zh-CN"/>
        </w:rPr>
        <w:t>1家、县域医共体慢病管理能力提升省级试点1个、省标准化社区医养结合服务中心5家，22家基层医疗卫生机构被国家卫健委通报表扬，我市被省政府评为2023年度医改工作先进市，健康河北行动对我市领导班子和领导干部综合考核连续三年排名第一。</w:t>
      </w:r>
      <w:r>
        <w:rPr>
          <w:rFonts w:hint="eastAsia" w:ascii="仿宋_GB2312" w:hAnsi="仿宋_GB2312" w:eastAsia="仿宋_GB2312" w:cs="仿宋_GB2312"/>
          <w:color w:val="auto"/>
          <w:sz w:val="32"/>
          <w:szCs w:val="32"/>
          <w:highlight w:val="none"/>
          <w:lang w:val="en-US" w:eastAsia="zh-CN"/>
        </w:rPr>
        <w:t>绩效指标具体完成情况如下：</w:t>
      </w:r>
    </w:p>
    <w:p w14:paraId="631C3A70">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highlight w:val="none"/>
          <w:lang w:val="en-US" w:eastAsia="zh-CN"/>
        </w:rPr>
      </w:pPr>
      <w:bookmarkStart w:id="9" w:name="_Toc42610961"/>
      <w:bookmarkStart w:id="10" w:name="_Hlk41493160"/>
      <w:bookmarkStart w:id="11" w:name="_Toc24932"/>
      <w:r>
        <w:rPr>
          <w:rFonts w:hint="eastAsia" w:ascii="仿宋_GB2312" w:hAnsi="仿宋_GB2312" w:eastAsia="仿宋_GB2312" w:cs="仿宋_GB2312"/>
          <w:b/>
          <w:bCs/>
          <w:sz w:val="32"/>
          <w:szCs w:val="32"/>
          <w:highlight w:val="none"/>
          <w:lang w:val="en-US" w:eastAsia="zh-CN"/>
        </w:rPr>
        <w:t>1.持续推进优质医疗资源扩容和均衡布局</w:t>
      </w:r>
    </w:p>
    <w:p w14:paraId="4FAA2A13">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紧紧围绕公立医院“三个转变三个提高”，扎实推进中央财政支持公立医院改革与高质量发展项目，在医疗价格动态调整、基层日间病房试点、人事薪酬制度改革等方面，积极探索、创新突破，医务人员、住院患者和门诊患者满意度实现持续提升，在全国现场推进会上被7次点名表扬，位列第二批示范项目城市第一方阵，推动公立医院迈入高质量发展新阶段。截至目前，19项示范项目绩效指标圆满完成年度目标，公立医院书记、院长年薪制实现全覆盖，医改综合监测平台、分级诊疗系统和全员工分制”绩效管理系统已试点运行，中央资金执行率在同期示范城市中排名第一。</w:t>
      </w:r>
    </w:p>
    <w:p w14:paraId="65ED86F2">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2.京津冀医疗卫生高水平合作项目成效显著</w:t>
      </w:r>
    </w:p>
    <w:p w14:paraId="080F52F0">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坚持“医疗技术向京津靠拢、医疗服务与京津一致”目标，拓展深化京津冀医疗卫生合作内涵，延伸合作深度，强化人才培养、学科体系建设、科技创新与成果转化等方面交流合作，3所“石家庄医院”成效显著。管理方面，聘任了北京大学人民医院刘玉兰同志为市人民医院的院长，首都儿研所张军同志为市妇幼保健院副院长，天津中医一附院石家庄医院郭从荣同志为市中医院副院长，23名京津专家直接参与医院科室管理，修订完善了医院多学科会诊、医疗诊疗规范等多项规章制度，呼吸、胸外、消化、肾内、小儿外科、儿童保健科等10多个专业实现同质化管理。人才方面，出台了双人人员学习交流管理办法等制度，北大人民医院、首都儿研所、天津中医一附院累计派驻专家342余人，举办各类学术交流培训853场，接收我市进修骨干353人，已有近300人回院工作，成为医院的中坚力量。技术方面，在京津专家的手把手帮扶带教下，我们市级医院开展了100多项新技术、新项目，多项技术为国内、省内领先。今年以来，市人民医院三四级手术例数同比增长37%，平均住院日7.13天，同比降低1.11天；市六院儿外科门急诊量同比增长44%；市中医院以中医为主治疗的出院患者比例达52.6%，出院患者使用中医非药物疗法比例达96.61%，较去年上升15.44%。</w:t>
      </w:r>
    </w:p>
    <w:p w14:paraId="30B7737C">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3.加快推动基层医疗卫生健康高质量发展</w:t>
      </w:r>
    </w:p>
    <w:p w14:paraId="0F7F39BD">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全市242家基层医疗卫生机构达到</w:t>
      </w:r>
      <w:r>
        <w:rPr>
          <w:rFonts w:hint="eastAsia" w:ascii="仿宋_GB2312" w:hAnsi="仿宋_GB2312" w:eastAsia="仿宋_GB2312" w:cs="仿宋_GB2312"/>
          <w:b w:val="0"/>
          <w:bCs w:val="0"/>
          <w:color w:val="auto"/>
          <w:sz w:val="32"/>
          <w:szCs w:val="32"/>
          <w:highlight w:val="none"/>
          <w:lang w:val="en-US" w:eastAsia="zh-CN"/>
        </w:rPr>
        <w:t>基本</w:t>
      </w:r>
      <w:r>
        <w:rPr>
          <w:rFonts w:hint="default" w:ascii="仿宋_GB2312" w:hAnsi="仿宋_GB2312" w:eastAsia="仿宋_GB2312" w:cs="仿宋_GB2312"/>
          <w:b w:val="0"/>
          <w:bCs w:val="0"/>
          <w:color w:val="auto"/>
          <w:sz w:val="32"/>
          <w:szCs w:val="32"/>
          <w:highlight w:val="none"/>
          <w:lang w:val="en-US" w:eastAsia="zh-CN"/>
        </w:rPr>
        <w:t>标准，占比94.9%，58家机构达到推荐标准，选定10家乡镇卫生院创建医疗次中心，建成社区医院30家</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省级特色专科50个，总量位列全省第一。推动社区首席专家工作室拓展到112个，每周到社区出诊的省市医院专家达到210名，累计接诊28万人次，深受居民欢迎</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启动基本公共卫生服务系统、家庭医生签约服务信息系统建设，我市在全省2023年度基本公共卫生服务项目绩效评价</w:t>
      </w:r>
      <w:r>
        <w:rPr>
          <w:rFonts w:hint="eastAsia" w:ascii="仿宋_GB2312" w:hAnsi="仿宋_GB2312" w:eastAsia="仿宋_GB2312" w:cs="仿宋_GB2312"/>
          <w:b w:val="0"/>
          <w:bCs w:val="0"/>
          <w:color w:val="auto"/>
          <w:sz w:val="32"/>
          <w:szCs w:val="32"/>
          <w:highlight w:val="none"/>
          <w:lang w:val="en-US" w:eastAsia="zh-CN"/>
        </w:rPr>
        <w:t>中</w:t>
      </w:r>
      <w:r>
        <w:rPr>
          <w:rFonts w:hint="default" w:ascii="仿宋_GB2312" w:hAnsi="仿宋_GB2312" w:eastAsia="仿宋_GB2312" w:cs="仿宋_GB2312"/>
          <w:b w:val="0"/>
          <w:bCs w:val="0"/>
          <w:color w:val="auto"/>
          <w:sz w:val="32"/>
          <w:szCs w:val="32"/>
          <w:highlight w:val="none"/>
          <w:lang w:val="en-US" w:eastAsia="zh-CN"/>
        </w:rPr>
        <w:t>综合排名第一、优秀县（市、区）数量第一。</w:t>
      </w:r>
    </w:p>
    <w:p w14:paraId="2F002B7C">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4.做好孕产妇、婴幼儿重点人群健康服务保障</w:t>
      </w:r>
    </w:p>
    <w:p w14:paraId="07525552">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建设普惠托位875个，</w:t>
      </w:r>
      <w:r>
        <w:rPr>
          <w:rFonts w:hint="eastAsia" w:ascii="仿宋_GB2312" w:hAnsi="仿宋_GB2312" w:eastAsia="仿宋_GB2312" w:cs="仿宋_GB2312"/>
          <w:b w:val="0"/>
          <w:bCs w:val="0"/>
          <w:color w:val="auto"/>
          <w:sz w:val="32"/>
          <w:szCs w:val="32"/>
          <w:highlight w:val="none"/>
          <w:lang w:val="en-US" w:eastAsia="zh-CN"/>
        </w:rPr>
        <w:t>免费</w:t>
      </w:r>
      <w:r>
        <w:rPr>
          <w:rFonts w:hint="default" w:ascii="仿宋_GB2312" w:hAnsi="仿宋_GB2312" w:eastAsia="仿宋_GB2312" w:cs="仿宋_GB2312"/>
          <w:b w:val="0"/>
          <w:bCs w:val="0"/>
          <w:color w:val="auto"/>
          <w:sz w:val="32"/>
          <w:szCs w:val="32"/>
          <w:highlight w:val="none"/>
          <w:lang w:val="en-US" w:eastAsia="zh-CN"/>
        </w:rPr>
        <w:t>开展孕妇无创产前基因筛查56507例、孕妇耳聋基因筛查项目筛查54375例</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宫颈癌免费筛查25.85万人、乳腺癌检查26.06万人，完成全市中小学生脊柱侧弯筛查163万余人，为44862名14周岁女孩免费接种HPV疫苗</w:t>
      </w:r>
      <w:r>
        <w:rPr>
          <w:rFonts w:hint="eastAsia" w:ascii="仿宋_GB2312" w:hAnsi="仿宋_GB2312" w:eastAsia="仿宋_GB2312" w:cs="仿宋_GB2312"/>
          <w:b w:val="0"/>
          <w:bCs w:val="0"/>
          <w:color w:val="auto"/>
          <w:sz w:val="32"/>
          <w:szCs w:val="32"/>
          <w:highlight w:val="none"/>
          <w:lang w:val="en-US" w:eastAsia="zh-CN"/>
        </w:rPr>
        <w:t>，人民群众的健康获得感满满。特别是在婴幼儿照护方面，我们</w:t>
      </w:r>
      <w:r>
        <w:rPr>
          <w:rFonts w:hint="default" w:ascii="仿宋_GB2312" w:hAnsi="仿宋_GB2312" w:eastAsia="仿宋_GB2312" w:cs="仿宋_GB2312"/>
          <w:b w:val="0"/>
          <w:bCs w:val="0"/>
          <w:color w:val="auto"/>
          <w:sz w:val="32"/>
          <w:szCs w:val="32"/>
          <w:highlight w:val="none"/>
          <w:lang w:val="en-US" w:eastAsia="zh-CN"/>
        </w:rPr>
        <w:t>建立了全市</w:t>
      </w:r>
      <w:r>
        <w:rPr>
          <w:rFonts w:hint="eastAsia" w:ascii="仿宋_GB2312" w:hAnsi="仿宋_GB2312" w:eastAsia="仿宋_GB2312" w:cs="仿宋_GB2312"/>
          <w:b w:val="0"/>
          <w:bCs w:val="0"/>
          <w:color w:val="auto"/>
          <w:sz w:val="32"/>
          <w:szCs w:val="32"/>
          <w:highlight w:val="none"/>
          <w:lang w:val="en-US" w:eastAsia="zh-CN"/>
        </w:rPr>
        <w:t>首家</w:t>
      </w:r>
      <w:r>
        <w:rPr>
          <w:rFonts w:hint="default" w:ascii="仿宋_GB2312" w:hAnsi="仿宋_GB2312" w:eastAsia="仿宋_GB2312" w:cs="仿宋_GB2312"/>
          <w:b w:val="0"/>
          <w:bCs w:val="0"/>
          <w:color w:val="auto"/>
          <w:sz w:val="32"/>
          <w:szCs w:val="32"/>
          <w:highlight w:val="none"/>
          <w:lang w:val="en-US" w:eastAsia="zh-CN"/>
        </w:rPr>
        <w:t>公办用人单位托育机构——市四院职工子女托育园，在全省率先出台</w:t>
      </w:r>
      <w:r>
        <w:rPr>
          <w:rFonts w:hint="eastAsia" w:ascii="仿宋_GB2312" w:hAnsi="仿宋_GB2312" w:eastAsia="仿宋_GB2312" w:cs="仿宋_GB2312"/>
          <w:b w:val="0"/>
          <w:bCs w:val="0"/>
          <w:color w:val="auto"/>
          <w:sz w:val="32"/>
          <w:szCs w:val="32"/>
          <w:highlight w:val="none"/>
          <w:lang w:val="en-US" w:eastAsia="zh-CN"/>
        </w:rPr>
        <w:t>了</w:t>
      </w:r>
      <w:r>
        <w:rPr>
          <w:rFonts w:hint="default" w:ascii="仿宋_GB2312" w:hAnsi="仿宋_GB2312" w:eastAsia="仿宋_GB2312" w:cs="仿宋_GB2312"/>
          <w:b w:val="0"/>
          <w:bCs w:val="0"/>
          <w:color w:val="auto"/>
          <w:sz w:val="32"/>
          <w:szCs w:val="32"/>
          <w:highlight w:val="none"/>
          <w:lang w:val="en-US" w:eastAsia="zh-CN"/>
        </w:rPr>
        <w:t>普惠性托育机构市级扶持补助办法，为14家机构发放运营补贴238.4万元，“真金白银”助力普惠托育服务发展。</w:t>
      </w:r>
    </w:p>
    <w:p w14:paraId="4163DEC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lang w:val="en-US" w:eastAsia="zh-CN"/>
        </w:rPr>
        <w:t>5.持续提升公共卫生服务能力</w:t>
      </w:r>
    </w:p>
    <w:p w14:paraId="481B2D42">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高质量完成《石家庄市医疗卫生设施规划建设管理条例》修订。北京大学人民医院石家庄医院项目取得施工许可证，市二院新院区、市三院新院区和天津中医药大学第一附属医院石家庄医院项目完成初设批复，市五院应急院区项目综合楼实现主体封顶，市四院市级托育综合服务中心建设项目完成立项。</w:t>
      </w:r>
    </w:p>
    <w:p w14:paraId="1E92F8C9">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在群众看病就医“减负增效”方面，我们大力推进检查检验结果互认共享，全市74家医疗机构纳入京津冀鲁检验结果互认名单，32家医疗机构纳入京津冀医学影像检查结果互认名单，建设市县两级公立医院医学影像及检验检查结果互认共享服务平台，有效避免了重复检查，减轻患者负担。</w:t>
      </w:r>
    </w:p>
    <w:p w14:paraId="33D0BA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val="0"/>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lang w:val="en-US" w:eastAsia="zh-CN"/>
        </w:rPr>
        <w:t>6.</w:t>
      </w:r>
      <w:r>
        <w:rPr>
          <w:rFonts w:hint="default" w:ascii="仿宋_GB2312" w:hAnsi="仿宋_GB2312" w:eastAsia="仿宋_GB2312" w:cs="仿宋_GB2312"/>
          <w:b/>
          <w:bCs w:val="0"/>
          <w:color w:val="auto"/>
          <w:sz w:val="32"/>
          <w:szCs w:val="32"/>
          <w:highlight w:val="none"/>
          <w:lang w:val="en-US" w:eastAsia="zh-CN"/>
        </w:rPr>
        <w:t>持续深化健康石家庄建设</w:t>
      </w:r>
    </w:p>
    <w:p w14:paraId="7CEB63B2">
      <w:pPr>
        <w:pageBreakBefore w:val="0"/>
        <w:numPr>
          <w:ilvl w:val="0"/>
          <w:numId w:val="0"/>
        </w:numPr>
        <w:kinsoku/>
        <w:wordWrap/>
        <w:overflowPunct/>
        <w:topLinePunct w:val="0"/>
        <w:autoSpaceDE/>
        <w:autoSpaceDN/>
        <w:bidi w:val="0"/>
        <w:adjustRightInd/>
        <w:spacing w:line="578" w:lineRule="exact"/>
        <w:ind w:firstLine="640" w:firstLineChars="200"/>
        <w:rPr>
          <w:rFonts w:hint="eastAsia" w:ascii="仿宋_GB2312" w:eastAsia="仿宋_GB2312"/>
          <w:b w:val="0"/>
          <w:bCs w:val="0"/>
          <w:sz w:val="32"/>
          <w:szCs w:val="32"/>
          <w:highlight w:val="yellow"/>
          <w:lang w:val="en-US" w:eastAsia="zh-CN"/>
        </w:rPr>
      </w:pPr>
      <w:r>
        <w:rPr>
          <w:rFonts w:hint="default" w:ascii="仿宋_GB2312" w:hAnsi="仿宋_GB2312" w:eastAsia="仿宋_GB2312" w:cs="仿宋_GB2312"/>
          <w:b w:val="0"/>
          <w:bCs w:val="0"/>
          <w:color w:val="auto"/>
          <w:sz w:val="32"/>
          <w:szCs w:val="32"/>
          <w:highlight w:val="none"/>
          <w:lang w:val="en-US" w:eastAsia="zh-CN"/>
        </w:rPr>
        <w:t>建立</w:t>
      </w:r>
      <w:r>
        <w:rPr>
          <w:rFonts w:hint="eastAsia" w:ascii="仿宋_GB2312" w:hAnsi="仿宋_GB2312" w:eastAsia="仿宋_GB2312" w:cs="仿宋_GB2312"/>
          <w:b w:val="0"/>
          <w:bCs w:val="0"/>
          <w:color w:val="auto"/>
          <w:sz w:val="32"/>
          <w:szCs w:val="32"/>
          <w:highlight w:val="none"/>
          <w:lang w:val="en-US" w:eastAsia="zh-CN"/>
        </w:rPr>
        <w:t>了</w:t>
      </w:r>
      <w:r>
        <w:rPr>
          <w:rFonts w:hint="default" w:ascii="仿宋_GB2312" w:hAnsi="仿宋_GB2312" w:eastAsia="仿宋_GB2312" w:cs="仿宋_GB2312"/>
          <w:b w:val="0"/>
          <w:bCs w:val="0"/>
          <w:color w:val="auto"/>
          <w:sz w:val="32"/>
          <w:szCs w:val="32"/>
          <w:highlight w:val="none"/>
          <w:lang w:val="en-US" w:eastAsia="zh-CN"/>
        </w:rPr>
        <w:t>定期调度、现场督导、问题反馈、经验交流、考察学习、观摩拉练、季度通报“七大长效机制”，搭建</w:t>
      </w:r>
      <w:r>
        <w:rPr>
          <w:rFonts w:hint="eastAsia" w:ascii="仿宋_GB2312" w:hAnsi="仿宋_GB2312" w:eastAsia="仿宋_GB2312" w:cs="仿宋_GB2312"/>
          <w:b w:val="0"/>
          <w:bCs w:val="0"/>
          <w:color w:val="auto"/>
          <w:sz w:val="32"/>
          <w:szCs w:val="32"/>
          <w:highlight w:val="none"/>
          <w:lang w:val="en-US" w:eastAsia="zh-CN"/>
        </w:rPr>
        <w:t>了</w:t>
      </w:r>
      <w:r>
        <w:rPr>
          <w:rFonts w:hint="default" w:ascii="仿宋_GB2312" w:hAnsi="仿宋_GB2312" w:eastAsia="仿宋_GB2312" w:cs="仿宋_GB2312"/>
          <w:b w:val="0"/>
          <w:bCs w:val="0"/>
          <w:color w:val="auto"/>
          <w:sz w:val="32"/>
          <w:szCs w:val="32"/>
          <w:highlight w:val="none"/>
          <w:lang w:val="en-US" w:eastAsia="zh-CN"/>
        </w:rPr>
        <w:t>医共体信息平台，让县医院“牵手”乡镇卫生院，实现“乡级检查，县级诊断”，变“病人跑”为“专家跑”，让老百姓在家门口就能享受县级医院的医疗服务。</w:t>
      </w:r>
      <w:r>
        <w:rPr>
          <w:rFonts w:hint="eastAsia" w:ascii="仿宋_GB2312" w:hAnsi="仿宋_GB2312" w:eastAsia="仿宋_GB2312" w:cs="仿宋_GB2312"/>
          <w:b w:val="0"/>
          <w:bCs w:val="0"/>
          <w:color w:val="auto"/>
          <w:sz w:val="32"/>
          <w:szCs w:val="32"/>
          <w:highlight w:val="none"/>
          <w:lang w:val="en-US" w:eastAsia="zh-CN"/>
        </w:rPr>
        <w:t>2024年</w:t>
      </w:r>
      <w:r>
        <w:rPr>
          <w:rFonts w:hint="default" w:ascii="仿宋_GB2312" w:hAnsi="仿宋_GB2312" w:eastAsia="仿宋_GB2312" w:cs="仿宋_GB2312"/>
          <w:b w:val="0"/>
          <w:bCs w:val="0"/>
          <w:color w:val="auto"/>
          <w:sz w:val="32"/>
          <w:szCs w:val="32"/>
          <w:highlight w:val="none"/>
          <w:lang w:val="en-US" w:eastAsia="zh-CN"/>
        </w:rPr>
        <w:t>，医共体牵头医院协助基层完成远程心电诊断8.3万例、影像诊断6万例，节省患者就医费用131.7万元。大力推进“县管乡用、乡聘村用”，县级医疗机构向乡镇卫生院派驻人员3.8万人次，帮助基层开展新技术、新项目536项，有效解决了乡镇卫生院技术力量薄弱等问题。创新慢病管理模式，16个县（市、区）全部建立县域慢病管理中心，打造区域慢病健康管理信息系统，形成以健康为中心的区域医疗服务体系。</w:t>
      </w:r>
    </w:p>
    <w:bookmarkEnd w:id="9"/>
    <w:bookmarkEnd w:id="10"/>
    <w:p w14:paraId="4A8EE660">
      <w:pPr>
        <w:keepNext w:val="0"/>
        <w:keepLines w:val="0"/>
        <w:pageBreakBefore w:val="0"/>
        <w:widowControl w:val="0"/>
        <w:kinsoku/>
        <w:wordWrap/>
        <w:overflowPunct/>
        <w:topLinePunct w:val="0"/>
        <w:autoSpaceDE/>
        <w:autoSpaceDN/>
        <w:bidi w:val="0"/>
        <w:adjustRightInd/>
        <w:snapToGrid w:val="0"/>
        <w:spacing w:line="578" w:lineRule="exact"/>
        <w:ind w:right="0" w:firstLine="640" w:firstLineChars="200"/>
        <w:textAlignment w:val="auto"/>
        <w:outlineLvl w:val="1"/>
        <w:rPr>
          <w:rFonts w:hint="eastAsia" w:ascii="楷体" w:hAnsi="楷体" w:eastAsia="楷体" w:cs="楷体"/>
          <w:sz w:val="32"/>
          <w:szCs w:val="32"/>
          <w:highlight w:val="none"/>
          <w:lang w:val="en-US" w:eastAsia="zh-CN"/>
        </w:rPr>
      </w:pPr>
      <w:bookmarkStart w:id="12" w:name="_Toc12893"/>
      <w:r>
        <w:rPr>
          <w:rFonts w:hint="eastAsia" w:ascii="楷体" w:hAnsi="楷体" w:eastAsia="楷体" w:cs="楷体"/>
          <w:sz w:val="32"/>
          <w:szCs w:val="32"/>
          <w:highlight w:val="none"/>
          <w:lang w:val="en-US" w:eastAsia="zh-CN"/>
        </w:rPr>
        <w:t>（三）存在的问题及原因</w:t>
      </w:r>
      <w:bookmarkEnd w:id="11"/>
      <w:bookmarkEnd w:id="12"/>
    </w:p>
    <w:p w14:paraId="2F002E47">
      <w:pPr>
        <w:keepNext w:val="0"/>
        <w:keepLines w:val="0"/>
        <w:pageBreakBefore w:val="0"/>
        <w:widowControl w:val="0"/>
        <w:kinsoku/>
        <w:wordWrap/>
        <w:overflowPunct/>
        <w:topLinePunct w:val="0"/>
        <w:autoSpaceDE/>
        <w:autoSpaceDN/>
        <w:bidi w:val="0"/>
        <w:adjustRightInd/>
        <w:snapToGrid w:val="0"/>
        <w:spacing w:line="578" w:lineRule="exact"/>
        <w:ind w:firstLine="643" w:firstLineChars="200"/>
        <w:textAlignment w:val="auto"/>
        <w:outlineLvl w:val="2"/>
        <w:rPr>
          <w:rFonts w:hint="default"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1.评价得分较差项目问题及原因</w:t>
      </w:r>
    </w:p>
    <w:p w14:paraId="48AC0F16">
      <w:pPr>
        <w:keepNext w:val="0"/>
        <w:keepLines w:val="0"/>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本次参与绩效自评的517个项目中464个项目均较好的完成了预期绩效目标，评价结果均为“优”，2个项目评价结果为“良”，51个项目评价结果为“中、差”。</w:t>
      </w:r>
    </w:p>
    <w:p w14:paraId="261F6EBD">
      <w:pPr>
        <w:keepNext w:val="0"/>
        <w:keepLines w:val="0"/>
        <w:pageBreakBefore w:val="0"/>
        <w:widowControl w:val="0"/>
        <w:kinsoku/>
        <w:wordWrap/>
        <w:overflowPunct/>
        <w:topLinePunct w:val="0"/>
        <w:autoSpaceDE/>
        <w:autoSpaceDN/>
        <w:bidi w:val="0"/>
        <w:adjustRightInd/>
        <w:snapToGrid w:val="0"/>
        <w:spacing w:line="578"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2个项目评价结果为“良”，项目及原因分别为：</w:t>
      </w:r>
    </w:p>
    <w:tbl>
      <w:tblPr>
        <w:tblStyle w:val="11"/>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4"/>
        <w:gridCol w:w="1519"/>
        <w:gridCol w:w="1927"/>
        <w:gridCol w:w="1168"/>
        <w:gridCol w:w="3914"/>
      </w:tblGrid>
      <w:tr w14:paraId="11049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732D4">
            <w:pPr>
              <w:keepNext w:val="0"/>
              <w:keepLines w:val="0"/>
              <w:widowControl/>
              <w:suppressLineNumbers w:val="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序号</w:t>
            </w:r>
          </w:p>
        </w:tc>
        <w:tc>
          <w:tcPr>
            <w:tcW w:w="8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6B216">
            <w:pPr>
              <w:keepNext w:val="0"/>
              <w:keepLines w:val="0"/>
              <w:widowControl/>
              <w:suppressLineNumbers w:val="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项目实施单位</w:t>
            </w:r>
          </w:p>
        </w:tc>
        <w:tc>
          <w:tcPr>
            <w:tcW w:w="10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733C8">
            <w:pPr>
              <w:keepNext w:val="0"/>
              <w:keepLines w:val="0"/>
              <w:widowControl/>
              <w:suppressLineNumbers w:val="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项目名称</w:t>
            </w:r>
          </w:p>
        </w:tc>
        <w:tc>
          <w:tcPr>
            <w:tcW w:w="6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FF85">
            <w:pPr>
              <w:keepNext w:val="0"/>
              <w:keepLines w:val="0"/>
              <w:widowControl/>
              <w:suppressLineNumbers w:val="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自评得分</w:t>
            </w:r>
          </w:p>
        </w:tc>
        <w:tc>
          <w:tcPr>
            <w:tcW w:w="21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58A23">
            <w:pPr>
              <w:keepNext w:val="0"/>
              <w:keepLines w:val="0"/>
              <w:widowControl/>
              <w:suppressLineNumbers w:val="0"/>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原因</w:t>
            </w:r>
          </w:p>
        </w:tc>
      </w:tr>
      <w:tr w14:paraId="75749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D0D3C">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cs="宋体"/>
                <w:i w:val="0"/>
                <w:iCs w:val="0"/>
                <w:color w:val="000000"/>
                <w:kern w:val="0"/>
                <w:sz w:val="21"/>
                <w:szCs w:val="21"/>
                <w:highlight w:val="none"/>
                <w:u w:val="none"/>
                <w:lang w:val="en-US" w:eastAsia="zh-CN" w:bidi="ar"/>
              </w:rPr>
              <w:t>1</w:t>
            </w:r>
          </w:p>
        </w:tc>
        <w:tc>
          <w:tcPr>
            <w:tcW w:w="8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9396B">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石家庄市疾病预防控制中心</w:t>
            </w:r>
          </w:p>
        </w:tc>
        <w:tc>
          <w:tcPr>
            <w:tcW w:w="10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B3C2CF">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中央2024年重大公共卫生服务补助资金</w:t>
            </w:r>
          </w:p>
        </w:tc>
        <w:tc>
          <w:tcPr>
            <w:tcW w:w="6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538D8">
            <w:pPr>
              <w:keepNext w:val="0"/>
              <w:keepLines w:val="0"/>
              <w:widowControl/>
              <w:suppressLineNumbers w:val="0"/>
              <w:jc w:val="center"/>
              <w:textAlignment w:val="center"/>
              <w:rPr>
                <w:rFonts w:hint="default" w:ascii="宋体" w:hAnsi="宋体" w:eastAsia="宋体" w:cs="宋体"/>
                <w:i w:val="0"/>
                <w:iCs w:val="0"/>
                <w:color w:val="000000"/>
                <w:sz w:val="21"/>
                <w:szCs w:val="21"/>
                <w:highlight w:val="none"/>
                <w:u w:val="none"/>
                <w:lang w:val="en-US"/>
              </w:rPr>
            </w:pPr>
            <w:r>
              <w:rPr>
                <w:rFonts w:hint="eastAsia" w:ascii="宋体" w:hAnsi="宋体" w:cs="宋体"/>
                <w:i w:val="0"/>
                <w:iCs w:val="0"/>
                <w:color w:val="000000"/>
                <w:kern w:val="0"/>
                <w:sz w:val="21"/>
                <w:szCs w:val="21"/>
                <w:highlight w:val="none"/>
                <w:u w:val="none"/>
                <w:lang w:val="en-US" w:eastAsia="zh-CN" w:bidi="ar"/>
              </w:rPr>
              <w:t>83.24</w:t>
            </w:r>
          </w:p>
        </w:tc>
        <w:tc>
          <w:tcPr>
            <w:tcW w:w="21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75D61">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项目资金下达时间较晚，项目执行期较短。项目已结转至2025年。</w:t>
            </w:r>
          </w:p>
        </w:tc>
      </w:tr>
      <w:tr w14:paraId="14AB4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0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7D328">
            <w:pPr>
              <w:keepNext w:val="0"/>
              <w:keepLines w:val="0"/>
              <w:widowControl/>
              <w:suppressLineNumbers w:val="0"/>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cs="宋体"/>
                <w:i w:val="0"/>
                <w:iCs w:val="0"/>
                <w:color w:val="000000"/>
                <w:kern w:val="0"/>
                <w:sz w:val="21"/>
                <w:szCs w:val="21"/>
                <w:highlight w:val="none"/>
                <w:u w:val="none"/>
                <w:lang w:val="en-US" w:eastAsia="zh-CN" w:bidi="ar"/>
              </w:rPr>
              <w:t>2</w:t>
            </w:r>
          </w:p>
        </w:tc>
        <w:tc>
          <w:tcPr>
            <w:tcW w:w="8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11D03">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highlight w:val="none"/>
              </w:rPr>
              <w:t>石家庄市第三医院</w:t>
            </w:r>
          </w:p>
        </w:tc>
        <w:tc>
          <w:tcPr>
            <w:tcW w:w="10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C2CF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highlight w:val="none"/>
              </w:rPr>
              <w:t>专业设备购置</w:t>
            </w:r>
          </w:p>
        </w:tc>
        <w:tc>
          <w:tcPr>
            <w:tcW w:w="62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58EF6">
            <w:pPr>
              <w:keepNext w:val="0"/>
              <w:keepLines w:val="0"/>
              <w:widowControl/>
              <w:suppressLineNumbers w:val="0"/>
              <w:jc w:val="center"/>
              <w:textAlignment w:val="center"/>
              <w:rPr>
                <w:rFonts w:hint="default" w:ascii="宋体" w:hAnsi="宋体" w:eastAsia="宋体" w:cs="宋体"/>
                <w:i w:val="0"/>
                <w:iCs w:val="0"/>
                <w:color w:val="000000"/>
                <w:sz w:val="21"/>
                <w:szCs w:val="21"/>
                <w:highlight w:val="none"/>
                <w:u w:val="none"/>
                <w:lang w:val="en-US"/>
              </w:rPr>
            </w:pPr>
            <w:r>
              <w:rPr>
                <w:rFonts w:hint="eastAsia" w:ascii="宋体" w:hAnsi="宋体" w:cs="宋体"/>
                <w:i w:val="0"/>
                <w:iCs w:val="0"/>
                <w:color w:val="000000"/>
                <w:kern w:val="0"/>
                <w:sz w:val="21"/>
                <w:szCs w:val="21"/>
                <w:highlight w:val="none"/>
                <w:u w:val="none"/>
                <w:lang w:val="en-US" w:eastAsia="zh-CN" w:bidi="ar"/>
              </w:rPr>
              <w:t>78.44</w:t>
            </w:r>
          </w:p>
        </w:tc>
        <w:tc>
          <w:tcPr>
            <w:tcW w:w="210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B944A">
            <w:pPr>
              <w:keepNext w:val="0"/>
              <w:keepLines w:val="0"/>
              <w:widowControl/>
              <w:suppressLineNumbers w:val="0"/>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主要原因：1.医院资金紧张通过调研对非急需、非必要的医疗设备暂缓购买。2.针对临床急需的部分设备我院利用财政专项资金购置了部分医疗设备。整改措施：进一步完善采购方案，做好前期调研，非急需必要设备，科室不做效益分析的不列入预算，以此提高预算执行率</w:t>
            </w:r>
            <w:r>
              <w:rPr>
                <w:rFonts w:hint="eastAsia" w:ascii="宋体" w:hAnsi="宋体" w:cs="宋体"/>
                <w:i w:val="0"/>
                <w:iCs w:val="0"/>
                <w:color w:val="000000"/>
                <w:kern w:val="0"/>
                <w:sz w:val="21"/>
                <w:szCs w:val="21"/>
                <w:highlight w:val="none"/>
                <w:u w:val="none"/>
                <w:lang w:val="en-US" w:eastAsia="zh-CN" w:bidi="ar"/>
              </w:rPr>
              <w:t>。</w:t>
            </w:r>
          </w:p>
        </w:tc>
      </w:tr>
    </w:tbl>
    <w:p w14:paraId="2FF9F65D">
      <w:pPr>
        <w:keepNext w:val="0"/>
        <w:keepLines w:val="0"/>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51个项目评价结果为“中、差”，项目及原因分别为：</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750"/>
        <w:gridCol w:w="1617"/>
        <w:gridCol w:w="2033"/>
        <w:gridCol w:w="650"/>
        <w:gridCol w:w="4237"/>
      </w:tblGrid>
      <w:tr w14:paraId="2F84E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7590337B">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序号</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CD5020F">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项目实施单位</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3A56A93C">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项目名称</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7F2B942">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自评得分</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77D34AD">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bdr w:val="none" w:color="auto" w:sz="0" w:space="0"/>
                <w:lang w:val="en-US" w:eastAsia="zh-CN" w:bidi="ar"/>
              </w:rPr>
              <w:t>原因</w:t>
            </w:r>
          </w:p>
        </w:tc>
      </w:tr>
      <w:tr w14:paraId="640D0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7"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28A2F0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E5B5B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石家庄市急救中心</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BABAD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救护车更新经费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522CEED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21240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我单位救护车属特种专业技术用车，因2024年没有公务用车购置额度无法采购，2025年使用事业收入采购，已申请公务用车购置额度。</w:t>
            </w:r>
          </w:p>
        </w:tc>
      </w:tr>
      <w:tr w14:paraId="17C03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76E6C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5F217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石家庄市疾病预防控制中心</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1C861D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中央提前下达2024年医疗服务与保障能力提升（医疗卫生机构能力建设、卫生健康人才培养）资金</w:t>
            </w:r>
          </w:p>
        </w:tc>
        <w:tc>
          <w:tcPr>
            <w:tcW w:w="349" w:type="pct"/>
            <w:tcBorders>
              <w:top w:val="single" w:color="000000" w:sz="4" w:space="0"/>
              <w:left w:val="single" w:color="000000" w:sz="4" w:space="0"/>
              <w:bottom w:val="single" w:color="000000" w:sz="4" w:space="0"/>
              <w:right w:val="single" w:color="000000" w:sz="4" w:space="0"/>
            </w:tcBorders>
            <w:shd w:val="clear"/>
            <w:vAlign w:val="center"/>
          </w:tcPr>
          <w:p w14:paraId="73DBFF6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4F5A5D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财政收回额度，项目未开展</w:t>
            </w:r>
          </w:p>
        </w:tc>
      </w:tr>
      <w:tr w14:paraId="713E3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09A27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3CD661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石家庄市第二医院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30ACB8F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2024年省级卫生健康人才培养补助资金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354D7B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576339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项目课题已开展，课题尚未完结，预计课题2025年完结，2025年将加快课题研究进度，完成年度绩效指标</w:t>
            </w:r>
          </w:p>
        </w:tc>
      </w:tr>
      <w:tr w14:paraId="6AACC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556203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789117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石家庄市第二医院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065E2A0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救护车及公务用车购置经费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6BAB78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26129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预算执行率为0，原因为已提交购车申请，未获批准，今后按照医院实际需要编制预算，提高预算编制的准确率.</w:t>
            </w:r>
          </w:p>
        </w:tc>
      </w:tr>
      <w:tr w14:paraId="06DCBB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C2908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7C430A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石家庄市第二医院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0CE4DF4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白内障患者复明工程</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69003B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96C78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项目未开展，资金已于2025年收回</w:t>
            </w:r>
          </w:p>
        </w:tc>
      </w:tr>
      <w:tr w14:paraId="49C90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E9CE0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1FBAE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石家庄市妇幼保健院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03B952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生殖医学中心净化改造工程</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8722B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4FD489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年中调整，该工程2024年12月23日招标完成，2025年开始施工，待施工完成及评审后及时支付。</w:t>
            </w:r>
          </w:p>
        </w:tc>
      </w:tr>
      <w:tr w14:paraId="515A7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5C070B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73031D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石家庄市妇幼保健院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063717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生殖医学中心净化改造工程</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549F30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0.4</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B17E9E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年中调整，该工程2024年12月23日招标完成，2025年开始施工，待施工完成及评审后及时支付。</w:t>
            </w:r>
          </w:p>
        </w:tc>
      </w:tr>
      <w:tr w14:paraId="1DDDA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E0C45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3FE6E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石家庄市妇幼保健院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4CE8C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车辆购置经费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2E5B17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2E450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市机关事务管理局未同意我院购买车辆，该项目未能实施。</w:t>
            </w:r>
          </w:p>
        </w:tc>
      </w:tr>
      <w:tr w14:paraId="29C93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9F0298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1795B99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石家庄市妇幼保健院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3FBD821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“新建医院”项目专项债券付息资金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BA015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32215A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项目未实施</w:t>
            </w:r>
          </w:p>
        </w:tc>
      </w:tr>
      <w:tr w14:paraId="646C7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3B96C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01FF17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石家庄市妇幼保健院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0A4DA6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“新建医院”项目专项债券付费资金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5B2678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81FFA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项目未实施</w:t>
            </w:r>
          </w:p>
        </w:tc>
      </w:tr>
      <w:tr w14:paraId="0E9CF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83AC7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11</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2E6F03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石家庄市第四医院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7B743B7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救护车购置</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67F2F20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11E1F3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按照我单位发展规划，2024年计划购置2辆救护车辆，以满足院区间患者、标本等转运及急危重症孕产妇救治工作。根据上级部门工作安排，2024年度未安排我单位购置指标，项目未开展。</w:t>
            </w:r>
          </w:p>
        </w:tc>
      </w:tr>
      <w:tr w14:paraId="799F4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6135B8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3621AF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石家庄市第八医院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3B931E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2024年公立医院改革与高质量发展示范项目市级补助资金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242360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7C1C69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设备招标结果被质疑，根据财政局招标采购流程进行后续工作。</w:t>
            </w:r>
          </w:p>
        </w:tc>
      </w:tr>
      <w:tr w14:paraId="6A999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A8FCF7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30461D2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石家庄市第八医院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0560DB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车辆购置经费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3F7825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1ACE45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按照机关事务管理局要求必须按编制购置车辆，因我院车辆编制不足，故无法购置车辆；下一步积极跑办车辆编制事项。</w:t>
            </w:r>
          </w:p>
        </w:tc>
      </w:tr>
      <w:tr w14:paraId="38A71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FB62E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118B30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石家庄市第八医院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376546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提前下达2024年省级中医药发展专项资金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8E223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C0EAF4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之前课题所购买试剂的厂家不符合医院招标采购要求，无法入库验收，医院财务无法进行审批报销，因此预算执行率低，接下来将按照相关要求规范试剂购买，并同时于论文发表上推进项目资金使用。同时论文撰写已完成，正在进行投稿。</w:t>
            </w:r>
          </w:p>
        </w:tc>
      </w:tr>
      <w:tr w14:paraId="0C8B9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A3BF8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02BB7C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石家庄市第八医院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CAB023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通用设备购置经费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53E3C7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3.04</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C6174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由于门诊楼功能设置进行了调整，该项目主要内容门诊楼电梯改造条件不成熟，项目实施时间调整为2025年</w:t>
            </w:r>
          </w:p>
        </w:tc>
      </w:tr>
      <w:tr w14:paraId="6A95E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7E917E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1D15165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石家庄市人民医院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3C649F1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提前下达2024年省级公共卫生服务补助资金（其他公共卫生服务部分）</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16C1A2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08DF43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目前主要问题在于1、目前人工晶体属于高值耗材，入院的高值耗材均需走SPD库，平价进出，医院无法给患者减免人工晶体费用；2、目前能进院的人工晶体均为集采中标产品，这些产品的价位均高于复明手术的财政补贴，无适合做复明的产品。</w:t>
            </w:r>
          </w:p>
        </w:tc>
      </w:tr>
      <w:tr w14:paraId="1B9C2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DC3923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31D98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石家庄市人民医院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30348B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2022年中央重大传染病防控经费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1248E1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0864DF4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23年结转资金，项目已于23年完成建设，结余资金财政已收回。</w:t>
            </w:r>
          </w:p>
        </w:tc>
      </w:tr>
      <w:tr w14:paraId="5A3BD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6AF4E2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53132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石家庄市人民医院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002138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2024年科技计划项目市级资金</w:t>
            </w:r>
          </w:p>
        </w:tc>
        <w:tc>
          <w:tcPr>
            <w:tcW w:w="349" w:type="pct"/>
            <w:tcBorders>
              <w:top w:val="single" w:color="000000" w:sz="4" w:space="0"/>
              <w:left w:val="single" w:color="000000" w:sz="4" w:space="0"/>
              <w:bottom w:val="single" w:color="000000" w:sz="4" w:space="0"/>
              <w:right w:val="single" w:color="000000" w:sz="4" w:space="0"/>
            </w:tcBorders>
            <w:shd w:val="clear"/>
            <w:vAlign w:val="center"/>
          </w:tcPr>
          <w:p w14:paraId="427FC4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17.56</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AE244C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资金于2024.7月到账，课题在研三年，剩余资金财政已收回。</w:t>
            </w:r>
          </w:p>
        </w:tc>
      </w:tr>
      <w:tr w14:paraId="1BC5C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5AEEA1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12E59D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石家庄市人民医院</w:t>
            </w:r>
          </w:p>
        </w:tc>
        <w:tc>
          <w:tcPr>
            <w:tcW w:w="1094" w:type="pct"/>
            <w:tcBorders>
              <w:top w:val="single" w:color="000000" w:sz="4" w:space="0"/>
              <w:left w:val="single" w:color="000000" w:sz="4" w:space="0"/>
              <w:bottom w:val="single" w:color="000000" w:sz="4" w:space="0"/>
              <w:right w:val="single" w:color="000000" w:sz="4" w:space="0"/>
            </w:tcBorders>
            <w:shd w:val="clear"/>
            <w:vAlign w:val="center"/>
          </w:tcPr>
          <w:p w14:paraId="0ACF0F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2024年中医药传承创新发展项目补助资金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4DA743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04E1C43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项目资金于2024年9月底到账，论文1篇已完成收稿件，尚未发表，需4-6月才能发表。论文产出率低。剩余资金财政已收回。</w:t>
            </w:r>
          </w:p>
        </w:tc>
      </w:tr>
      <w:tr w14:paraId="3F445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A5D8C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EED6B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石家庄市中医院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5E557C1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电梯改造</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1319F7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1E21E21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电梯维保后可继续使用，未对老化电梯进行更换。</w:t>
            </w:r>
          </w:p>
        </w:tc>
      </w:tr>
      <w:tr w14:paraId="1D6DE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D5BBC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77ED0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石家庄市中医院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28527E6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救护车购置</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0D647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4086C3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机关事务管理局未审批通过</w:t>
            </w:r>
          </w:p>
        </w:tc>
      </w:tr>
      <w:tr w14:paraId="402D5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57FCA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151E7F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石家庄市中医院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74F8421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贴息贷款偿还本金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381EA4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3FC7573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根据实际合同明年开始偿还本金。</w:t>
            </w:r>
          </w:p>
        </w:tc>
      </w:tr>
      <w:tr w14:paraId="4D0B8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9F91A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0D08A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石家庄市第五医院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B1842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关于下达市第五医院应急院区项目建设资金的通知</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19F2A1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EAF698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因受大气治理等因素，应急院区建设进度未能按照预期推进。购买设备进度已做到政府采购挂网。</w:t>
            </w:r>
          </w:p>
        </w:tc>
      </w:tr>
      <w:tr w14:paraId="13384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CC7F0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24</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607DA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石家庄市第五医院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16E0819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应急院区项目建设资金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14C4F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32D24F3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因受大气治理等因素，应急院区建设进度未能按照预期推进。购买设备进度已做到政府采购挂网。</w:t>
            </w:r>
          </w:p>
        </w:tc>
      </w:tr>
      <w:tr w14:paraId="61B9A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9A04A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25</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E5BC3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石家庄市第三医院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56AA631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石家庄市智慧化创伤救治中心项目2023年建设资金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51D12E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07EA885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该笔资金并未拨付至我院，故项目无法开展。</w:t>
            </w:r>
          </w:p>
        </w:tc>
      </w:tr>
      <w:tr w14:paraId="11D96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52F80C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1194B0B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石家庄市第三医院</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672ED3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提前下达2024年省级中医药发展专项资金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F05BD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4C5950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课题周期2024-2026年，2024年完成对研究对象的观察治疗；改进措施：积极整理数据撰写论文发表文章</w:t>
            </w:r>
          </w:p>
        </w:tc>
      </w:tr>
      <w:tr w14:paraId="0E0FE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59AD9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27</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49CC14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0E49E23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公立医院改革与高质量发展示范项目市级配套资金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58677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42A5395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预算金额10000万元，因预算调整，资金未下达，项目未实施。</w:t>
            </w:r>
          </w:p>
        </w:tc>
      </w:tr>
      <w:tr w14:paraId="37E3B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7EB0ED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28</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1FA5526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739A7A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中医药事业发展建设专项经费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10ABB9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68BE1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预算金额400万元，因预算调整，资金未下达，项目未实施。</w:t>
            </w:r>
          </w:p>
        </w:tc>
      </w:tr>
      <w:tr w14:paraId="076ED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BA1DF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29</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16068A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70E03E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计划生育专项补助及“医养扶”经费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0FD4C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1D968D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转移支付项目，预算3851万元，调整预算0万元，资金已全部拨付至县、区。</w:t>
            </w:r>
          </w:p>
        </w:tc>
      </w:tr>
      <w:tr w14:paraId="085DD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49C84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30</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003E64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5A91558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基层医疗卫生机构服务能力提升奖补资金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127B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3C747C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转移支付项目，预算200万元，调整预算0万元，资金已全部拨付至县、区。</w:t>
            </w:r>
          </w:p>
        </w:tc>
      </w:tr>
      <w:tr w14:paraId="5E09B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DED84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31</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8617E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7E8054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社区首席专家工作室专家补助经费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579D3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1F06D1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转移支付项目，预算175万元，调整预算0万元，资金已全部拨付至县、区。</w:t>
            </w:r>
          </w:p>
        </w:tc>
      </w:tr>
      <w:tr w14:paraId="3C5A3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80508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32</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72BD6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28D658D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婴幼儿照护服务市级补助资金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EFE52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237D3D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转移支付项目，预算425万元，调整预算0万元，资金已全部拨付至县、区。</w:t>
            </w:r>
          </w:p>
        </w:tc>
      </w:tr>
      <w:tr w14:paraId="2F12B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4ADC95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33</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FC80DF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288C60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基本公共卫生服务补助资金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052B99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4391AD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转移支付项目，预算10539.9万元，调整预算0万元，资金已全部拨付至县、区。</w:t>
            </w:r>
          </w:p>
        </w:tc>
      </w:tr>
      <w:tr w14:paraId="179DF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5D6ED1A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34</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459721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2844FA5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村卫生室基本药物制度补助资金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46391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864639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转移支付项目，预算368万元，调整预算0万元，资金已全部拨付至县、区。</w:t>
            </w:r>
          </w:p>
        </w:tc>
      </w:tr>
      <w:tr w14:paraId="55659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8F404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35</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FC7BA4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3AC5F82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14周岁免费接种国产2价hpv疫苗项目</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207582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D6D0B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转移支付项目，预算1600万元，调整预算0万元，资金已全部拨付至县、区。</w:t>
            </w:r>
          </w:p>
        </w:tc>
      </w:tr>
      <w:tr w14:paraId="2DA7F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6D73A1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36</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792CBC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655991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出生缺陷防治项目经费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25548F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D51BB6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转移支付项目，预算3100万元，调整预算0万元，资金已全部拨付至县、区。</w:t>
            </w:r>
          </w:p>
        </w:tc>
      </w:tr>
      <w:tr w14:paraId="2203C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63001F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37</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3A5B15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1C06EE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提前下达2023年省级公共卫生服务（其他资金）补助资金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1FBCBD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CF6B03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开展本项工作利用2024公共卫生服务资金。</w:t>
            </w:r>
          </w:p>
        </w:tc>
      </w:tr>
      <w:tr w14:paraId="05093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83F12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38</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D99D6A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65CBDD0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提前下达2024年省级公共卫生服务补助资金（基本公共卫生服务）-运行监控</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29430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9A1E9C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利用基本公卫市级配套资金完成了相关工作任务，结余资金已退回财政。</w:t>
            </w:r>
          </w:p>
        </w:tc>
      </w:tr>
      <w:tr w14:paraId="5B2E3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0D401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39</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C0F429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1C00E7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艾滋病防治经费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DDC51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1D0597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预算金额100万元，因预算调整，资金未下达，项目未实施。</w:t>
            </w:r>
          </w:p>
        </w:tc>
      </w:tr>
      <w:tr w14:paraId="50C02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763AF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40</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4A456F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042C85E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城市公立医院药品耗材加成补助资金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42363A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C3174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预算金额800万元，因预算调整，资金未下达，项目未实施。</w:t>
            </w:r>
          </w:p>
        </w:tc>
      </w:tr>
      <w:tr w14:paraId="32AD59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A4E76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41</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4E97AA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241CFAE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国内高水平医院合作项目</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67C360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66161D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预算金额7467.5万元，因预算调整，资金未下达，项目未实施。</w:t>
            </w:r>
          </w:p>
        </w:tc>
      </w:tr>
      <w:tr w14:paraId="21025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2394B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42</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92AA1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1C8E955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基层医疗机构服务能力提升</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3AD4B0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5C97C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预算金额77.5万元，因预算调整，资金未下达，项目未实施。</w:t>
            </w:r>
          </w:p>
        </w:tc>
      </w:tr>
      <w:tr w14:paraId="25D34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0AE85F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43</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769A62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3E2D31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派驻专家奖励性绩效资金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FEFE8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0D1026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预算金额1271.99万元，因预算调整，资金未下达，项目未实施。</w:t>
            </w:r>
          </w:p>
        </w:tc>
      </w:tr>
      <w:tr w14:paraId="54FAB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66C0AB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44</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71A6DC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76E990D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提前下达2023年省级公共卫生服务（基本公共卫生服务部分）补助资金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49778F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F03BB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预算金额87.703336万元，因预算调整，资金未下达，项目未实施。</w:t>
            </w:r>
          </w:p>
        </w:tc>
      </w:tr>
      <w:tr w14:paraId="71515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1669D9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45</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CB861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7B1C67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卫生下乡对口支援补助经费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3AA78E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162C29C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预算金额80万元，因预算调整，资金未下达，项目未实施。</w:t>
            </w:r>
          </w:p>
        </w:tc>
      </w:tr>
      <w:tr w14:paraId="3A14F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783D75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46</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78D7D7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08574A6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医疗惠民工程专项经费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9546E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535F387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预算金额300万元，因预算调整，资金未下达，项目未实施。</w:t>
            </w:r>
          </w:p>
        </w:tc>
      </w:tr>
      <w:tr w14:paraId="4DB2F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FD2B5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47</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98DC38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02A1FB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院长年薪制度补助资金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60C105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ABD386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预算金额265万元，因预算调整，资金未下达，项目未实施。</w:t>
            </w:r>
          </w:p>
        </w:tc>
      </w:tr>
      <w:tr w14:paraId="1DE9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20476A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48</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5D65FD6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287AFE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中央2024年医疗服务与保障能力提升（医疗卫生机构能力提升、卫生健康人才培养）补助资金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7BC373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243439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项目未开展，资金已于2025年收回</w:t>
            </w:r>
          </w:p>
        </w:tc>
      </w:tr>
      <w:tr w14:paraId="0607D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3E673C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49</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6E9BC1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67ED8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重点医学学科建设经费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3013CB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4A58C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预算金额450万元，因预算调整，资金未下达，项目未实施。</w:t>
            </w:r>
          </w:p>
        </w:tc>
      </w:tr>
      <w:tr w14:paraId="26689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24932D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50</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0DF1051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35542C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住院医师规范化培训经费</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004088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75DFF4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预算金额100万元，因预算调整，资金未下达，项目未实施。</w:t>
            </w:r>
          </w:p>
        </w:tc>
      </w:tr>
      <w:tr w14:paraId="72219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03" w:type="pct"/>
            <w:tcBorders>
              <w:top w:val="single" w:color="000000" w:sz="4" w:space="0"/>
              <w:left w:val="single" w:color="000000" w:sz="4" w:space="0"/>
              <w:bottom w:val="single" w:color="000000" w:sz="4" w:space="0"/>
              <w:right w:val="single" w:color="000000" w:sz="4" w:space="0"/>
            </w:tcBorders>
            <w:shd w:val="clear"/>
            <w:noWrap/>
            <w:vAlign w:val="center"/>
          </w:tcPr>
          <w:p w14:paraId="6D4A58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51</w:t>
            </w:r>
          </w:p>
        </w:tc>
        <w:tc>
          <w:tcPr>
            <w:tcW w:w="870" w:type="pct"/>
            <w:tcBorders>
              <w:top w:val="single" w:color="000000" w:sz="4" w:space="0"/>
              <w:left w:val="single" w:color="000000" w:sz="4" w:space="0"/>
              <w:bottom w:val="single" w:color="000000" w:sz="4" w:space="0"/>
              <w:right w:val="single" w:color="000000" w:sz="4" w:space="0"/>
            </w:tcBorders>
            <w:shd w:val="clear"/>
            <w:vAlign w:val="center"/>
          </w:tcPr>
          <w:p w14:paraId="2261FE1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石家庄市卫生健康委员会本级</w:t>
            </w:r>
          </w:p>
        </w:tc>
        <w:tc>
          <w:tcPr>
            <w:tcW w:w="1094" w:type="pct"/>
            <w:tcBorders>
              <w:top w:val="single" w:color="000000" w:sz="4" w:space="0"/>
              <w:left w:val="single" w:color="000000" w:sz="4" w:space="0"/>
              <w:bottom w:val="single" w:color="000000" w:sz="4" w:space="0"/>
              <w:right w:val="single" w:color="000000" w:sz="4" w:space="0"/>
            </w:tcBorders>
            <w:shd w:val="clear"/>
            <w:noWrap/>
            <w:vAlign w:val="center"/>
          </w:tcPr>
          <w:p w14:paraId="44A33DE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基本公共卫生服务补助资金</w:t>
            </w:r>
          </w:p>
        </w:tc>
        <w:tc>
          <w:tcPr>
            <w:tcW w:w="349" w:type="pct"/>
            <w:tcBorders>
              <w:top w:val="single" w:color="000000" w:sz="4" w:space="0"/>
              <w:left w:val="single" w:color="000000" w:sz="4" w:space="0"/>
              <w:bottom w:val="single" w:color="000000" w:sz="4" w:space="0"/>
              <w:right w:val="single" w:color="000000" w:sz="4" w:space="0"/>
            </w:tcBorders>
            <w:shd w:val="clear"/>
            <w:noWrap/>
            <w:vAlign w:val="center"/>
          </w:tcPr>
          <w:p w14:paraId="603693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0</w:t>
            </w:r>
          </w:p>
        </w:tc>
        <w:tc>
          <w:tcPr>
            <w:tcW w:w="2281" w:type="pct"/>
            <w:tcBorders>
              <w:top w:val="single" w:color="000000" w:sz="4" w:space="0"/>
              <w:left w:val="single" w:color="000000" w:sz="4" w:space="0"/>
              <w:bottom w:val="single" w:color="000000" w:sz="4" w:space="0"/>
              <w:right w:val="single" w:color="000000" w:sz="4" w:space="0"/>
            </w:tcBorders>
            <w:shd w:val="clear"/>
            <w:noWrap/>
            <w:vAlign w:val="center"/>
          </w:tcPr>
          <w:p w14:paraId="061A89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预算金额300万元，因预算调整，资金未下达，项目未实施。</w:t>
            </w:r>
          </w:p>
        </w:tc>
      </w:tr>
    </w:tbl>
    <w:p w14:paraId="1B8C2B84">
      <w:pPr>
        <w:keepNext w:val="0"/>
        <w:keepLines w:val="0"/>
        <w:widowControl/>
        <w:suppressLineNumbers w:val="0"/>
        <w:jc w:val="left"/>
        <w:textAlignment w:val="center"/>
        <w:rPr>
          <w:rFonts w:hint="default" w:ascii="宋体" w:hAnsi="宋体" w:eastAsia="宋体" w:cs="宋体"/>
          <w:i w:val="0"/>
          <w:iCs w:val="0"/>
          <w:color w:val="000000"/>
          <w:kern w:val="0"/>
          <w:sz w:val="21"/>
          <w:szCs w:val="21"/>
          <w:highlight w:val="none"/>
          <w:u w:val="none"/>
          <w:lang w:val="en-US" w:eastAsia="zh-CN" w:bidi="ar"/>
        </w:rPr>
      </w:pPr>
    </w:p>
    <w:p w14:paraId="738B12D4">
      <w:pPr>
        <w:keepNext w:val="0"/>
        <w:keepLines w:val="0"/>
        <w:pageBreakBefore w:val="0"/>
        <w:widowControl w:val="0"/>
        <w:kinsoku/>
        <w:wordWrap/>
        <w:overflowPunct/>
        <w:topLinePunct w:val="0"/>
        <w:autoSpaceDE/>
        <w:autoSpaceDN/>
        <w:bidi w:val="0"/>
        <w:adjustRightInd/>
        <w:snapToGrid w:val="0"/>
        <w:spacing w:line="578" w:lineRule="exact"/>
        <w:ind w:firstLine="643" w:firstLineChars="200"/>
        <w:textAlignment w:val="auto"/>
        <w:outlineLvl w:val="2"/>
        <w:rPr>
          <w:rFonts w:hint="eastAsia" w:ascii="仿宋_GB2312" w:hAnsi="仿宋_GB2312" w:eastAsia="仿宋_GB2312" w:cs="仿宋_GB2312"/>
          <w:b/>
          <w:bCs/>
          <w:sz w:val="32"/>
          <w:szCs w:val="32"/>
          <w:highlight w:val="yellow"/>
          <w:lang w:val="en-US" w:eastAsia="zh-CN"/>
        </w:rPr>
        <w:sectPr>
          <w:pgSz w:w="11906" w:h="16838"/>
          <w:pgMar w:top="2041" w:right="1304" w:bottom="1701" w:left="1531" w:header="851" w:footer="992" w:gutter="0"/>
          <w:pgNumType w:fmt="numberInDash"/>
          <w:cols w:space="0" w:num="1"/>
          <w:rtlGutter w:val="0"/>
          <w:docGrid w:type="lines" w:linePitch="312" w:charSpace="0"/>
        </w:sectPr>
      </w:pPr>
      <w:bookmarkStart w:id="13" w:name="_Toc5249"/>
    </w:p>
    <w:p w14:paraId="69CC5FC9">
      <w:pPr>
        <w:keepNext w:val="0"/>
        <w:keepLines w:val="0"/>
        <w:pageBreakBefore w:val="0"/>
        <w:widowControl w:val="0"/>
        <w:kinsoku/>
        <w:wordWrap/>
        <w:overflowPunct/>
        <w:topLinePunct w:val="0"/>
        <w:autoSpaceDE/>
        <w:autoSpaceDN/>
        <w:bidi w:val="0"/>
        <w:adjustRightInd/>
        <w:snapToGrid w:val="0"/>
        <w:spacing w:line="578" w:lineRule="exact"/>
        <w:ind w:firstLine="643" w:firstLineChars="200"/>
        <w:textAlignment w:val="auto"/>
        <w:outlineLvl w:val="2"/>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2.资金支付率可进一步提高</w:t>
      </w:r>
      <w:bookmarkEnd w:id="13"/>
    </w:p>
    <w:p w14:paraId="5C4A017C">
      <w:pPr>
        <w:keepNext w:val="0"/>
        <w:keepLines w:val="0"/>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涉及预算资金（调整后）370029.27万元，资金执行数296033.03万元，预算执行率80%，年末结余73996.24万元，资金支付率有待进一步提高。</w:t>
      </w:r>
    </w:p>
    <w:p w14:paraId="37FE6BF7">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0"/>
        <w:rPr>
          <w:rFonts w:hint="eastAsia" w:ascii="黑体" w:hAnsi="黑体" w:eastAsia="黑体" w:cs="黑体"/>
          <w:sz w:val="32"/>
          <w:szCs w:val="32"/>
          <w:highlight w:val="none"/>
        </w:rPr>
      </w:pPr>
      <w:bookmarkStart w:id="14" w:name="_Toc1686"/>
      <w:r>
        <w:rPr>
          <w:rFonts w:hint="eastAsia" w:ascii="黑体" w:hAnsi="黑体" w:eastAsia="黑体" w:cs="黑体"/>
          <w:sz w:val="32"/>
          <w:szCs w:val="32"/>
          <w:highlight w:val="none"/>
        </w:rPr>
        <w:t>三、绩效目标设定质量情况</w:t>
      </w:r>
      <w:bookmarkEnd w:id="14"/>
    </w:p>
    <w:p w14:paraId="6641015B">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评价的项目通过绩效自评结果与年初绩效目标进行对比，对比结果反映在以下三个方面： </w:t>
      </w:r>
    </w:p>
    <w:p w14:paraId="150AA7B9">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3"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一是</w:t>
      </w:r>
      <w:r>
        <w:rPr>
          <w:rFonts w:hint="eastAsia" w:ascii="仿宋_GB2312" w:hAnsi="仿宋_GB2312" w:eastAsia="仿宋_GB2312" w:cs="仿宋_GB2312"/>
          <w:sz w:val="32"/>
          <w:szCs w:val="32"/>
          <w:highlight w:val="none"/>
        </w:rPr>
        <w:t>绩效目标设定依据清晰准确，指向明确，能够清晰准确反映预算资金的预期产出和效果，并以相应的绩效指标从数量、质量、成本、时效等方面予以细化、量化。</w:t>
      </w:r>
    </w:p>
    <w:p w14:paraId="215E2851">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3"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二是</w:t>
      </w:r>
      <w:r>
        <w:rPr>
          <w:rFonts w:hint="eastAsia" w:ascii="仿宋_GB2312" w:hAnsi="仿宋_GB2312" w:eastAsia="仿宋_GB2312" w:cs="仿宋_GB2312"/>
          <w:sz w:val="32"/>
          <w:szCs w:val="32"/>
          <w:highlight w:val="none"/>
        </w:rPr>
        <w:t>绩效指标能够围绕绩效目标来设定，从总体来看全面完整，科学合理，易于评价，能够反映被评价项目的实际情况。</w:t>
      </w:r>
    </w:p>
    <w:p w14:paraId="4713C381">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3"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三是</w:t>
      </w:r>
      <w:r>
        <w:rPr>
          <w:rFonts w:hint="eastAsia" w:ascii="仿宋_GB2312" w:hAnsi="仿宋_GB2312" w:eastAsia="仿宋_GB2312" w:cs="仿宋_GB2312"/>
          <w:sz w:val="32"/>
          <w:szCs w:val="32"/>
          <w:highlight w:val="none"/>
        </w:rPr>
        <w:t>绩效标准切实可行，客观合理，能够实际执行或实现，大部分预算资金额与实际支出资金量相匹配。但是个别项目预算执行率不高，预算编制精准度尚待提高。</w:t>
      </w:r>
    </w:p>
    <w:p w14:paraId="57EEE6CD">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0"/>
        <w:rPr>
          <w:rFonts w:hint="eastAsia" w:ascii="黑体" w:hAnsi="黑体" w:eastAsia="黑体" w:cs="黑体"/>
          <w:sz w:val="32"/>
          <w:szCs w:val="32"/>
          <w:highlight w:val="none"/>
        </w:rPr>
      </w:pPr>
      <w:bookmarkStart w:id="15" w:name="_Toc18397"/>
      <w:r>
        <w:rPr>
          <w:rFonts w:hint="eastAsia" w:ascii="黑体" w:hAnsi="黑体" w:eastAsia="黑体" w:cs="黑体"/>
          <w:sz w:val="32"/>
          <w:szCs w:val="32"/>
          <w:highlight w:val="none"/>
        </w:rPr>
        <w:t>四、整改措施及结果应用</w:t>
      </w:r>
      <w:bookmarkEnd w:id="15"/>
    </w:p>
    <w:p w14:paraId="472377CA">
      <w:pPr>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整体看，</w:t>
      </w:r>
      <w:r>
        <w:rPr>
          <w:rFonts w:hint="eastAsia" w:ascii="仿宋_GB2312" w:hAnsi="仿宋_GB2312" w:eastAsia="仿宋_GB2312" w:cs="仿宋_GB2312"/>
          <w:sz w:val="32"/>
          <w:szCs w:val="32"/>
          <w:highlight w:val="none"/>
          <w:lang w:val="en-US" w:eastAsia="zh-CN"/>
        </w:rPr>
        <w:t>我委</w:t>
      </w:r>
      <w:r>
        <w:rPr>
          <w:rFonts w:hint="eastAsia" w:ascii="仿宋_GB2312" w:hAnsi="仿宋_GB2312" w:eastAsia="仿宋_GB2312" w:cs="仿宋_GB2312"/>
          <w:sz w:val="32"/>
          <w:szCs w:val="32"/>
          <w:highlight w:val="none"/>
        </w:rPr>
        <w:t>此次评价项目评优率为</w:t>
      </w:r>
      <w:r>
        <w:rPr>
          <w:rFonts w:hint="eastAsia" w:ascii="仿宋_GB2312" w:hAnsi="仿宋_GB2312" w:eastAsia="仿宋_GB2312" w:cs="仿宋_GB2312"/>
          <w:sz w:val="32"/>
          <w:szCs w:val="32"/>
          <w:highlight w:val="none"/>
          <w:lang w:val="en-US" w:eastAsia="zh-CN"/>
        </w:rPr>
        <w:t>89.75</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预算执行</w:t>
      </w:r>
      <w:r>
        <w:rPr>
          <w:rFonts w:hint="eastAsia" w:ascii="仿宋_GB2312" w:hAnsi="仿宋_GB2312" w:eastAsia="仿宋_GB2312" w:cs="仿宋_GB2312"/>
          <w:sz w:val="32"/>
          <w:szCs w:val="32"/>
          <w:highlight w:val="none"/>
        </w:rPr>
        <w:t>率为</w:t>
      </w:r>
      <w:r>
        <w:rPr>
          <w:rFonts w:hint="eastAsia" w:ascii="仿宋_GB2312" w:hAnsi="仿宋_GB2312" w:eastAsia="仿宋_GB2312" w:cs="仿宋_GB2312"/>
          <w:sz w:val="32"/>
          <w:szCs w:val="32"/>
          <w:highlight w:val="none"/>
          <w:lang w:val="en-US" w:eastAsia="zh-CN"/>
        </w:rPr>
        <w:t>80%，</w:t>
      </w:r>
      <w:r>
        <w:rPr>
          <w:rFonts w:hint="eastAsia" w:ascii="仿宋_GB2312" w:hAnsi="仿宋_GB2312" w:eastAsia="仿宋_GB2312" w:cs="仿宋_GB2312"/>
          <w:b w:val="0"/>
          <w:bCs w:val="0"/>
          <w:kern w:val="2"/>
          <w:sz w:val="32"/>
          <w:szCs w:val="32"/>
          <w:highlight w:val="none"/>
          <w:lang w:val="en-US" w:eastAsia="zh-CN" w:bidi="ar-SA"/>
        </w:rPr>
        <w:t>评价等级为“优”</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但</w:t>
      </w:r>
      <w:r>
        <w:rPr>
          <w:rFonts w:hint="eastAsia" w:ascii="仿宋_GB2312" w:hAnsi="仿宋_GB2312" w:eastAsia="仿宋_GB2312" w:cs="仿宋_GB2312"/>
          <w:sz w:val="32"/>
          <w:szCs w:val="32"/>
          <w:highlight w:val="none"/>
        </w:rPr>
        <w:t>评优项目尚有提升空间。</w:t>
      </w:r>
    </w:p>
    <w:p w14:paraId="6BC8D9F8">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1"/>
        <w:rPr>
          <w:rFonts w:hint="eastAsia" w:ascii="楷体" w:hAnsi="楷体" w:eastAsia="楷体" w:cs="楷体"/>
          <w:sz w:val="32"/>
          <w:szCs w:val="32"/>
          <w:highlight w:val="none"/>
          <w:lang w:val="en-US" w:eastAsia="zh-CN"/>
        </w:rPr>
      </w:pPr>
      <w:bookmarkStart w:id="16" w:name="_Toc15002"/>
      <w:bookmarkStart w:id="17" w:name="_Toc30275"/>
      <w:bookmarkStart w:id="18" w:name="_Toc24035"/>
      <w:bookmarkStart w:id="19" w:name="_Hlk40710041"/>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lang w:val="en-US" w:eastAsia="zh-CN"/>
        </w:rPr>
        <w:t>一</w:t>
      </w:r>
      <w:r>
        <w:rPr>
          <w:rFonts w:hint="eastAsia" w:ascii="楷体" w:hAnsi="楷体" w:eastAsia="楷体" w:cs="楷体"/>
          <w:sz w:val="32"/>
          <w:szCs w:val="32"/>
          <w:highlight w:val="none"/>
          <w:lang w:eastAsia="zh-CN"/>
        </w:rPr>
        <w:t>）</w:t>
      </w:r>
      <w:bookmarkEnd w:id="16"/>
      <w:bookmarkEnd w:id="17"/>
      <w:r>
        <w:rPr>
          <w:rFonts w:hint="eastAsia" w:ascii="楷体" w:hAnsi="楷体" w:eastAsia="楷体" w:cs="楷体"/>
          <w:sz w:val="32"/>
          <w:szCs w:val="32"/>
          <w:highlight w:val="none"/>
          <w:lang w:val="en-US" w:eastAsia="zh-CN"/>
        </w:rPr>
        <w:t>整改措施</w:t>
      </w:r>
      <w:bookmarkEnd w:id="18"/>
    </w:p>
    <w:p w14:paraId="061F8E65">
      <w:pPr>
        <w:keepNext w:val="0"/>
        <w:keepLines w:val="0"/>
        <w:pageBreakBefore w:val="0"/>
        <w:widowControl w:val="0"/>
        <w:kinsoku/>
        <w:wordWrap/>
        <w:overflowPunct/>
        <w:topLinePunct w:val="0"/>
        <w:autoSpaceDE/>
        <w:autoSpaceDN/>
        <w:bidi w:val="0"/>
        <w:adjustRightInd/>
        <w:snapToGrid w:val="0"/>
        <w:spacing w:line="578" w:lineRule="exact"/>
        <w:ind w:firstLine="643" w:firstLineChars="200"/>
        <w:textAlignment w:val="auto"/>
        <w:outlineLvl w:val="2"/>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1.进一步提高资金使用效益</w:t>
      </w:r>
    </w:p>
    <w:p w14:paraId="5F2F1DB4">
      <w:pPr>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在编制预算时，充分考虑各种因素，根据客观条件和丰富的工作经验，科学合理的编制年初预算。在项目执行过程中，项目调整、市价变化、发生不可抗力因素等原因致使项目无法如期完成等情形造成无需支付资金时，及时与有关部门协调，调整或收回预算，避免资金闲置，提高资金使用效益。</w:t>
      </w:r>
    </w:p>
    <w:p w14:paraId="6C54A3F0">
      <w:pPr>
        <w:keepNext w:val="0"/>
        <w:keepLines w:val="0"/>
        <w:pageBreakBefore w:val="0"/>
        <w:widowControl w:val="0"/>
        <w:kinsoku/>
        <w:wordWrap/>
        <w:overflowPunct/>
        <w:topLinePunct w:val="0"/>
        <w:autoSpaceDE/>
        <w:autoSpaceDN/>
        <w:bidi w:val="0"/>
        <w:adjustRightInd/>
        <w:snapToGrid w:val="0"/>
        <w:spacing w:line="578" w:lineRule="exact"/>
        <w:ind w:firstLine="643" w:firstLineChars="200"/>
        <w:textAlignment w:val="auto"/>
        <w:outlineLvl w:val="2"/>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2.科学设置项目绩效目标、指标</w:t>
      </w:r>
    </w:p>
    <w:p w14:paraId="77F10543">
      <w:pPr>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在项目申报时，要及时对项目的功能进行梳理，包括资金性质、预期投入、支出的范围、实施内容、工作任务、受益对象，明确该项目支出的功能特性，并依据该项目的功能特性，预计项目实施在一定时期内所要达到的总体产出和效果，从而确定该项目所要实现的总体绩效目标，并以定量和定性指标相结合的方式进行表述，将项目支出的总体绩效目标进行细化分解，并从中总结提炼出最能反映总体绩效目标实现程度的关键性指标，并将其确定为相应的绩效指标。</w:t>
      </w:r>
    </w:p>
    <w:bookmarkEnd w:id="19"/>
    <w:p w14:paraId="42DBE6EF">
      <w:pPr>
        <w:keepNext w:val="0"/>
        <w:keepLines w:val="0"/>
        <w:pageBreakBefore w:val="0"/>
        <w:widowControl w:val="0"/>
        <w:kinsoku/>
        <w:wordWrap/>
        <w:overflowPunct/>
        <w:topLinePunct w:val="0"/>
        <w:autoSpaceDE/>
        <w:autoSpaceDN/>
        <w:bidi w:val="0"/>
        <w:adjustRightInd/>
        <w:snapToGrid w:val="0"/>
        <w:spacing w:line="578" w:lineRule="exact"/>
        <w:ind w:left="0" w:leftChars="0" w:right="0" w:firstLine="640" w:firstLineChars="200"/>
        <w:textAlignment w:val="auto"/>
        <w:outlineLvl w:val="1"/>
        <w:rPr>
          <w:rFonts w:hint="eastAsia" w:ascii="楷体" w:hAnsi="楷体" w:eastAsia="楷体" w:cs="楷体"/>
          <w:sz w:val="32"/>
          <w:szCs w:val="32"/>
          <w:highlight w:val="none"/>
          <w:lang w:eastAsia="zh-CN"/>
        </w:rPr>
      </w:pPr>
      <w:bookmarkStart w:id="20" w:name="_Toc4864"/>
      <w:bookmarkStart w:id="21" w:name="_Toc29892"/>
      <w:bookmarkStart w:id="22" w:name="_Toc4908"/>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lang w:val="en-US" w:eastAsia="zh-CN"/>
        </w:rPr>
        <w:t>二</w:t>
      </w:r>
      <w:r>
        <w:rPr>
          <w:rFonts w:hint="eastAsia" w:ascii="楷体" w:hAnsi="楷体" w:eastAsia="楷体" w:cs="楷体"/>
          <w:sz w:val="32"/>
          <w:szCs w:val="32"/>
          <w:highlight w:val="none"/>
          <w:lang w:eastAsia="zh-CN"/>
        </w:rPr>
        <w:t>）结果运用</w:t>
      </w:r>
      <w:bookmarkEnd w:id="20"/>
      <w:bookmarkEnd w:id="21"/>
      <w:bookmarkEnd w:id="22"/>
    </w:p>
    <w:p w14:paraId="09B6D621">
      <w:pPr>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highlight w:val="none"/>
        </w:rPr>
        <w:t>要注重绩效评价结果的运用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对照绩效评价工作中发现的问题，结合绩效评价报告中提出的整改意见，进一步完善预算管理机制，增强支出责任，规范资金使用，强化监督检查，</w:t>
      </w:r>
      <w:r>
        <w:rPr>
          <w:rFonts w:hint="eastAsia" w:ascii="仿宋_GB2312" w:hAnsi="仿宋_GB2312" w:eastAsia="仿宋_GB2312" w:cs="仿宋_GB2312"/>
          <w:sz w:val="32"/>
          <w:szCs w:val="32"/>
          <w:highlight w:val="none"/>
          <w:lang w:eastAsia="zh-CN"/>
        </w:rPr>
        <w:t>强化财政资金管理</w:t>
      </w:r>
      <w:r>
        <w:rPr>
          <w:rFonts w:hint="eastAsia" w:ascii="仿宋_GB2312" w:hAnsi="仿宋_GB2312" w:eastAsia="仿宋_GB2312" w:cs="仿宋_GB2312"/>
          <w:sz w:val="32"/>
          <w:szCs w:val="32"/>
          <w:highlight w:val="none"/>
        </w:rPr>
        <w:t>水平</w:t>
      </w:r>
      <w:r>
        <w:rPr>
          <w:rFonts w:hint="eastAsia" w:ascii="仿宋_GB2312" w:hAnsi="仿宋_GB2312" w:eastAsia="仿宋_GB2312" w:cs="仿宋_GB2312"/>
          <w:sz w:val="32"/>
          <w:szCs w:val="32"/>
          <w:highlight w:val="none"/>
          <w:lang w:eastAsia="zh-CN"/>
        </w:rPr>
        <w:t>，提高财政资金使用效益</w:t>
      </w:r>
      <w:r>
        <w:rPr>
          <w:rFonts w:hint="eastAsia" w:ascii="仿宋_GB2312" w:hAnsi="仿宋_GB2312" w:eastAsia="仿宋_GB2312" w:cs="仿宋_GB2312"/>
          <w:sz w:val="32"/>
          <w:szCs w:val="32"/>
          <w:highlight w:val="none"/>
        </w:rPr>
        <w:t>，为预算资金使用效益的提高提供基础保障。</w:t>
      </w:r>
    </w:p>
    <w:p w14:paraId="1D2F57CD">
      <w:pPr>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p>
    <w:p w14:paraId="5FBD9E9D">
      <w:pPr>
        <w:pageBreakBefore w:val="0"/>
        <w:widowControl w:val="0"/>
        <w:kinsoku/>
        <w:wordWrap/>
        <w:overflowPunct/>
        <w:topLinePunct w:val="0"/>
        <w:autoSpaceDE/>
        <w:autoSpaceDN/>
        <w:bidi w:val="0"/>
        <w:adjustRightInd/>
        <w:snapToGrid w:val="0"/>
        <w:spacing w:line="578" w:lineRule="exact"/>
        <w:jc w:val="righ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石家庄市卫生健康委员会</w:t>
      </w:r>
    </w:p>
    <w:p w14:paraId="02AD775B">
      <w:pPr>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2025年3月27日</w:t>
      </w:r>
    </w:p>
    <w:p w14:paraId="3F6F7793">
      <w:pPr>
        <w:pageBreakBefore w:val="0"/>
        <w:widowControl w:val="0"/>
        <w:kinsoku/>
        <w:wordWrap/>
        <w:overflowPunct/>
        <w:topLinePunct w:val="0"/>
        <w:autoSpaceDE/>
        <w:autoSpaceDN/>
        <w:bidi w:val="0"/>
        <w:adjustRightInd/>
        <w:snapToGrid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p>
    <w:sectPr>
      <w:footerReference r:id="rId6" w:type="default"/>
      <w:pgSz w:w="11906" w:h="16838"/>
      <w:pgMar w:top="2041" w:right="1304" w:bottom="1701" w:left="1531"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52FB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0B547">
    <w:r>
      <w:rPr>
        <w:sz w:val="21"/>
      </w:rPr>
      <w:pict>
        <v:shape id="_x0000_s4104" o:spid="_x0000_s4104"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68F033C3">
                <w:pPr>
                  <w:pStyle w:val="2"/>
                </w:pPr>
                <w:r>
                  <w:fldChar w:fldCharType="begin"/>
                </w:r>
                <w:r>
                  <w:instrText xml:space="preserve"> PAGE  \* MERGEFORMAT </w:instrText>
                </w:r>
                <w:r>
                  <w:fldChar w:fldCharType="separate"/>
                </w:r>
                <w:r>
                  <w:t>- 1 -</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61031">
    <w:r>
      <w:rPr>
        <w:sz w:val="21"/>
      </w:rPr>
      <w:pict>
        <v:shape id="_x0000_s4105" o:spid="_x0000_s4105"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58F53537">
                <w:pPr>
                  <w:pStyle w:val="2"/>
                </w:pPr>
                <w:r>
                  <w:fldChar w:fldCharType="begin"/>
                </w:r>
                <w:r>
                  <w:instrText xml:space="preserve"> PAGE  \* MERGEFORMAT </w:instrText>
                </w:r>
                <w:r>
                  <w:fldChar w:fldCharType="separate"/>
                </w:r>
                <w:r>
                  <w:t>- 1 -</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0EBBE2">
    <w:pPr>
      <w:pStyle w:val="7"/>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WNmMjgxZjczNGMwM2Y5NmQ3MTBkNzM1NjZhMDJjYmU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14A2DD9"/>
    <w:rsid w:val="01527EDF"/>
    <w:rsid w:val="025D6B3C"/>
    <w:rsid w:val="055B525F"/>
    <w:rsid w:val="065838EC"/>
    <w:rsid w:val="07862691"/>
    <w:rsid w:val="084F6F27"/>
    <w:rsid w:val="08C9213B"/>
    <w:rsid w:val="0AC03544"/>
    <w:rsid w:val="0CC52908"/>
    <w:rsid w:val="0D6C40D7"/>
    <w:rsid w:val="0DAD0977"/>
    <w:rsid w:val="0DB12071"/>
    <w:rsid w:val="10BF3D01"/>
    <w:rsid w:val="10EE19D3"/>
    <w:rsid w:val="10F10061"/>
    <w:rsid w:val="111331E7"/>
    <w:rsid w:val="11D87F8D"/>
    <w:rsid w:val="129E4D32"/>
    <w:rsid w:val="12B409FA"/>
    <w:rsid w:val="13B61930"/>
    <w:rsid w:val="195F5317"/>
    <w:rsid w:val="1B961472"/>
    <w:rsid w:val="1C0C0DBD"/>
    <w:rsid w:val="1D181B85"/>
    <w:rsid w:val="1D232B94"/>
    <w:rsid w:val="1DA11B7B"/>
    <w:rsid w:val="20276775"/>
    <w:rsid w:val="21556F04"/>
    <w:rsid w:val="22910410"/>
    <w:rsid w:val="23840702"/>
    <w:rsid w:val="24781B7F"/>
    <w:rsid w:val="255B43DC"/>
    <w:rsid w:val="25976C1E"/>
    <w:rsid w:val="25D32AED"/>
    <w:rsid w:val="2AB078A1"/>
    <w:rsid w:val="2C40598D"/>
    <w:rsid w:val="2DB80F46"/>
    <w:rsid w:val="2F7400EA"/>
    <w:rsid w:val="319C2BB6"/>
    <w:rsid w:val="34864A58"/>
    <w:rsid w:val="35494B7A"/>
    <w:rsid w:val="36B44275"/>
    <w:rsid w:val="36CE7EED"/>
    <w:rsid w:val="37837EC7"/>
    <w:rsid w:val="3AEF6FE7"/>
    <w:rsid w:val="3C4B742A"/>
    <w:rsid w:val="3D1D0DC6"/>
    <w:rsid w:val="3DCA7B9B"/>
    <w:rsid w:val="3E014244"/>
    <w:rsid w:val="3E3F4D6C"/>
    <w:rsid w:val="3EF142B8"/>
    <w:rsid w:val="4077259B"/>
    <w:rsid w:val="43B47DBF"/>
    <w:rsid w:val="43CC0E50"/>
    <w:rsid w:val="440700DA"/>
    <w:rsid w:val="444E7AB7"/>
    <w:rsid w:val="45103B31"/>
    <w:rsid w:val="451231DA"/>
    <w:rsid w:val="45A33E32"/>
    <w:rsid w:val="4600517F"/>
    <w:rsid w:val="467F664E"/>
    <w:rsid w:val="48D10CB7"/>
    <w:rsid w:val="492D2391"/>
    <w:rsid w:val="493B718D"/>
    <w:rsid w:val="49753D38"/>
    <w:rsid w:val="49E50EBD"/>
    <w:rsid w:val="4A8C7F5A"/>
    <w:rsid w:val="4C9444D5"/>
    <w:rsid w:val="4CE94821"/>
    <w:rsid w:val="4D1746C0"/>
    <w:rsid w:val="4F082F58"/>
    <w:rsid w:val="4F8F7FCE"/>
    <w:rsid w:val="508A00C9"/>
    <w:rsid w:val="50BE5FC4"/>
    <w:rsid w:val="53603363"/>
    <w:rsid w:val="53A42ADD"/>
    <w:rsid w:val="547E37C7"/>
    <w:rsid w:val="572B3C88"/>
    <w:rsid w:val="59B368E2"/>
    <w:rsid w:val="5A625C12"/>
    <w:rsid w:val="5CA95D7B"/>
    <w:rsid w:val="5F2375F6"/>
    <w:rsid w:val="5F7269AA"/>
    <w:rsid w:val="616B1851"/>
    <w:rsid w:val="63027F93"/>
    <w:rsid w:val="63921E8A"/>
    <w:rsid w:val="63CF306B"/>
    <w:rsid w:val="64850E7B"/>
    <w:rsid w:val="64A55079"/>
    <w:rsid w:val="6663343E"/>
    <w:rsid w:val="674A63AC"/>
    <w:rsid w:val="68F640F6"/>
    <w:rsid w:val="6A1C4030"/>
    <w:rsid w:val="6B5670CE"/>
    <w:rsid w:val="6BAA7419"/>
    <w:rsid w:val="6C90660F"/>
    <w:rsid w:val="6D9201D0"/>
    <w:rsid w:val="6DE60142"/>
    <w:rsid w:val="74D15BAF"/>
    <w:rsid w:val="760B4F58"/>
    <w:rsid w:val="785E5813"/>
    <w:rsid w:val="7A3714B3"/>
    <w:rsid w:val="7DB0621B"/>
    <w:rsid w:val="7F2E23E3"/>
    <w:rsid w:val="7FE8525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0" w:semiHidden="0"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qFormat="1"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autoRedefine/>
    <w:qFormat/>
    <w:uiPriority w:val="9"/>
    <w:pPr>
      <w:keepNext/>
      <w:keepLines/>
      <w:spacing w:before="340" w:beforeLines="0" w:beforeAutospacing="0" w:after="330" w:afterLines="0" w:afterAutospacing="0" w:line="576" w:lineRule="auto"/>
      <w:outlineLvl w:val="0"/>
    </w:pPr>
    <w:rPr>
      <w:b/>
      <w:kern w:val="44"/>
      <w:sz w:val="44"/>
    </w:rPr>
  </w:style>
  <w:style w:type="paragraph" w:styleId="4">
    <w:name w:val="heading 2"/>
    <w:basedOn w:val="1"/>
    <w:next w:val="1"/>
    <w:autoRedefine/>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paragraph" w:styleId="5">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3">
    <w:name w:val="Default Paragraph Font"/>
    <w:autoRedefine/>
    <w:unhideWhenUsed/>
    <w:qFormat/>
    <w:uiPriority w:val="1"/>
  </w:style>
  <w:style w:type="table" w:default="1" w:styleId="11">
    <w:name w:val="Normal Table"/>
    <w:autoRedefine/>
    <w:unhideWhenUsed/>
    <w:qFormat/>
    <w:uiPriority w:val="99"/>
    <w:tblPr>
      <w:tblCellMar>
        <w:top w:w="0" w:type="dxa"/>
        <w:left w:w="108" w:type="dxa"/>
        <w:bottom w:w="0" w:type="dxa"/>
        <w:right w:w="108" w:type="dxa"/>
      </w:tblCellMar>
    </w:tblPr>
  </w:style>
  <w:style w:type="paragraph" w:styleId="2">
    <w:name w:val="footer"/>
    <w:basedOn w:val="1"/>
    <w:link w:val="15"/>
    <w:autoRedefine/>
    <w:unhideWhenUsed/>
    <w:qFormat/>
    <w:uiPriority w:val="99"/>
    <w:pPr>
      <w:tabs>
        <w:tab w:val="center" w:pos="4153"/>
        <w:tab w:val="right" w:pos="8306"/>
      </w:tabs>
      <w:snapToGrid w:val="0"/>
      <w:jc w:val="left"/>
    </w:pPr>
    <w:rPr>
      <w:sz w:val="18"/>
      <w:szCs w:val="18"/>
    </w:rPr>
  </w:style>
  <w:style w:type="paragraph" w:styleId="6">
    <w:name w:val="Body Text"/>
    <w:basedOn w:val="1"/>
    <w:qFormat/>
    <w:uiPriority w:val="0"/>
    <w:pPr>
      <w:spacing w:after="120"/>
    </w:pPr>
  </w:style>
  <w:style w:type="paragraph" w:styleId="7">
    <w:name w:val="header"/>
    <w:basedOn w:val="1"/>
    <w:link w:val="1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semiHidden/>
    <w:unhideWhenUsed/>
    <w:qFormat/>
    <w:uiPriority w:val="39"/>
  </w:style>
  <w:style w:type="paragraph" w:styleId="9">
    <w:name w:val="toc 2"/>
    <w:basedOn w:val="1"/>
    <w:next w:val="1"/>
    <w:autoRedefine/>
    <w:semiHidden/>
    <w:unhideWhenUsed/>
    <w:qFormat/>
    <w:uiPriority w:val="39"/>
    <w:pPr>
      <w:ind w:left="420" w:leftChars="200"/>
    </w:pPr>
  </w:style>
  <w:style w:type="paragraph" w:styleId="10">
    <w:name w:val="Body Text First Indent"/>
    <w:basedOn w:val="6"/>
    <w:qFormat/>
    <w:uiPriority w:val="0"/>
    <w:pPr>
      <w:spacing w:after="120" w:line="240" w:lineRule="auto"/>
      <w:ind w:firstLine="240" w:firstLineChars="100"/>
    </w:pPr>
    <w:rPr>
      <w:rFonts w:ascii="楷体_GB2312" w:eastAsia="楷体_GB2312"/>
      <w:snapToGrid w:val="0"/>
      <w:kern w:val="0"/>
      <w:sz w:val="24"/>
      <w:lang w:val="zh-CN"/>
    </w:rPr>
  </w:style>
  <w:style w:type="table" w:styleId="12">
    <w:name w:val="Table Grid"/>
    <w:basedOn w:val="11"/>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4">
    <w:name w:val="页眉 Char"/>
    <w:basedOn w:val="13"/>
    <w:link w:val="7"/>
    <w:qFormat/>
    <w:uiPriority w:val="99"/>
    <w:rPr>
      <w:sz w:val="18"/>
      <w:szCs w:val="18"/>
    </w:rPr>
  </w:style>
  <w:style w:type="character" w:customStyle="1" w:styleId="15">
    <w:name w:val="页脚 Char"/>
    <w:basedOn w:val="13"/>
    <w:link w:val="2"/>
    <w:qFormat/>
    <w:uiPriority w:val="99"/>
    <w:rPr>
      <w:sz w:val="18"/>
      <w:szCs w:val="18"/>
    </w:rPr>
  </w:style>
  <w:style w:type="paragraph" w:customStyle="1" w:styleId="16">
    <w:name w:val="WPSOffice手动目录 1"/>
    <w:autoRedefine/>
    <w:qFormat/>
    <w:uiPriority w:val="0"/>
    <w:pPr>
      <w:ind w:leftChars="0"/>
    </w:pPr>
    <w:rPr>
      <w:rFonts w:ascii="Times New Roman" w:hAnsi="Times New Roman" w:eastAsia="宋体" w:cs="Times New Roman"/>
      <w:sz w:val="20"/>
      <w:szCs w:val="20"/>
    </w:rPr>
  </w:style>
  <w:style w:type="paragraph" w:customStyle="1" w:styleId="17">
    <w:name w:val="WPSOffice手动目录 2"/>
    <w:qFormat/>
    <w:uiPriority w:val="0"/>
    <w:pPr>
      <w:ind w:leftChars="200"/>
    </w:pPr>
    <w:rPr>
      <w:rFonts w:ascii="Times New Roman" w:hAnsi="Times New Roman" w:eastAsia="宋体" w:cs="Times New Roman"/>
      <w:sz w:val="20"/>
      <w:szCs w:val="20"/>
    </w:rPr>
  </w:style>
  <w:style w:type="character" w:customStyle="1" w:styleId="18">
    <w:name w:val="font31"/>
    <w:basedOn w:val="13"/>
    <w:autoRedefine/>
    <w:qFormat/>
    <w:uiPriority w:val="0"/>
    <w:rPr>
      <w:rFonts w:hint="eastAsia" w:ascii="仿宋" w:hAnsi="仿宋" w:eastAsia="仿宋" w:cs="仿宋"/>
      <w:color w:val="000000"/>
      <w:sz w:val="24"/>
      <w:szCs w:val="24"/>
      <w:u w:val="none"/>
    </w:rPr>
  </w:style>
  <w:style w:type="character" w:customStyle="1" w:styleId="19">
    <w:name w:val="font41"/>
    <w:basedOn w:val="13"/>
    <w:autoRedefine/>
    <w:qFormat/>
    <w:uiPriority w:val="0"/>
    <w:rPr>
      <w:rFonts w:ascii="Arial" w:hAnsi="Arial" w:cs="Arial"/>
      <w:color w:val="000000"/>
      <w:sz w:val="24"/>
      <w:szCs w:val="24"/>
      <w:u w:val="none"/>
    </w:rPr>
  </w:style>
  <w:style w:type="character" w:customStyle="1" w:styleId="20">
    <w:name w:val="font21"/>
    <w:basedOn w:val="13"/>
    <w:autoRedefine/>
    <w:qFormat/>
    <w:uiPriority w:val="0"/>
    <w:rPr>
      <w:rFonts w:hint="eastAsia" w:ascii="仿宋" w:hAnsi="仿宋" w:eastAsia="仿宋" w:cs="仿宋"/>
      <w:color w:val="000000"/>
      <w:sz w:val="24"/>
      <w:szCs w:val="24"/>
      <w:u w:val="none"/>
    </w:rPr>
  </w:style>
  <w:style w:type="character" w:customStyle="1" w:styleId="21">
    <w:name w:val="font61"/>
    <w:basedOn w:val="13"/>
    <w:autoRedefine/>
    <w:qFormat/>
    <w:uiPriority w:val="0"/>
    <w:rPr>
      <w:rFonts w:ascii="Arial" w:hAnsi="Arial" w:cs="Arial"/>
      <w:color w:val="000000"/>
      <w:sz w:val="24"/>
      <w:szCs w:val="24"/>
      <w:u w:val="none"/>
    </w:rPr>
  </w:style>
  <w:style w:type="character" w:customStyle="1" w:styleId="22">
    <w:name w:val="font11"/>
    <w:basedOn w:val="13"/>
    <w:autoRedefine/>
    <w:qFormat/>
    <w:uiPriority w:val="0"/>
    <w:rPr>
      <w:rFonts w:hint="eastAsia" w:ascii="仿宋_GB2312" w:eastAsia="仿宋_GB2312" w:cs="仿宋_GB2312"/>
      <w:b/>
      <w:bCs/>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4104" textRotate="1"/>
    <customShpInfo spid="_x0000_s410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18</Pages>
  <Words>1002</Words>
  <Characters>1213</Characters>
  <Lines>3</Lines>
  <Paragraphs>1</Paragraphs>
  <TotalTime>17</TotalTime>
  <ScaleCrop>false</ScaleCrop>
  <LinksUpToDate>false</LinksUpToDate>
  <CharactersWithSpaces>1251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小皮.</cp:lastModifiedBy>
  <cp:lastPrinted>2022-01-10T06:18:00Z</cp:lastPrinted>
  <dcterms:modified xsi:type="dcterms:W3CDTF">2025-03-28T10:59:54Z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E20D95B5D4C04D9A8BC7CD31B265D86F</vt:lpwstr>
  </property>
  <property fmtid="{D5CDD505-2E9C-101B-9397-08002B2CF9AE}" pid="4" name="KSOTemplateDocerSaveRecord">
    <vt:lpwstr>eyJoZGlkIjoiNWNmMjgxZjczNGMwM2Y5NmQ3MTBkNzM1NjZhMDJjYmUiLCJ1c2VySWQiOiI2OTY4ODM2NTAifQ==</vt:lpwstr>
  </property>
</Properties>
</file>