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中共石家庄市委金融委员会办公室</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中共石家庄市委金融委员会办公室（以下简称“我办”）</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2" w:firstLineChars="200"/>
        <w:rPr>
          <w:rFonts w:hint="eastAsia" w:ascii="仿宋" w:hAnsi="仿宋" w:eastAsia="仿宋"/>
          <w:b/>
          <w:bCs/>
          <w:sz w:val="32"/>
          <w:szCs w:val="32"/>
        </w:rPr>
      </w:pPr>
      <w:r>
        <w:rPr>
          <w:rFonts w:hint="eastAsia" w:ascii="仿宋" w:hAnsi="仿宋" w:eastAsia="仿宋"/>
          <w:b/>
          <w:bCs/>
          <w:sz w:val="32"/>
          <w:szCs w:val="32"/>
          <w:lang w:val="en-US" w:eastAsia="zh-CN"/>
        </w:rPr>
        <w:t>1.</w:t>
      </w:r>
      <w:r>
        <w:rPr>
          <w:rFonts w:hint="eastAsia" w:ascii="仿宋" w:hAnsi="仿宋" w:eastAsia="仿宋"/>
          <w:b/>
          <w:bCs/>
          <w:sz w:val="32"/>
          <w:szCs w:val="32"/>
        </w:rPr>
        <w:t>部门职能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办负责贯彻落实党中央关于金融工作的方针政策和决策部署，落实省委、市委工作安排，把坚持和加强党中央对金融工作的集中统一领导落实到履行职责过程中。主要职责是:统筹协调辖区内金融相关工作，牵头开展全市金融安全稳定和改革发展的规划、政策、问题等研究；协调组织全市金融风险防范和处置化解，推动各县（市、区）落实属地责任，配合上级金融管理部门做好重大金融风险处置工作；负责全市地方金融组织市场准入审核、监督管理和风险处置工作；协调推进全市营造健康优质的金融环境；协调开展全市金融领域重点工作落实情况督查；贯彻落实党中央关于金融系统党的建设的方针政策和决策部署等</w:t>
      </w:r>
      <w:r>
        <w:rPr>
          <w:rFonts w:hint="eastAsia" w:ascii="仿宋" w:hAnsi="仿宋" w:eastAsia="仿宋"/>
          <w:sz w:val="32"/>
          <w:szCs w:val="32"/>
          <w:lang w:eastAsia="zh-CN"/>
        </w:rPr>
        <w:t>；</w:t>
      </w:r>
      <w:r>
        <w:rPr>
          <w:rFonts w:hint="eastAsia" w:ascii="仿宋" w:hAnsi="仿宋" w:eastAsia="仿宋"/>
          <w:sz w:val="32"/>
          <w:szCs w:val="32"/>
        </w:rPr>
        <w:t>完成市委、市政府交办的其他任务。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组织机构及人员</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我</w:t>
      </w:r>
      <w:r>
        <w:rPr>
          <w:rFonts w:hint="eastAsia" w:ascii="仿宋" w:hAnsi="仿宋" w:eastAsia="仿宋"/>
          <w:sz w:val="32"/>
          <w:szCs w:val="32"/>
          <w:highlight w:val="none"/>
          <w:lang w:eastAsia="zh-CN"/>
        </w:rPr>
        <w:t>办</w:t>
      </w:r>
      <w:r>
        <w:rPr>
          <w:rFonts w:hint="eastAsia" w:ascii="仿宋" w:hAnsi="仿宋" w:eastAsia="仿宋"/>
          <w:sz w:val="32"/>
          <w:szCs w:val="32"/>
          <w:highlight w:val="none"/>
        </w:rPr>
        <w:t>为行政机关，9个内设机构，编制</w:t>
      </w:r>
      <w:r>
        <w:rPr>
          <w:rFonts w:hint="eastAsia" w:ascii="仿宋" w:hAnsi="仿宋" w:eastAsia="仿宋"/>
          <w:sz w:val="32"/>
          <w:szCs w:val="32"/>
          <w:highlight w:val="none"/>
          <w:lang w:val="en-US" w:eastAsia="zh-CN"/>
        </w:rPr>
        <w:t>48</w:t>
      </w:r>
      <w:r>
        <w:rPr>
          <w:rFonts w:hint="eastAsia" w:ascii="仿宋" w:hAnsi="仿宋" w:eastAsia="仿宋"/>
          <w:sz w:val="32"/>
          <w:szCs w:val="32"/>
          <w:highlight w:val="none"/>
        </w:rPr>
        <w:t>人，实有</w:t>
      </w:r>
      <w:r>
        <w:rPr>
          <w:rFonts w:hint="eastAsia" w:ascii="仿宋" w:hAnsi="仿宋" w:eastAsia="仿宋"/>
          <w:sz w:val="32"/>
          <w:szCs w:val="32"/>
          <w:highlight w:val="none"/>
          <w:lang w:val="en-US" w:eastAsia="zh-CN"/>
        </w:rPr>
        <w:t>48</w:t>
      </w:r>
      <w:r>
        <w:rPr>
          <w:rFonts w:hint="eastAsia" w:ascii="仿宋" w:hAnsi="仿宋" w:eastAsia="仿宋"/>
          <w:sz w:val="32"/>
          <w:szCs w:val="32"/>
          <w:highlight w:val="none"/>
        </w:rPr>
        <w:t>人，其中</w:t>
      </w:r>
      <w:r>
        <w:rPr>
          <w:rFonts w:hint="eastAsia" w:ascii="仿宋" w:hAnsi="仿宋" w:eastAsia="仿宋"/>
          <w:sz w:val="32"/>
          <w:szCs w:val="32"/>
          <w:highlight w:val="none"/>
          <w:lang w:val="en-US" w:eastAsia="zh-CN"/>
        </w:rPr>
        <w:t>46</w:t>
      </w:r>
      <w:r>
        <w:rPr>
          <w:rFonts w:hint="eastAsia" w:ascii="仿宋" w:hAnsi="仿宋" w:eastAsia="仿宋"/>
          <w:sz w:val="32"/>
          <w:szCs w:val="32"/>
          <w:highlight w:val="none"/>
        </w:rPr>
        <w:t>人为行政人员，2人为工勤人员。</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资产基本情况</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截至202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年底，我</w:t>
      </w:r>
      <w:r>
        <w:rPr>
          <w:rFonts w:hint="eastAsia" w:ascii="仿宋" w:hAnsi="仿宋" w:eastAsia="仿宋"/>
          <w:sz w:val="32"/>
          <w:szCs w:val="32"/>
          <w:highlight w:val="none"/>
          <w:lang w:eastAsia="zh-CN"/>
        </w:rPr>
        <w:t>办</w:t>
      </w:r>
      <w:r>
        <w:rPr>
          <w:rFonts w:hint="eastAsia" w:ascii="仿宋" w:hAnsi="仿宋" w:eastAsia="仿宋"/>
          <w:sz w:val="32"/>
          <w:szCs w:val="32"/>
          <w:highlight w:val="none"/>
        </w:rPr>
        <w:t>共有资产</w:t>
      </w:r>
      <w:r>
        <w:rPr>
          <w:rFonts w:hint="eastAsia" w:ascii="仿宋" w:hAnsi="仿宋" w:eastAsia="仿宋"/>
          <w:sz w:val="32"/>
          <w:szCs w:val="32"/>
          <w:highlight w:val="none"/>
          <w:lang w:val="en-US" w:eastAsia="zh-CN"/>
        </w:rPr>
        <w:t>71.09</w:t>
      </w:r>
      <w:r>
        <w:rPr>
          <w:rFonts w:hint="eastAsia" w:ascii="仿宋" w:hAnsi="仿宋" w:eastAsia="仿宋"/>
          <w:sz w:val="32"/>
          <w:szCs w:val="32"/>
          <w:highlight w:val="none"/>
        </w:rPr>
        <w:t>万元，其中：货币资金</w:t>
      </w:r>
      <w:r>
        <w:rPr>
          <w:rFonts w:hint="eastAsia" w:ascii="仿宋" w:hAnsi="仿宋" w:eastAsia="仿宋"/>
          <w:sz w:val="32"/>
          <w:szCs w:val="32"/>
          <w:highlight w:val="none"/>
          <w:lang w:val="en-US" w:eastAsia="zh-CN"/>
        </w:rPr>
        <w:t>5.20</w:t>
      </w:r>
      <w:r>
        <w:rPr>
          <w:rFonts w:hint="eastAsia" w:ascii="仿宋" w:hAnsi="仿宋" w:eastAsia="仿宋"/>
          <w:sz w:val="32"/>
          <w:szCs w:val="32"/>
          <w:highlight w:val="none"/>
        </w:rPr>
        <w:t>万元、固定资产净值</w:t>
      </w:r>
      <w:r>
        <w:rPr>
          <w:rFonts w:hint="eastAsia" w:ascii="仿宋" w:hAnsi="仿宋" w:eastAsia="仿宋"/>
          <w:sz w:val="32"/>
          <w:szCs w:val="32"/>
          <w:highlight w:val="none"/>
          <w:lang w:val="en-US" w:eastAsia="zh-CN"/>
        </w:rPr>
        <w:t>65.80</w:t>
      </w:r>
      <w:r>
        <w:rPr>
          <w:rFonts w:hint="eastAsia" w:ascii="仿宋" w:hAnsi="仿宋" w:eastAsia="仿宋"/>
          <w:sz w:val="32"/>
          <w:szCs w:val="32"/>
          <w:highlight w:val="none"/>
        </w:rPr>
        <w:t>万元。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CESI仿宋-GB2312" w:hAnsi="CESI仿宋-GB2312" w:eastAsia="CESI仿宋-GB2312" w:cs="CESI仿宋-GB2312"/>
          <w:bCs/>
          <w:sz w:val="32"/>
          <w:szCs w:val="32"/>
          <w:lang w:val="en-US" w:eastAsia="zh-CN"/>
        </w:rPr>
      </w:pPr>
      <w:r>
        <w:rPr>
          <w:rFonts w:hint="eastAsia" w:ascii="CESI仿宋-GB2312" w:hAnsi="CESI仿宋-GB2312" w:eastAsia="CESI仿宋-GB2312" w:cs="CESI仿宋-GB2312"/>
          <w:bCs/>
          <w:sz w:val="32"/>
          <w:szCs w:val="32"/>
          <w:lang w:val="en-US" w:eastAsia="zh-CN"/>
        </w:rPr>
        <w:t>1.预算安排情况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bCs/>
          <w:sz w:val="32"/>
          <w:szCs w:val="32"/>
        </w:rPr>
      </w:pPr>
      <w:r>
        <w:rPr>
          <w:rFonts w:hint="eastAsia" w:ascii="CESI仿宋-GB2312" w:hAnsi="CESI仿宋-GB2312" w:eastAsia="CESI仿宋-GB2312" w:cs="CESI仿宋-GB2312"/>
          <w:bCs/>
          <w:sz w:val="32"/>
          <w:szCs w:val="32"/>
        </w:rPr>
        <w:t>202</w:t>
      </w:r>
      <w:r>
        <w:rPr>
          <w:rFonts w:hint="eastAsia" w:ascii="CESI仿宋-GB2312" w:hAnsi="CESI仿宋-GB2312" w:eastAsia="CESI仿宋-GB2312" w:cs="CESI仿宋-GB2312"/>
          <w:bCs/>
          <w:sz w:val="32"/>
          <w:szCs w:val="32"/>
          <w:lang w:val="en-US" w:eastAsia="zh-CN"/>
        </w:rPr>
        <w:t>4</w:t>
      </w:r>
      <w:r>
        <w:rPr>
          <w:rFonts w:hint="eastAsia" w:ascii="CESI仿宋-GB2312" w:hAnsi="CESI仿宋-GB2312" w:eastAsia="CESI仿宋-GB2312" w:cs="CESI仿宋-GB2312"/>
          <w:bCs/>
          <w:sz w:val="32"/>
          <w:szCs w:val="32"/>
        </w:rPr>
        <w:t>年我办预算收入</w:t>
      </w:r>
      <w:r>
        <w:rPr>
          <w:rFonts w:hint="eastAsia" w:ascii="CESI仿宋-GB2312" w:hAnsi="CESI仿宋-GB2312" w:eastAsia="CESI仿宋-GB2312" w:cs="CESI仿宋-GB2312"/>
          <w:bCs/>
          <w:sz w:val="32"/>
          <w:szCs w:val="32"/>
          <w:lang w:val="en-US" w:eastAsia="zh-CN"/>
        </w:rPr>
        <w:t>6792.44</w:t>
      </w:r>
      <w:r>
        <w:rPr>
          <w:rFonts w:hint="eastAsia" w:ascii="CESI仿宋-GB2312" w:hAnsi="CESI仿宋-GB2312" w:eastAsia="CESI仿宋-GB2312" w:cs="CESI仿宋-GB2312"/>
          <w:bCs/>
          <w:sz w:val="32"/>
          <w:szCs w:val="32"/>
        </w:rPr>
        <w:t>万元，均为一般公共预算财政拨款收入。</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bCs/>
          <w:sz w:val="32"/>
          <w:szCs w:val="32"/>
        </w:rPr>
      </w:pPr>
      <w:r>
        <w:rPr>
          <w:rFonts w:hint="eastAsia" w:ascii="CESI仿宋-GB2312" w:hAnsi="CESI仿宋-GB2312" w:eastAsia="CESI仿宋-GB2312" w:cs="CESI仿宋-GB2312"/>
          <w:bCs/>
          <w:sz w:val="32"/>
          <w:szCs w:val="32"/>
        </w:rPr>
        <w:t>202</w:t>
      </w:r>
      <w:r>
        <w:rPr>
          <w:rFonts w:hint="eastAsia" w:ascii="CESI仿宋-GB2312" w:hAnsi="CESI仿宋-GB2312" w:eastAsia="CESI仿宋-GB2312" w:cs="CESI仿宋-GB2312"/>
          <w:bCs/>
          <w:sz w:val="32"/>
          <w:szCs w:val="32"/>
          <w:lang w:val="en-US" w:eastAsia="zh-CN"/>
        </w:rPr>
        <w:t>4</w:t>
      </w:r>
      <w:r>
        <w:rPr>
          <w:rFonts w:hint="eastAsia" w:ascii="CESI仿宋-GB2312" w:hAnsi="CESI仿宋-GB2312" w:eastAsia="CESI仿宋-GB2312" w:cs="CESI仿宋-GB2312"/>
          <w:bCs/>
          <w:sz w:val="32"/>
          <w:szCs w:val="32"/>
        </w:rPr>
        <w:t>年预算支出</w:t>
      </w:r>
      <w:r>
        <w:rPr>
          <w:rFonts w:hint="eastAsia" w:ascii="CESI仿宋-GB2312" w:hAnsi="CESI仿宋-GB2312" w:eastAsia="CESI仿宋-GB2312" w:cs="CESI仿宋-GB2312"/>
          <w:bCs/>
          <w:sz w:val="32"/>
          <w:szCs w:val="32"/>
          <w:lang w:val="en-US" w:eastAsia="zh-CN"/>
        </w:rPr>
        <w:t>6792.44</w:t>
      </w:r>
      <w:r>
        <w:rPr>
          <w:rFonts w:hint="eastAsia" w:ascii="CESI仿宋-GB2312" w:hAnsi="CESI仿宋-GB2312" w:eastAsia="CESI仿宋-GB2312" w:cs="CESI仿宋-GB2312"/>
          <w:bCs/>
          <w:sz w:val="32"/>
          <w:szCs w:val="32"/>
        </w:rPr>
        <w:t>万元，其中：基本支出</w:t>
      </w:r>
      <w:r>
        <w:rPr>
          <w:rFonts w:hint="eastAsia" w:ascii="CESI仿宋-GB2312" w:hAnsi="CESI仿宋-GB2312" w:eastAsia="CESI仿宋-GB2312" w:cs="CESI仿宋-GB2312"/>
          <w:bCs/>
          <w:sz w:val="32"/>
          <w:szCs w:val="32"/>
          <w:lang w:val="en-US" w:eastAsia="zh-CN"/>
        </w:rPr>
        <w:t>1026.34</w:t>
      </w:r>
      <w:r>
        <w:rPr>
          <w:rFonts w:hint="eastAsia" w:ascii="CESI仿宋-GB2312" w:hAnsi="CESI仿宋-GB2312" w:eastAsia="CESI仿宋-GB2312" w:cs="CESI仿宋-GB2312"/>
          <w:bCs/>
          <w:sz w:val="32"/>
          <w:szCs w:val="32"/>
        </w:rPr>
        <w:t>万元，包括人员经费</w:t>
      </w:r>
      <w:r>
        <w:rPr>
          <w:rFonts w:hint="eastAsia" w:ascii="CESI仿宋-GB2312" w:hAnsi="CESI仿宋-GB2312" w:eastAsia="CESI仿宋-GB2312" w:cs="CESI仿宋-GB2312"/>
          <w:bCs/>
          <w:sz w:val="32"/>
          <w:szCs w:val="32"/>
          <w:lang w:val="en-US" w:eastAsia="zh-CN"/>
        </w:rPr>
        <w:t>909.02</w:t>
      </w:r>
      <w:r>
        <w:rPr>
          <w:rFonts w:hint="eastAsia" w:ascii="CESI仿宋-GB2312" w:hAnsi="CESI仿宋-GB2312" w:eastAsia="CESI仿宋-GB2312" w:cs="CESI仿宋-GB2312"/>
          <w:bCs/>
          <w:sz w:val="32"/>
          <w:szCs w:val="32"/>
        </w:rPr>
        <w:t>万元和公用经费</w:t>
      </w:r>
      <w:r>
        <w:rPr>
          <w:rFonts w:hint="eastAsia" w:ascii="CESI仿宋-GB2312" w:hAnsi="CESI仿宋-GB2312" w:eastAsia="CESI仿宋-GB2312" w:cs="CESI仿宋-GB2312"/>
          <w:bCs/>
          <w:sz w:val="32"/>
          <w:szCs w:val="32"/>
          <w:lang w:val="en-US" w:eastAsia="zh-CN"/>
        </w:rPr>
        <w:t>117.32</w:t>
      </w:r>
      <w:r>
        <w:rPr>
          <w:rFonts w:hint="eastAsia" w:ascii="CESI仿宋-GB2312" w:hAnsi="CESI仿宋-GB2312" w:eastAsia="CESI仿宋-GB2312" w:cs="CESI仿宋-GB2312"/>
          <w:bCs/>
          <w:sz w:val="32"/>
          <w:szCs w:val="32"/>
        </w:rPr>
        <w:t>万元；项目支出</w:t>
      </w:r>
      <w:r>
        <w:rPr>
          <w:rFonts w:hint="eastAsia" w:ascii="CESI仿宋-GB2312" w:hAnsi="CESI仿宋-GB2312" w:eastAsia="CESI仿宋-GB2312" w:cs="CESI仿宋-GB2312"/>
          <w:bCs/>
          <w:sz w:val="32"/>
          <w:szCs w:val="32"/>
          <w:lang w:val="en-US" w:eastAsia="zh-CN"/>
        </w:rPr>
        <w:t>5766.10</w:t>
      </w:r>
      <w:r>
        <w:rPr>
          <w:rFonts w:hint="eastAsia" w:ascii="CESI仿宋-GB2312" w:hAnsi="CESI仿宋-GB2312" w:eastAsia="CESI仿宋-GB2312" w:cs="CESI仿宋-GB2312"/>
          <w:bCs/>
          <w:sz w:val="32"/>
          <w:szCs w:val="32"/>
        </w:rPr>
        <w:t>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bCs/>
          <w:sz w:val="32"/>
          <w:szCs w:val="32"/>
          <w:lang w:val="en-US" w:eastAsia="zh-CN"/>
        </w:rPr>
      </w:pPr>
      <w:r>
        <w:rPr>
          <w:rFonts w:hint="eastAsia" w:ascii="CESI仿宋-GB2312" w:hAnsi="CESI仿宋-GB2312" w:eastAsia="CESI仿宋-GB2312" w:cs="CESI仿宋-GB2312"/>
          <w:bCs/>
          <w:sz w:val="32"/>
          <w:szCs w:val="32"/>
          <w:lang w:val="en-US" w:eastAsia="zh-CN"/>
        </w:rPr>
        <w:t>2.决算情况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CESI仿宋-GB2312" w:hAnsi="CESI仿宋-GB2312" w:eastAsia="CESI仿宋-GB2312" w:cs="CESI仿宋-GB2312"/>
          <w:bCs/>
          <w:sz w:val="32"/>
          <w:szCs w:val="32"/>
          <w:lang w:val="en-US" w:eastAsia="zh-CN"/>
        </w:rPr>
      </w:pPr>
      <w:r>
        <w:rPr>
          <w:rFonts w:hint="default" w:ascii="CESI仿宋-GB2312" w:hAnsi="CESI仿宋-GB2312" w:eastAsia="CESI仿宋-GB2312" w:cs="CESI仿宋-GB2312"/>
          <w:bCs/>
          <w:sz w:val="32"/>
          <w:szCs w:val="32"/>
          <w:lang w:val="en-US" w:eastAsia="zh-CN"/>
        </w:rPr>
        <w:t>202</w:t>
      </w:r>
      <w:r>
        <w:rPr>
          <w:rFonts w:hint="eastAsia" w:ascii="CESI仿宋-GB2312" w:hAnsi="CESI仿宋-GB2312" w:eastAsia="CESI仿宋-GB2312" w:cs="CESI仿宋-GB2312"/>
          <w:bCs/>
          <w:sz w:val="32"/>
          <w:szCs w:val="32"/>
          <w:lang w:val="en-US" w:eastAsia="zh-CN"/>
        </w:rPr>
        <w:t>4</w:t>
      </w:r>
      <w:r>
        <w:rPr>
          <w:rFonts w:hint="default" w:ascii="CESI仿宋-GB2312" w:hAnsi="CESI仿宋-GB2312" w:eastAsia="CESI仿宋-GB2312" w:cs="CESI仿宋-GB2312"/>
          <w:bCs/>
          <w:sz w:val="32"/>
          <w:szCs w:val="32"/>
          <w:lang w:val="en-US" w:eastAsia="zh-CN"/>
        </w:rPr>
        <w:t>年我办收入决算6783.78万元，其中：一般公共预算财政拨款收入6783.78万元。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CESI仿宋-GB2312" w:hAnsi="CESI仿宋-GB2312" w:eastAsia="CESI仿宋-GB2312" w:cs="CESI仿宋-GB2312"/>
          <w:bCs/>
          <w:sz w:val="32"/>
          <w:szCs w:val="32"/>
          <w:lang w:val="en-US" w:eastAsia="zh-CN"/>
        </w:rPr>
      </w:pPr>
      <w:r>
        <w:rPr>
          <w:rFonts w:hint="default" w:ascii="CESI仿宋-GB2312" w:hAnsi="CESI仿宋-GB2312" w:eastAsia="CESI仿宋-GB2312" w:cs="CESI仿宋-GB2312"/>
          <w:bCs/>
          <w:sz w:val="32"/>
          <w:szCs w:val="32"/>
          <w:lang w:val="en-US" w:eastAsia="zh-CN"/>
        </w:rPr>
        <w:t>202</w:t>
      </w:r>
      <w:r>
        <w:rPr>
          <w:rFonts w:hint="eastAsia" w:ascii="CESI仿宋-GB2312" w:hAnsi="CESI仿宋-GB2312" w:eastAsia="CESI仿宋-GB2312" w:cs="CESI仿宋-GB2312"/>
          <w:bCs/>
          <w:sz w:val="32"/>
          <w:szCs w:val="32"/>
          <w:lang w:val="en-US" w:eastAsia="zh-CN"/>
        </w:rPr>
        <w:t>4</w:t>
      </w:r>
      <w:r>
        <w:rPr>
          <w:rFonts w:hint="default" w:ascii="CESI仿宋-GB2312" w:hAnsi="CESI仿宋-GB2312" w:eastAsia="CESI仿宋-GB2312" w:cs="CESI仿宋-GB2312"/>
          <w:bCs/>
          <w:sz w:val="32"/>
          <w:szCs w:val="32"/>
          <w:lang w:val="en-US" w:eastAsia="zh-CN"/>
        </w:rPr>
        <w:t>年支出决算</w:t>
      </w:r>
      <w:r>
        <w:rPr>
          <w:rFonts w:hint="eastAsia" w:ascii="CESI仿宋-GB2312" w:hAnsi="CESI仿宋-GB2312" w:eastAsia="CESI仿宋-GB2312" w:cs="CESI仿宋-GB2312"/>
          <w:bCs/>
          <w:sz w:val="32"/>
          <w:szCs w:val="32"/>
          <w:lang w:val="en-US" w:eastAsia="zh-CN"/>
        </w:rPr>
        <w:t>6783.78</w:t>
      </w:r>
      <w:r>
        <w:rPr>
          <w:rFonts w:hint="default" w:ascii="CESI仿宋-GB2312" w:hAnsi="CESI仿宋-GB2312" w:eastAsia="CESI仿宋-GB2312" w:cs="CESI仿宋-GB2312"/>
          <w:bCs/>
          <w:sz w:val="32"/>
          <w:szCs w:val="32"/>
          <w:lang w:val="en-US" w:eastAsia="zh-CN"/>
        </w:rPr>
        <w:t>万元，其中：基本支出</w:t>
      </w:r>
      <w:r>
        <w:rPr>
          <w:rFonts w:hint="eastAsia" w:ascii="CESI仿宋-GB2312" w:hAnsi="CESI仿宋-GB2312" w:eastAsia="CESI仿宋-GB2312" w:cs="CESI仿宋-GB2312"/>
          <w:bCs/>
          <w:sz w:val="32"/>
          <w:szCs w:val="32"/>
          <w:lang w:val="en-US" w:eastAsia="zh-CN"/>
        </w:rPr>
        <w:t>1019.33</w:t>
      </w:r>
      <w:r>
        <w:rPr>
          <w:rFonts w:hint="default" w:ascii="CESI仿宋-GB2312" w:hAnsi="CESI仿宋-GB2312" w:eastAsia="CESI仿宋-GB2312" w:cs="CESI仿宋-GB2312"/>
          <w:bCs/>
          <w:sz w:val="32"/>
          <w:szCs w:val="32"/>
          <w:lang w:val="en-US" w:eastAsia="zh-CN"/>
        </w:rPr>
        <w:t>万元，包括人员经费</w:t>
      </w:r>
      <w:r>
        <w:rPr>
          <w:rFonts w:hint="eastAsia" w:ascii="CESI仿宋-GB2312" w:hAnsi="CESI仿宋-GB2312" w:eastAsia="CESI仿宋-GB2312" w:cs="CESI仿宋-GB2312"/>
          <w:bCs/>
          <w:sz w:val="32"/>
          <w:szCs w:val="32"/>
          <w:lang w:val="en-US" w:eastAsia="zh-CN"/>
        </w:rPr>
        <w:t>903.48</w:t>
      </w:r>
      <w:r>
        <w:rPr>
          <w:rFonts w:hint="default" w:ascii="CESI仿宋-GB2312" w:hAnsi="CESI仿宋-GB2312" w:eastAsia="CESI仿宋-GB2312" w:cs="CESI仿宋-GB2312"/>
          <w:bCs/>
          <w:sz w:val="32"/>
          <w:szCs w:val="32"/>
          <w:lang w:val="en-US" w:eastAsia="zh-CN"/>
        </w:rPr>
        <w:t>万元和公用经费</w:t>
      </w:r>
      <w:r>
        <w:rPr>
          <w:rFonts w:hint="eastAsia" w:ascii="CESI仿宋-GB2312" w:hAnsi="CESI仿宋-GB2312" w:eastAsia="CESI仿宋-GB2312" w:cs="CESI仿宋-GB2312"/>
          <w:bCs/>
          <w:sz w:val="32"/>
          <w:szCs w:val="32"/>
          <w:lang w:val="en-US" w:eastAsia="zh-CN"/>
        </w:rPr>
        <w:t>115.85</w:t>
      </w:r>
      <w:r>
        <w:rPr>
          <w:rFonts w:hint="default" w:ascii="CESI仿宋-GB2312" w:hAnsi="CESI仿宋-GB2312" w:eastAsia="CESI仿宋-GB2312" w:cs="CESI仿宋-GB2312"/>
          <w:bCs/>
          <w:sz w:val="32"/>
          <w:szCs w:val="32"/>
          <w:lang w:val="en-US" w:eastAsia="zh-CN"/>
        </w:rPr>
        <w:t>万元；项目支出</w:t>
      </w:r>
      <w:r>
        <w:rPr>
          <w:rFonts w:hint="eastAsia" w:ascii="CESI仿宋-GB2312" w:hAnsi="CESI仿宋-GB2312" w:eastAsia="CESI仿宋-GB2312" w:cs="CESI仿宋-GB2312"/>
          <w:bCs/>
          <w:sz w:val="32"/>
          <w:szCs w:val="32"/>
          <w:lang w:val="en-US" w:eastAsia="zh-CN"/>
        </w:rPr>
        <w:t>5764.45</w:t>
      </w:r>
      <w:r>
        <w:rPr>
          <w:rFonts w:hint="default" w:ascii="CESI仿宋-GB2312" w:hAnsi="CESI仿宋-GB2312" w:eastAsia="CESI仿宋-GB2312" w:cs="CESI仿宋-GB2312"/>
          <w:bCs/>
          <w:sz w:val="32"/>
          <w:szCs w:val="32"/>
          <w:lang w:val="en-US" w:eastAsia="zh-CN"/>
        </w:rPr>
        <w:t>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2" w:firstLineChars="200"/>
        <w:rPr>
          <w:rFonts w:hint="eastAsia" w:ascii="仿宋" w:hAnsi="仿宋" w:eastAsia="仿宋"/>
          <w:b/>
          <w:bCs/>
          <w:sz w:val="32"/>
          <w:szCs w:val="32"/>
        </w:rPr>
      </w:pPr>
      <w:r>
        <w:rPr>
          <w:rFonts w:hint="eastAsia" w:ascii="仿宋" w:hAnsi="仿宋" w:eastAsia="仿宋"/>
          <w:b/>
          <w:bCs/>
          <w:sz w:val="32"/>
          <w:szCs w:val="32"/>
          <w:lang w:val="en-US" w:eastAsia="zh-CN"/>
        </w:rPr>
        <w:t>1.总体</w:t>
      </w:r>
      <w:r>
        <w:rPr>
          <w:rFonts w:hint="eastAsia" w:ascii="仿宋" w:hAnsi="仿宋" w:eastAsia="仿宋"/>
          <w:b/>
          <w:bCs/>
          <w:sz w:val="32"/>
          <w:szCs w:val="32"/>
        </w:rPr>
        <w:t>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2024年，我</w:t>
      </w:r>
      <w:r>
        <w:rPr>
          <w:rFonts w:hint="eastAsia" w:ascii="仿宋" w:hAnsi="仿宋" w:eastAsia="仿宋"/>
          <w:sz w:val="32"/>
          <w:szCs w:val="32"/>
          <w:lang w:eastAsia="zh-CN"/>
        </w:rPr>
        <w:t>办</w:t>
      </w:r>
      <w:r>
        <w:rPr>
          <w:rFonts w:hint="eastAsia" w:ascii="仿宋" w:hAnsi="仿宋" w:eastAsia="仿宋"/>
          <w:sz w:val="32"/>
          <w:szCs w:val="32"/>
        </w:rPr>
        <w:t>将继续统筹推进服务实体经济、防控金融风险、强化地方金融监管等工作，凝聚全市金融力量，完善扶持政策，优化金融资源配置，激发金融机构主体活力，推动金融服务提质、监管提效、产业提级，解决发展不平衡不充分问题，为推动高质量发展提供更加坚实有力的金融支撑，助力加快建设现代化国际化美丽省会城市。</w:t>
      </w:r>
    </w:p>
    <w:p>
      <w:pPr>
        <w:adjustRightInd w:val="0"/>
        <w:snapToGrid w:val="0"/>
        <w:spacing w:line="560" w:lineRule="exact"/>
        <w:ind w:firstLine="642" w:firstLineChars="200"/>
        <w:rPr>
          <w:rFonts w:hint="eastAsia" w:ascii="仿宋" w:hAnsi="仿宋" w:eastAsia="仿宋"/>
          <w:b/>
          <w:bCs/>
          <w:sz w:val="32"/>
          <w:szCs w:val="32"/>
          <w:lang w:eastAsia="zh-CN"/>
        </w:rPr>
      </w:pPr>
      <w:r>
        <w:rPr>
          <w:rFonts w:hint="eastAsia" w:ascii="仿宋" w:hAnsi="仿宋" w:eastAsia="仿宋"/>
          <w:b/>
          <w:bCs/>
          <w:sz w:val="32"/>
          <w:szCs w:val="32"/>
          <w:lang w:val="en-US" w:eastAsia="zh-CN"/>
        </w:rPr>
        <w:t>2.</w:t>
      </w:r>
      <w:r>
        <w:rPr>
          <w:rFonts w:hint="eastAsia" w:ascii="仿宋" w:hAnsi="仿宋" w:eastAsia="仿宋"/>
          <w:b/>
          <w:bCs/>
          <w:sz w:val="32"/>
          <w:szCs w:val="32"/>
          <w:lang w:eastAsia="zh-CN"/>
        </w:rPr>
        <w:t>分项绩效目标</w:t>
      </w:r>
    </w:p>
    <w:p>
      <w:pPr>
        <w:pStyle w:val="7"/>
        <w:numPr>
          <w:ilvl w:val="0"/>
          <w:numId w:val="0"/>
        </w:numPr>
        <w:ind w:firstLine="640" w:firstLineChars="200"/>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lang w:val="en-US" w:eastAsia="zh-CN"/>
        </w:rPr>
        <w:t>（1）</w:t>
      </w:r>
      <w:r>
        <w:rPr>
          <w:rFonts w:hint="eastAsia" w:ascii="CESI仿宋-GB2312" w:hAnsi="CESI仿宋-GB2312" w:eastAsia="CESI仿宋-GB2312" w:cs="CESI仿宋-GB2312"/>
          <w:sz w:val="32"/>
          <w:szCs w:val="32"/>
        </w:rPr>
        <w:t>进一步扩大有效信贷投放</w:t>
      </w:r>
    </w:p>
    <w:p>
      <w:pPr>
        <w:pStyle w:val="7"/>
        <w:numPr>
          <w:ilvl w:val="0"/>
          <w:numId w:val="0"/>
        </w:numPr>
        <w:ind w:firstLine="640" w:firstLineChars="200"/>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绩效目标：深入贯彻落实各项政策措施，引导金融机构扩大信贷投放，强化金融服务实体经济功能。实现全市贷款存量“稳”、增量“扩”、结构“优”、成本“降”的目标。金融机构信贷投放不断扩大，金融服务实体经济能力不断增强。</w:t>
      </w:r>
    </w:p>
    <w:p>
      <w:pPr>
        <w:pStyle w:val="7"/>
        <w:numPr>
          <w:ilvl w:val="0"/>
          <w:numId w:val="0"/>
        </w:numPr>
        <w:ind w:firstLine="640" w:firstLineChars="200"/>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绩效指标：</w:t>
      </w:r>
      <w:r>
        <w:rPr>
          <w:rFonts w:hint="eastAsia" w:ascii="CESI仿宋-GB2312" w:hAnsi="CESI仿宋-GB2312" w:eastAsia="CESI仿宋-GB2312" w:cs="CESI仿宋-GB2312"/>
          <w:sz w:val="32"/>
          <w:szCs w:val="32"/>
          <w:lang w:eastAsia="zh-CN"/>
        </w:rPr>
        <w:t>奖补企业和金融机构不少于</w:t>
      </w:r>
      <w:r>
        <w:rPr>
          <w:rFonts w:hint="eastAsia" w:ascii="CESI仿宋-GB2312" w:hAnsi="CESI仿宋-GB2312" w:eastAsia="CESI仿宋-GB2312" w:cs="CESI仿宋-GB2312"/>
          <w:sz w:val="32"/>
          <w:szCs w:val="32"/>
          <w:lang w:val="en-US" w:eastAsia="zh-CN"/>
        </w:rPr>
        <w:t>60家</w:t>
      </w:r>
      <w:r>
        <w:rPr>
          <w:rFonts w:hint="eastAsia" w:ascii="CESI仿宋-GB2312" w:hAnsi="CESI仿宋-GB2312" w:eastAsia="CESI仿宋-GB2312" w:cs="CESI仿宋-GB2312"/>
          <w:sz w:val="32"/>
          <w:szCs w:val="32"/>
        </w:rPr>
        <w:t>。</w:t>
      </w:r>
    </w:p>
    <w:p>
      <w:pPr>
        <w:pStyle w:val="7"/>
        <w:numPr>
          <w:ilvl w:val="0"/>
          <w:numId w:val="0"/>
        </w:numPr>
        <w:ind w:firstLine="640" w:firstLineChars="200"/>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lang w:val="en-US" w:eastAsia="zh-CN"/>
        </w:rPr>
        <w:t>（2）</w:t>
      </w:r>
      <w:r>
        <w:rPr>
          <w:rFonts w:hint="eastAsia" w:ascii="CESI仿宋-GB2312" w:hAnsi="CESI仿宋-GB2312" w:eastAsia="CESI仿宋-GB2312" w:cs="CESI仿宋-GB2312"/>
          <w:sz w:val="32"/>
          <w:szCs w:val="32"/>
        </w:rPr>
        <w:t>加快企业挂牌上市步伐</w:t>
      </w:r>
    </w:p>
    <w:p>
      <w:pPr>
        <w:pStyle w:val="7"/>
        <w:numPr>
          <w:ilvl w:val="0"/>
          <w:numId w:val="0"/>
        </w:numPr>
        <w:ind w:firstLine="640" w:firstLineChars="200"/>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绩效目标：加大拟挂牌上市企业培训，深入开展调查研究，及时发现、帮助企业协调挂牌上市融资过程中遇到的问题，年内推动企业</w:t>
      </w:r>
      <w:r>
        <w:rPr>
          <w:rFonts w:hint="eastAsia" w:ascii="CESI仿宋-GB2312" w:hAnsi="CESI仿宋-GB2312" w:eastAsia="CESI仿宋-GB2312" w:cs="CESI仿宋-GB2312"/>
          <w:sz w:val="32"/>
          <w:szCs w:val="32"/>
          <w:lang w:eastAsia="zh-CN"/>
        </w:rPr>
        <w:t>在</w:t>
      </w:r>
      <w:r>
        <w:rPr>
          <w:rFonts w:hint="eastAsia" w:ascii="CESI仿宋-GB2312" w:hAnsi="CESI仿宋-GB2312" w:eastAsia="CESI仿宋-GB2312" w:cs="CESI仿宋-GB2312"/>
          <w:sz w:val="32"/>
          <w:szCs w:val="32"/>
        </w:rPr>
        <w:t>多层次资本市场挂牌上市融资。</w:t>
      </w:r>
    </w:p>
    <w:p>
      <w:pPr>
        <w:pStyle w:val="7"/>
        <w:numPr>
          <w:ilvl w:val="0"/>
          <w:numId w:val="0"/>
        </w:numPr>
        <w:ind w:firstLine="640" w:firstLineChars="200"/>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rPr>
        <w:t>绩效指标：</w:t>
      </w:r>
      <w:r>
        <w:rPr>
          <w:rFonts w:hint="eastAsia" w:ascii="CESI仿宋-GB2312" w:hAnsi="CESI仿宋-GB2312" w:eastAsia="CESI仿宋-GB2312" w:cs="CESI仿宋-GB2312"/>
          <w:sz w:val="32"/>
          <w:szCs w:val="32"/>
          <w:lang w:eastAsia="zh-CN"/>
        </w:rPr>
        <w:t>通过政策资金激励，实现企业上市数量高于去年增加数量。</w:t>
      </w:r>
    </w:p>
    <w:p>
      <w:pPr>
        <w:pStyle w:val="7"/>
        <w:numPr>
          <w:ilvl w:val="0"/>
          <w:numId w:val="0"/>
        </w:numPr>
        <w:ind w:firstLine="640" w:firstLineChars="200"/>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lang w:val="en-US" w:eastAsia="zh-CN"/>
        </w:rPr>
        <w:t>（3）</w:t>
      </w:r>
      <w:r>
        <w:rPr>
          <w:rFonts w:hint="eastAsia" w:ascii="CESI仿宋-GB2312" w:hAnsi="CESI仿宋-GB2312" w:eastAsia="CESI仿宋-GB2312" w:cs="CESI仿宋-GB2312"/>
          <w:sz w:val="32"/>
          <w:szCs w:val="32"/>
          <w:lang w:eastAsia="zh-CN"/>
        </w:rPr>
        <w:t>加强地方金融监管工作</w:t>
      </w:r>
    </w:p>
    <w:p>
      <w:pPr>
        <w:pStyle w:val="7"/>
        <w:numPr>
          <w:ilvl w:val="0"/>
          <w:numId w:val="0"/>
        </w:numPr>
        <w:ind w:firstLine="640" w:firstLineChars="200"/>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lang w:eastAsia="zh-CN"/>
        </w:rPr>
        <w:t>绩效目标：进一步做好典当行、小额贷款公司等地方金融组织的年审工作，积极开展 “双随机、一公开”现场检查，引导督促地方金融组织合法合规经营；加强执法队伍建设，加大防范和处置非法集资相关法律、法规培训力度，提高执法人员防范和处置非法集资工作能力，确保执法行为更加规范，执法效率显著提高，执法水平明显提升。</w:t>
      </w:r>
    </w:p>
    <w:p>
      <w:pPr>
        <w:pStyle w:val="7"/>
        <w:numPr>
          <w:ilvl w:val="0"/>
          <w:numId w:val="0"/>
        </w:numPr>
        <w:ind w:firstLine="640" w:firstLineChars="200"/>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eastAsia="zh-CN"/>
        </w:rPr>
        <w:t>绩效指标： 组织开展至少 1 次行政执法培训，按照“双随机、一公开”行政执法检查要求，审计检查融资担保机构、融资租赁公司、典当行、小额贷款公司不少于</w:t>
      </w:r>
      <w:r>
        <w:rPr>
          <w:rFonts w:hint="eastAsia" w:ascii="CESI仿宋-GB2312" w:hAnsi="CESI仿宋-GB2312" w:eastAsia="CESI仿宋-GB2312" w:cs="CESI仿宋-GB2312"/>
          <w:sz w:val="32"/>
          <w:szCs w:val="32"/>
          <w:lang w:val="en-US" w:eastAsia="zh-CN"/>
        </w:rPr>
        <w:t>16家。</w:t>
      </w:r>
    </w:p>
    <w:p>
      <w:pPr>
        <w:pStyle w:val="7"/>
        <w:numPr>
          <w:ilvl w:val="0"/>
          <w:numId w:val="0"/>
        </w:numPr>
        <w:ind w:firstLine="640" w:firstLineChars="200"/>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（4）加大金融风险防范化解力度</w:t>
      </w:r>
    </w:p>
    <w:p>
      <w:pPr>
        <w:pStyle w:val="7"/>
        <w:numPr>
          <w:ilvl w:val="0"/>
          <w:numId w:val="0"/>
        </w:numPr>
        <w:ind w:firstLine="640" w:firstLineChars="200"/>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绩效目标：做好防范非法集资宣传工作，营造抵制非法集资的舆论氛围，加大金融风险防范化解力度，做好处置化解工作，及时有效处置金融风险，维护全市金融稳定。</w:t>
      </w:r>
    </w:p>
    <w:p>
      <w:pPr>
        <w:pStyle w:val="7"/>
        <w:numPr>
          <w:ilvl w:val="0"/>
          <w:numId w:val="0"/>
        </w:numPr>
        <w:ind w:firstLine="640" w:firstLineChars="200"/>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lang w:val="en-US" w:eastAsia="zh-CN"/>
        </w:rPr>
        <w:t>绩效指标：组织开展宣传活动不少于2次。加强监测预警，金融风险发生较上年有所下降。</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1.</w:t>
      </w:r>
      <w:r>
        <w:rPr>
          <w:rFonts w:hint="eastAsia" w:ascii="仿宋" w:hAnsi="仿宋" w:eastAsia="仿宋"/>
          <w:sz w:val="32"/>
          <w:szCs w:val="32"/>
        </w:rPr>
        <w:t>评价资料收集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办</w:t>
      </w:r>
      <w:r>
        <w:rPr>
          <w:rFonts w:hint="eastAsia" w:ascii="仿宋" w:hAnsi="仿宋" w:eastAsia="仿宋"/>
          <w:sz w:val="32"/>
          <w:szCs w:val="32"/>
        </w:rPr>
        <w:t>为推进本年度预算绩效评价工作，成立绩效工作组，副主任刘建龙同志任组长，刘雄飞、陈旭、冯文平、胡美妹、孙国峰、李健、韩杰、居春娣、彭秀文、李晓源、</w:t>
      </w:r>
      <w:r>
        <w:rPr>
          <w:rFonts w:hint="eastAsia" w:ascii="仿宋" w:hAnsi="仿宋" w:eastAsia="仿宋"/>
          <w:sz w:val="32"/>
          <w:szCs w:val="32"/>
          <w:lang w:eastAsia="zh-CN"/>
        </w:rPr>
        <w:t>封春珊</w:t>
      </w:r>
      <w:r>
        <w:rPr>
          <w:rFonts w:hint="eastAsia" w:ascii="仿宋" w:hAnsi="仿宋" w:eastAsia="仿宋"/>
          <w:sz w:val="32"/>
          <w:szCs w:val="32"/>
        </w:rPr>
        <w:t>为成员，负责绩效评价的组织管理和实施工作。按照通知要求，评价工作组制定自评工作方案，明确评价内容、评价程序及时间安排。组织相关人员召开专题会议，传达自评价工作要求和部署各项工作安排。全面收集评价所需基础信息资料并对资料进行分类整理、审查和分析自评的方法和过程。</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评价过程</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按照绩效评价工作要求，明确绩效评价的内容和范围，初步制定绩效评价工作方案。对我办各预算项目单独进行打分自评，在资料搜集、信息核实、现场调研、访谈沟通等工作的基础上，挖掘绩效数据，拟定项目产出、项目执行、项目效益等指标体系，准确地计量和评判各项目实施后产生的社会效益和可持续影响，最终形成评价结论。</w:t>
      </w:r>
      <w:r>
        <w:rPr>
          <w:rFonts w:hint="eastAsia" w:ascii="仿宋" w:hAnsi="仿宋" w:eastAsia="仿宋"/>
          <w:sz w:val="32"/>
          <w:szCs w:val="32"/>
          <w:lang w:eastAsia="zh-CN"/>
        </w:rPr>
        <w:t>综合科</w:t>
      </w:r>
      <w:r>
        <w:rPr>
          <w:rFonts w:hint="eastAsia" w:ascii="仿宋" w:hAnsi="仿宋" w:eastAsia="仿宋"/>
          <w:sz w:val="32"/>
          <w:szCs w:val="32"/>
        </w:rPr>
        <w:t>对</w:t>
      </w:r>
      <w:r>
        <w:rPr>
          <w:rFonts w:hint="eastAsia" w:ascii="仿宋" w:hAnsi="仿宋" w:eastAsia="仿宋"/>
          <w:sz w:val="32"/>
          <w:szCs w:val="32"/>
          <w:lang w:eastAsia="zh-CN"/>
        </w:rPr>
        <w:t>我</w:t>
      </w:r>
      <w:r>
        <w:rPr>
          <w:rFonts w:hint="eastAsia" w:ascii="仿宋" w:hAnsi="仿宋" w:eastAsia="仿宋"/>
          <w:sz w:val="32"/>
          <w:szCs w:val="32"/>
        </w:rPr>
        <w:t>办绩效的相关资料进行收集、梳理。一是通过分析、核实，确保所收集数据、资料的真实、可靠。二是逐一梳理各项目文件内容，形成资料清单，并对存在的问题及时进行标注。三是与项目负责人沟通，直接对照资料清单进行核实，随时处理标注的问题，确保已提交及需补充的资料能准确反映项目绩效目标实现情况。</w:t>
      </w:r>
      <w:r>
        <w:rPr>
          <w:rFonts w:hint="eastAsia" w:ascii="仿宋" w:hAnsi="仿宋" w:eastAsia="仿宋"/>
          <w:sz w:val="32"/>
          <w:szCs w:val="32"/>
          <w:lang w:eastAsia="zh-CN"/>
        </w:rPr>
        <w:t>综合科</w:t>
      </w:r>
      <w:r>
        <w:rPr>
          <w:rFonts w:hint="eastAsia" w:ascii="仿宋" w:hAnsi="仿宋" w:eastAsia="仿宋"/>
          <w:sz w:val="32"/>
          <w:szCs w:val="32"/>
        </w:rPr>
        <w:t>在对收集到的项目数据、资料进行核对、比较、计算的基础上，对比年初项目绩效目标，形成评价结论；根据结论，撰写项目绩效自评表及重点项目绩效评价报告，并提交领导小组审定。</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评价工作管理</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本次绩效自评将结合我</w:t>
      </w:r>
      <w:r>
        <w:rPr>
          <w:rFonts w:hint="eastAsia" w:ascii="仿宋" w:hAnsi="仿宋" w:eastAsia="仿宋"/>
          <w:sz w:val="32"/>
          <w:szCs w:val="32"/>
          <w:lang w:eastAsia="zh-CN"/>
        </w:rPr>
        <w:t>办</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年度部门整体支出实际情况，运用科学、规范、合理的评价方法，全面、真实、客观地对我</w:t>
      </w:r>
      <w:r>
        <w:rPr>
          <w:rFonts w:hint="eastAsia" w:ascii="仿宋" w:hAnsi="仿宋" w:eastAsia="仿宋"/>
          <w:sz w:val="32"/>
          <w:szCs w:val="32"/>
          <w:lang w:eastAsia="zh-CN"/>
        </w:rPr>
        <w:t>办</w:t>
      </w:r>
      <w:r>
        <w:rPr>
          <w:rFonts w:hint="eastAsia" w:ascii="仿宋" w:hAnsi="仿宋" w:eastAsia="仿宋"/>
          <w:sz w:val="32"/>
          <w:szCs w:val="32"/>
          <w:lang w:val="en-US" w:eastAsia="zh-CN"/>
        </w:rPr>
        <w:t>2024</w:t>
      </w:r>
      <w:r>
        <w:rPr>
          <w:rFonts w:hint="eastAsia" w:ascii="仿宋" w:hAnsi="仿宋" w:eastAsia="仿宋"/>
          <w:sz w:val="32"/>
          <w:szCs w:val="32"/>
        </w:rPr>
        <w:t>年度一般公共预算财政拨款资金支出情况、相关制度健全性、项目完成情况及部门履职效果等内容进行综合评价</w:t>
      </w:r>
      <w:r>
        <w:rPr>
          <w:rFonts w:hint="eastAsia" w:ascii="仿宋" w:hAnsi="仿宋" w:eastAsia="仿宋"/>
          <w:sz w:val="32"/>
          <w:szCs w:val="32"/>
          <w:lang w:eastAsia="zh-CN"/>
        </w:rPr>
        <w:t>，</w:t>
      </w:r>
      <w:r>
        <w:rPr>
          <w:rFonts w:hint="eastAsia" w:ascii="仿宋" w:hAnsi="仿宋" w:eastAsia="仿宋"/>
          <w:sz w:val="32"/>
          <w:szCs w:val="32"/>
        </w:rPr>
        <w:t>全面反映财政资金使用成效和部门职能的实现程度，针对评价过程中发现的问题进一步提出相关意见建议，为以后我</w:t>
      </w:r>
      <w:r>
        <w:rPr>
          <w:rFonts w:hint="eastAsia" w:ascii="仿宋" w:hAnsi="仿宋" w:eastAsia="仿宋"/>
          <w:sz w:val="32"/>
          <w:szCs w:val="32"/>
          <w:lang w:eastAsia="zh-CN"/>
        </w:rPr>
        <w:t>办</w:t>
      </w:r>
      <w:r>
        <w:rPr>
          <w:rFonts w:hint="eastAsia" w:ascii="仿宋" w:hAnsi="仿宋" w:eastAsia="仿宋"/>
          <w:sz w:val="32"/>
          <w:szCs w:val="32"/>
        </w:rPr>
        <w:t>履行部门职责作出更好的预算管理和资金安排。</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bCs/>
          <w:sz w:val="32"/>
          <w:szCs w:val="32"/>
        </w:rPr>
      </w:pPr>
      <w:r>
        <w:rPr>
          <w:rFonts w:hint="eastAsia" w:ascii="CESI仿宋-GB2312" w:hAnsi="CESI仿宋-GB2312" w:eastAsia="CESI仿宋-GB2312" w:cs="CESI仿宋-GB2312"/>
          <w:bCs/>
          <w:sz w:val="32"/>
          <w:szCs w:val="32"/>
        </w:rPr>
        <w:t>此次绩效自评运用科学合理的方法，按照规范的程序，对我</w:t>
      </w:r>
      <w:r>
        <w:rPr>
          <w:rFonts w:hint="eastAsia" w:ascii="CESI仿宋-GB2312" w:hAnsi="CESI仿宋-GB2312" w:eastAsia="CESI仿宋-GB2312" w:cs="CESI仿宋-GB2312"/>
          <w:bCs/>
          <w:sz w:val="32"/>
          <w:szCs w:val="32"/>
          <w:lang w:eastAsia="zh-CN"/>
        </w:rPr>
        <w:t>办</w:t>
      </w:r>
      <w:r>
        <w:rPr>
          <w:rFonts w:hint="eastAsia" w:ascii="CESI仿宋-GB2312" w:hAnsi="CESI仿宋-GB2312" w:eastAsia="CESI仿宋-GB2312" w:cs="CESI仿宋-GB2312"/>
          <w:bCs/>
          <w:sz w:val="32"/>
          <w:szCs w:val="32"/>
        </w:rPr>
        <w:t>部门整体预算资金使用绩效进行客观、公正的反映</w:t>
      </w:r>
      <w:r>
        <w:rPr>
          <w:rFonts w:hint="eastAsia" w:ascii="CESI仿宋-GB2312" w:hAnsi="CESI仿宋-GB2312" w:eastAsia="CESI仿宋-GB2312" w:cs="CESI仿宋-GB2312"/>
          <w:bCs/>
          <w:sz w:val="32"/>
          <w:szCs w:val="32"/>
          <w:lang w:eastAsia="zh-CN"/>
        </w:rPr>
        <w:t>；</w:t>
      </w:r>
      <w:r>
        <w:rPr>
          <w:rFonts w:hint="eastAsia" w:ascii="CESI仿宋-GB2312" w:hAnsi="CESI仿宋-GB2312" w:eastAsia="CESI仿宋-GB2312" w:cs="CESI仿宋-GB2312"/>
          <w:bCs/>
          <w:sz w:val="32"/>
          <w:szCs w:val="32"/>
        </w:rPr>
        <w:t>绩效自评结果将上报财政部门作为财政自评参考依据</w:t>
      </w:r>
      <w:r>
        <w:rPr>
          <w:rFonts w:hint="eastAsia" w:ascii="CESI仿宋-GB2312" w:hAnsi="CESI仿宋-GB2312" w:eastAsia="CESI仿宋-GB2312" w:cs="CESI仿宋-GB2312"/>
          <w:bCs/>
          <w:sz w:val="32"/>
          <w:szCs w:val="32"/>
          <w:lang w:eastAsia="zh-CN"/>
        </w:rPr>
        <w:t>，</w:t>
      </w:r>
      <w:r>
        <w:rPr>
          <w:rFonts w:hint="eastAsia" w:ascii="CESI仿宋-GB2312" w:hAnsi="CESI仿宋-GB2312" w:eastAsia="CESI仿宋-GB2312" w:cs="CESI仿宋-GB2312"/>
          <w:bCs/>
          <w:sz w:val="32"/>
          <w:szCs w:val="32"/>
        </w:rPr>
        <w:t>此次绩效自评结果与预算安排、政策调整、改进管理实质性挂钩。</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CESI仿宋-GB2312" w:hAnsi="CESI仿宋-GB2312" w:eastAsia="CESI仿宋-GB2312" w:cs="CESI仿宋-GB2312"/>
          <w:bCs/>
          <w:sz w:val="32"/>
          <w:szCs w:val="32"/>
          <w:lang w:val="en-US" w:eastAsia="zh-CN"/>
        </w:rPr>
      </w:pPr>
      <w:r>
        <w:rPr>
          <w:rFonts w:hint="eastAsia" w:ascii="CESI仿宋-GB2312" w:hAnsi="CESI仿宋-GB2312" w:eastAsia="CESI仿宋-GB2312" w:cs="CESI仿宋-GB2312"/>
          <w:bCs/>
          <w:sz w:val="32"/>
          <w:szCs w:val="32"/>
          <w:lang w:val="en-US" w:eastAsia="zh-CN"/>
        </w:rPr>
        <w:t>本次绩效自评将资金使用产出及效果与年初指标值相比较，对完成值低于指标值较多的，分析其形成原因，针对评价过程中发现的问题进一步提出相关意见建议，为以后我办履行部门职责作出更好的预算管理和资金安排。</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b w:val="0"/>
          <w:bCs w:val="0"/>
          <w:sz w:val="32"/>
          <w:szCs w:val="32"/>
        </w:rPr>
      </w:pPr>
      <w:r>
        <w:rPr>
          <w:rFonts w:hint="eastAsia" w:ascii="CESI仿宋-GB2312" w:hAnsi="CESI仿宋-GB2312" w:eastAsia="CESI仿宋-GB2312" w:cs="CESI仿宋-GB2312"/>
          <w:b w:val="0"/>
          <w:bCs w:val="0"/>
          <w:sz w:val="32"/>
          <w:szCs w:val="32"/>
        </w:rPr>
        <w:t>2024年，我办认真学习贯彻习近平总书记关于金融工作的重要论述，深入贯彻落实党的二十大和二十届二中、三中全会及中央金融工作会议精神，按照省市部署要求，紧扣“防风险、强监管、促发展”工作主线，坚持和加强党对金融工作的全面领导，有效防范化解金融风险，全面加强地方金融监管，持续提升金融服务效能，各项工作扎实推进，取得明显成效。</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640" w:firstLineChars="200"/>
        <w:rPr>
          <w:rFonts w:hint="eastAsia" w:ascii="CESI仿宋-GB2312" w:hAnsi="CESI仿宋-GB2312" w:eastAsia="CESI仿宋-GB2312" w:cs="CESI仿宋-GB2312"/>
          <w:b/>
          <w:bCs/>
          <w:sz w:val="32"/>
          <w:szCs w:val="32"/>
        </w:rPr>
      </w:pPr>
      <w:r>
        <w:rPr>
          <w:rFonts w:hint="eastAsia" w:ascii="CESI仿宋-GB2312" w:hAnsi="CESI仿宋-GB2312" w:eastAsia="CESI仿宋-GB2312" w:cs="CESI仿宋-GB2312"/>
          <w:b/>
          <w:bCs/>
          <w:sz w:val="32"/>
          <w:szCs w:val="32"/>
        </w:rPr>
        <w:t>1.进一步扩大有效信贷投放</w:t>
      </w:r>
    </w:p>
    <w:p>
      <w:pPr>
        <w:spacing w:line="560" w:lineRule="exact"/>
        <w:ind w:firstLine="640" w:firstLineChars="200"/>
        <w:rPr>
          <w:rFonts w:hint="default"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rPr>
        <w:t>一是银企对接合作更加畅通。制定了《石家庄市2024年缓解企业融资问题工作任务清单》，明确了市直行业部门和县（市、区）责任，形成了多渠道银企对接、解决企业融资难题的工作合力；印发了《石家庄市中小微企业融资需求“白名单”工作方案》，有效解决银企信息不对称问题；建立了重大项目金融顾问制度，帮助融资主体更加快速、便捷获取金融支持。全年共组织开展专题银企对接活动500余场次。全市金融机构本外币各项贷款余额同比增长8.40%，高于全省平均水平0.45个百分点。二是普惠金融工作取得突破。成功申报2024年中央财政支持普惠金融发展示范区，争取国家4000万元资金支持，通过制定信贷补贴政策，578家小微企业直接受益，增资联创担保公司注册资本金2370.6万元。23个县（市、区）全部完成首贷续贷服务中心建设，实现了全覆盖，有效缓解企业“首贷难、续贷慢”和银行“获客难”问题，工作走在全省前列。截至12月末，全市首贷续贷业务企业咨询量15414家，首贷续贷业务办理6248笔，金额151.95亿元。建立了金融指导员制度，破解普惠金融服务“最后一公里”难题。全市小微企业贷款余额同比增长25.47%，高于各项贷款增速17.06个百分点。“着力打造‘五个高地’构建普惠金融服务生态圈”工作经验在省委金融办《河北金融动态》上刊发。</w:t>
      </w:r>
      <w:r>
        <w:rPr>
          <w:rFonts w:hint="eastAsia" w:ascii="CESI仿宋-GB2312" w:hAnsi="CESI仿宋-GB2312" w:eastAsia="CESI仿宋-GB2312" w:cs="CESI仿宋-GB2312"/>
          <w:sz w:val="32"/>
          <w:szCs w:val="32"/>
          <w:lang w:eastAsia="zh-CN"/>
        </w:rPr>
        <w:t>三是落实“金十条”金融奖补政策，奖补企业和银行机构</w:t>
      </w:r>
      <w:r>
        <w:rPr>
          <w:rFonts w:hint="eastAsia" w:ascii="CESI仿宋-GB2312" w:hAnsi="CESI仿宋-GB2312" w:eastAsia="CESI仿宋-GB2312" w:cs="CESI仿宋-GB2312"/>
          <w:sz w:val="32"/>
          <w:szCs w:val="32"/>
          <w:lang w:val="en-US" w:eastAsia="zh-CN"/>
        </w:rPr>
        <w:t>67家，发放奖补资金3847.21万元，引导金融机构服务实体经济，帮助中小微企业解决融资难题。</w:t>
      </w:r>
    </w:p>
    <w:p>
      <w:pPr>
        <w:pStyle w:val="7"/>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CESI仿宋-GB2312" w:hAnsi="CESI仿宋-GB2312" w:eastAsia="CESI仿宋-GB2312" w:cs="CESI仿宋-GB2312"/>
          <w:b/>
          <w:bCs/>
          <w:sz w:val="32"/>
          <w:szCs w:val="32"/>
        </w:rPr>
      </w:pPr>
      <w:r>
        <w:rPr>
          <w:rFonts w:hint="eastAsia" w:ascii="CESI仿宋-GB2312" w:hAnsi="CESI仿宋-GB2312" w:eastAsia="CESI仿宋-GB2312" w:cs="CESI仿宋-GB2312"/>
          <w:b/>
          <w:bCs/>
          <w:sz w:val="32"/>
          <w:szCs w:val="32"/>
          <w:lang w:val="en-US" w:eastAsia="zh-CN"/>
        </w:rPr>
        <w:t>2.</w:t>
      </w:r>
      <w:r>
        <w:rPr>
          <w:rFonts w:hint="eastAsia" w:ascii="CESI仿宋-GB2312" w:hAnsi="CESI仿宋-GB2312" w:eastAsia="CESI仿宋-GB2312" w:cs="CESI仿宋-GB2312"/>
          <w:b/>
          <w:bCs/>
          <w:sz w:val="32"/>
          <w:szCs w:val="32"/>
        </w:rPr>
        <w:t>加快企业挂牌上市步伐</w:t>
      </w:r>
    </w:p>
    <w:p>
      <w:pPr>
        <w:pStyle w:val="7"/>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资本市场发展环境持续优化。开展企业上市“清障护航”行动，对16家重点拟上市企业逐一走访包联，企业反馈的9个问题全部得到妥善解决。实施企业上市“金字塔培育计划”，动态完善了317家拟上市后备企业数据库，依据企业成熟度、发展潜力与市场表现开展针对性调研和梯次培育，全年累计举办培训活动20余场，企业资本运作能力获得提升，各级干部金融资本知识得到加强。创新开展“资本赋能县区行”资企对接活动，组织券商、银行、融资担保等专业金融机构深入县区，深度挖掘企业需求，量身定制金融服务方案。目前已成功举办深泽、平山、赵县专场对接会，覆盖企业超 60家。2024年全市新增上市公司1家，新三板挂牌企业1家，雄安股权交易所挂牌企业4家；新增辅导期、港交所审核期企业各1家。</w:t>
      </w:r>
    </w:p>
    <w:p>
      <w:pPr>
        <w:spacing w:line="560" w:lineRule="exact"/>
        <w:ind w:firstLine="640" w:firstLineChars="200"/>
        <w:rPr>
          <w:rFonts w:hint="eastAsia" w:ascii="CESI仿宋-GB2312" w:hAnsi="CESI仿宋-GB2312" w:eastAsia="CESI仿宋-GB2312" w:cs="CESI仿宋-GB2312"/>
          <w:b/>
          <w:bCs/>
          <w:sz w:val="32"/>
          <w:szCs w:val="32"/>
        </w:rPr>
      </w:pPr>
      <w:r>
        <w:rPr>
          <w:rFonts w:hint="eastAsia" w:ascii="CESI仿宋-GB2312" w:hAnsi="CESI仿宋-GB2312" w:eastAsia="CESI仿宋-GB2312" w:cs="CESI仿宋-GB2312"/>
          <w:b/>
          <w:bCs/>
          <w:sz w:val="32"/>
          <w:szCs w:val="32"/>
        </w:rPr>
        <w:t>3.加强地方金融监管工作</w:t>
      </w:r>
    </w:p>
    <w:p>
      <w:pPr>
        <w:spacing w:line="560" w:lineRule="exact"/>
        <w:ind w:firstLine="640" w:firstLineChars="200"/>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一是监管制度更加完善。编制了《石家庄市地方金融领域行政执法事项清单》，印发了《关于做好2024年全系统统筹执法工作的通知》《关于进一步加强地方金融行政执法工作的通知》，市县两级配备地方金融执法人员77名。制定了《融资担保公司违规行为处置指导意见》，确保地方金融监管权责清晰、运行规范。二是日常监管扎实有力。完成对23家地方金融组织的“双随机、一公开”检查，20家典当行、51家小额贷款公司的年审检查，10家汽车消费贷款担保类融资担保公司的专项检查。针对发现的问题，一方面采取通报、警示和约谈等手段，依法推进问题整改；另一方面，坚持问题导向，开展了5次专题培训，引导企业规范运营，提高内控管理水平。圆满完成全市地方金融组织监管评级和分类监管试点工作任务，为精准监管奠定了基础。加强央地协调，会同人行省分行严格落实《地方金融组织统计制度》，进一步统一统计口径，提升了地方金融数据质量。三是减量提质成效明显。扎实开展地方金融组织规范整治行动，成立工作专班，紧密沟通协作，共清理退出涉地方金融组织20家，其中融资担保公司7家、小额贷款公司5家、融资租赁法人公司1家、融资租赁分支机构4家、非法典当行3家。四是注册登记研判会商走深走实。2024年，全市共会商登记投融资字样企业55家、私募基金企业34家（管理人6家，基金产品28家）。创新出台了《石家庄市合格境外有限合伙人试点办法》，推动国际资本参与我市建设，全市首家QFLP试点基金落地石家庄经开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b/>
          <w:bCs/>
          <w:sz w:val="32"/>
          <w:szCs w:val="32"/>
          <w:lang w:val="en-US" w:eastAsia="zh-CN"/>
        </w:rPr>
      </w:pPr>
      <w:bookmarkStart w:id="1" w:name="_GoBack"/>
      <w:r>
        <w:rPr>
          <w:rFonts w:hint="eastAsia" w:ascii="CESI仿宋-GB2312" w:hAnsi="CESI仿宋-GB2312" w:eastAsia="CESI仿宋-GB2312" w:cs="CESI仿宋-GB2312"/>
          <w:b/>
          <w:bCs/>
          <w:sz w:val="32"/>
          <w:szCs w:val="32"/>
          <w:lang w:val="en-US" w:eastAsia="zh-CN"/>
        </w:rPr>
        <w:t>4.加大金融风险防范化解力度</w:t>
      </w:r>
    </w:p>
    <w:bookmarkEnd w:id="1"/>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一是风险源头管控更加有力。推进监测预警智能化建设，依托市级非法集资监测预警平台、人行反洗钱系统、“12346”防范非法集资举报热线等，对全市注册企业实时监测预警。二是化解存量遏制增量成效明显。卓达案件完成第二批资金清退并提请国家处非联办销号，轻易贷案件进入审理阶段。三是做好防范非法集资宣传工作，开展非法集资集中宣传日活动6次,营造了抵制非法集资的积极舆论。</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根据部门职责定位和各项工作履职情况进行综合评价，我</w:t>
      </w:r>
      <w:r>
        <w:rPr>
          <w:rFonts w:hint="eastAsia" w:ascii="仿宋" w:hAnsi="仿宋" w:eastAsia="仿宋"/>
          <w:sz w:val="32"/>
          <w:szCs w:val="32"/>
          <w:lang w:eastAsia="zh-CN"/>
        </w:rPr>
        <w:t>办</w:t>
      </w:r>
      <w:r>
        <w:rPr>
          <w:rFonts w:hint="eastAsia" w:ascii="仿宋" w:hAnsi="仿宋" w:eastAsia="仿宋"/>
          <w:sz w:val="32"/>
          <w:szCs w:val="32"/>
        </w:rPr>
        <w:t>资金支出率为9</w:t>
      </w:r>
      <w:r>
        <w:rPr>
          <w:rFonts w:hint="eastAsia" w:ascii="仿宋" w:hAnsi="仿宋" w:eastAsia="仿宋"/>
          <w:sz w:val="32"/>
          <w:szCs w:val="32"/>
          <w:lang w:val="en-US" w:eastAsia="zh-CN"/>
        </w:rPr>
        <w:t>9</w:t>
      </w:r>
      <w:r>
        <w:rPr>
          <w:rFonts w:hint="eastAsia" w:ascii="仿宋" w:hAnsi="仿宋" w:eastAsia="仿宋"/>
          <w:sz w:val="32"/>
          <w:szCs w:val="32"/>
        </w:rPr>
        <w:t>.</w:t>
      </w:r>
      <w:r>
        <w:rPr>
          <w:rFonts w:hint="default" w:ascii="仿宋" w:hAnsi="仿宋" w:eastAsia="仿宋"/>
          <w:sz w:val="32"/>
          <w:szCs w:val="32"/>
          <w:lang w:val="en"/>
        </w:rPr>
        <w:t>8</w:t>
      </w:r>
      <w:r>
        <w:rPr>
          <w:rFonts w:hint="eastAsia" w:ascii="仿宋" w:hAnsi="仿宋" w:eastAsia="仿宋"/>
          <w:sz w:val="32"/>
          <w:szCs w:val="32"/>
        </w:rPr>
        <w:t>7%，各项工作产出、效益及满意度均基本实现年初既定目标，较为圆满的完成了年度任务，此次部门整体支出综合绩效评价为9</w:t>
      </w:r>
      <w:r>
        <w:rPr>
          <w:rFonts w:hint="eastAsia" w:ascii="仿宋" w:hAnsi="仿宋" w:eastAsia="仿宋"/>
          <w:sz w:val="32"/>
          <w:szCs w:val="32"/>
          <w:lang w:val="en-US" w:eastAsia="zh-CN"/>
        </w:rPr>
        <w:t>9.87</w:t>
      </w:r>
      <w:r>
        <w:rPr>
          <w:rFonts w:hint="eastAsia" w:ascii="仿宋" w:hAnsi="仿宋" w:eastAsia="仿宋"/>
          <w:sz w:val="32"/>
          <w:szCs w:val="32"/>
        </w:rPr>
        <w:t>分，等级为“优秀”。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通过绩效自评，结合评价结果，我办绝大多数预算项目绩效目标设定清晰准确、易于评价，但是部分项目绩效指标设置不够细化，过于简单。</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pStyle w:val="2"/>
        <w:rPr>
          <w:rFonts w:hint="eastAsia" w:ascii="仿宋" w:hAnsi="仿宋" w:eastAsia="仿宋"/>
          <w:sz w:val="32"/>
          <w:szCs w:val="32"/>
          <w:lang w:val="en-US" w:eastAsia="zh-CN"/>
        </w:rPr>
      </w:pPr>
      <w:r>
        <w:rPr>
          <w:rFonts w:hint="eastAsia" w:ascii="仿宋" w:hAnsi="仿宋" w:eastAsia="仿宋"/>
          <w:sz w:val="32"/>
          <w:szCs w:val="32"/>
          <w:lang w:val="en-US" w:eastAsia="zh-CN"/>
        </w:rPr>
        <w:t>在整个绩效评价体系中，评价指标属于核心内容，同时也是高效开展评价工作的标准。我办在以后的工作中进一步细化、量化具体指标，完善绩效指标体系，提高绩效指标的科学性和可行性。</w:t>
      </w:r>
    </w:p>
    <w:p>
      <w:pPr>
        <w:adjustRightInd w:val="0"/>
        <w:snapToGrid w:val="0"/>
        <w:spacing w:line="560" w:lineRule="exact"/>
        <w:ind w:firstLine="640" w:firstLineChars="200"/>
        <w:outlineLvl w:val="0"/>
        <w:rPr>
          <w:rFonts w:ascii="黑体" w:hAnsi="黑体" w:eastAsia="黑体"/>
          <w:sz w:val="32"/>
          <w:szCs w:val="32"/>
        </w:rPr>
      </w:pPr>
      <w:bookmarkStart w:id="0" w:name="_Toc530"/>
      <w:r>
        <w:rPr>
          <w:rFonts w:hint="eastAsia" w:ascii="黑体" w:hAnsi="黑体" w:eastAsia="黑体"/>
          <w:sz w:val="32"/>
          <w:szCs w:val="32"/>
        </w:rPr>
        <w:t>六、评价工作组人员名单及签字（姓名、职务</w:t>
      </w:r>
      <w:r>
        <w:rPr>
          <w:rFonts w:hint="eastAsia" w:ascii="黑体" w:hAnsi="黑体" w:eastAsia="黑体"/>
          <w:sz w:val="32"/>
          <w:szCs w:val="32"/>
          <w:lang w:eastAsia="zh-CN"/>
        </w:rPr>
        <w:t>或</w:t>
      </w:r>
      <w:r>
        <w:rPr>
          <w:rFonts w:hint="eastAsia" w:ascii="黑体" w:hAnsi="黑体" w:eastAsia="黑体"/>
          <w:sz w:val="32"/>
          <w:szCs w:val="32"/>
        </w:rPr>
        <w:t>职称）</w:t>
      </w:r>
      <w:bookmarkEnd w:id="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highlight w:val="none"/>
          <w:lang w:val="en-US" w:eastAsia="zh-CN"/>
        </w:rPr>
        <w:t>组长：刘建龙 副主任</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刘雄飞 综合科科长</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陈  旭 政策法规科科长、一级主任科员</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冯文平</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协调服务一科科长、一级主任科员</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胡美妹</w:t>
      </w:r>
      <w:r>
        <w:rPr>
          <w:rFonts w:hint="eastAsia" w:ascii="仿宋_GB2312" w:hAnsi="仿宋_GB2312" w:eastAsia="仿宋_GB2312" w:cs="仿宋_GB2312"/>
          <w:sz w:val="32"/>
          <w:szCs w:val="32"/>
          <w:lang w:val="en-US" w:eastAsia="zh-CN"/>
        </w:rPr>
        <w:t xml:space="preserve"> 协调服务二科</w:t>
      </w:r>
      <w:r>
        <w:rPr>
          <w:rFonts w:hint="eastAsia" w:ascii="仿宋_GB2312" w:hAnsi="仿宋_GB2312" w:eastAsia="仿宋_GB2312" w:cs="仿宋_GB2312"/>
          <w:sz w:val="32"/>
          <w:szCs w:val="32"/>
          <w:lang w:eastAsia="zh-CN"/>
        </w:rPr>
        <w:t>科长</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孙国锋</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打击非法金融活动科科长、一级主任科员</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居春娣</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地方金融管理一科科长</w:t>
      </w:r>
    </w:p>
    <w:p>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韩</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杰 地方金融管理二科科长</w:t>
      </w:r>
    </w:p>
    <w:p>
      <w:pPr>
        <w:keepNext w:val="0"/>
        <w:keepLines w:val="0"/>
        <w:pageBreakBefore w:val="0"/>
        <w:widowControl w:val="0"/>
        <w:kinsoku/>
        <w:wordWrap/>
        <w:overflowPunct/>
        <w:topLinePunct w:val="0"/>
        <w:autoSpaceDE/>
        <w:autoSpaceDN/>
        <w:bidi w:val="0"/>
        <w:adjustRightInd/>
        <w:snapToGrid/>
        <w:spacing w:line="600" w:lineRule="exact"/>
        <w:ind w:left="0" w:left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李  健 风险防控科科长</w:t>
      </w:r>
    </w:p>
    <w:p>
      <w:pPr>
        <w:pStyle w:val="2"/>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彭秀文</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党建指导科科长</w:t>
      </w:r>
    </w:p>
    <w:p>
      <w:pPr>
        <w:pStyle w:val="2"/>
        <w:ind w:firstLine="1600" w:firstLineChars="5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李晓源</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机关党总支专职副书记、一级主任科员</w:t>
      </w:r>
    </w:p>
    <w:p>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封春珊</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综合科三级主任科员</w:t>
      </w:r>
    </w:p>
    <w:p>
      <w:pPr>
        <w:pStyle w:val="2"/>
        <w:rPr>
          <w:rFonts w:hint="default" w:ascii="仿宋" w:hAnsi="仿宋" w:eastAsia="仿宋"/>
          <w:sz w:val="32"/>
          <w:szCs w:val="32"/>
          <w:lang w:val="en-US" w:eastAsia="zh-CN"/>
        </w:rPr>
      </w:pPr>
    </w:p>
    <w:p>
      <w:pPr>
        <w:adjustRightInd w:val="0"/>
        <w:snapToGrid w:val="0"/>
        <w:spacing w:line="560" w:lineRule="exact"/>
        <w:ind w:firstLine="640" w:firstLineChars="200"/>
        <w:rPr>
          <w:rFonts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A00002BF" w:usb1="38CF7CFA" w:usb2="00082016" w:usb3="00000000" w:csb0="00040001" w:csb1="00000000"/>
  </w:font>
  <w:font w:name="华文楷体">
    <w:altName w:val="方正楷体_GBK"/>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仿宋_GB2312">
    <w:altName w:val="方正仿宋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FE2A0E"/>
    <w:multiLevelType w:val="singleLevel"/>
    <w:tmpl w:val="FDFE2A0E"/>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E542E40"/>
    <w:rsid w:val="1FF819D1"/>
    <w:rsid w:val="248C197D"/>
    <w:rsid w:val="252959AF"/>
    <w:rsid w:val="277A6671"/>
    <w:rsid w:val="292D35B7"/>
    <w:rsid w:val="2E7B82EB"/>
    <w:rsid w:val="33EB6CFF"/>
    <w:rsid w:val="35A12947"/>
    <w:rsid w:val="37387040"/>
    <w:rsid w:val="3B625C0A"/>
    <w:rsid w:val="3CEE1963"/>
    <w:rsid w:val="3FE3F077"/>
    <w:rsid w:val="3FFF1D2C"/>
    <w:rsid w:val="436B78D3"/>
    <w:rsid w:val="4C9C27FE"/>
    <w:rsid w:val="4FFF5395"/>
    <w:rsid w:val="512260B4"/>
    <w:rsid w:val="52BD6ACB"/>
    <w:rsid w:val="55537534"/>
    <w:rsid w:val="561A74F1"/>
    <w:rsid w:val="57BF1063"/>
    <w:rsid w:val="58B17416"/>
    <w:rsid w:val="593FE399"/>
    <w:rsid w:val="597244E8"/>
    <w:rsid w:val="5B7F108D"/>
    <w:rsid w:val="5EB71C30"/>
    <w:rsid w:val="5F3A455D"/>
    <w:rsid w:val="5F3E4047"/>
    <w:rsid w:val="63F8F064"/>
    <w:rsid w:val="66AF0CE5"/>
    <w:rsid w:val="68AC2130"/>
    <w:rsid w:val="6AC537CF"/>
    <w:rsid w:val="6BDCBBE8"/>
    <w:rsid w:val="6BFD34EA"/>
    <w:rsid w:val="6E5B14A6"/>
    <w:rsid w:val="6EBCD51A"/>
    <w:rsid w:val="6EFB85C7"/>
    <w:rsid w:val="711B255E"/>
    <w:rsid w:val="7472CEB4"/>
    <w:rsid w:val="757EC8F1"/>
    <w:rsid w:val="76F298BF"/>
    <w:rsid w:val="76FEA841"/>
    <w:rsid w:val="77DB61D4"/>
    <w:rsid w:val="7BB51E06"/>
    <w:rsid w:val="7BD95507"/>
    <w:rsid w:val="7C387F7C"/>
    <w:rsid w:val="7F7EEA79"/>
    <w:rsid w:val="7FAF32AD"/>
    <w:rsid w:val="7FE83423"/>
    <w:rsid w:val="7FFBEFF2"/>
    <w:rsid w:val="7FFFC0B4"/>
    <w:rsid w:val="8EBB07FB"/>
    <w:rsid w:val="97AD9F64"/>
    <w:rsid w:val="9A6FCE47"/>
    <w:rsid w:val="B12E080A"/>
    <w:rsid w:val="B2EAAE02"/>
    <w:rsid w:val="B7FFEBC7"/>
    <w:rsid w:val="BE3D522C"/>
    <w:rsid w:val="BEE80232"/>
    <w:rsid w:val="BF351251"/>
    <w:rsid w:val="BFFBE7D3"/>
    <w:rsid w:val="BFFBFE30"/>
    <w:rsid w:val="BFFFFEF7"/>
    <w:rsid w:val="CF7EF005"/>
    <w:rsid w:val="D37E25A5"/>
    <w:rsid w:val="D5F2BCF9"/>
    <w:rsid w:val="DE2F6B61"/>
    <w:rsid w:val="DE6B379D"/>
    <w:rsid w:val="DF5FF716"/>
    <w:rsid w:val="E79FB77C"/>
    <w:rsid w:val="ECBF87BA"/>
    <w:rsid w:val="EEFFA7E8"/>
    <w:rsid w:val="F4A7C83E"/>
    <w:rsid w:val="F7D28E9B"/>
    <w:rsid w:val="F7DF174D"/>
    <w:rsid w:val="F7FB428D"/>
    <w:rsid w:val="F7FFB850"/>
    <w:rsid w:val="F95F684C"/>
    <w:rsid w:val="FA5F3DBB"/>
    <w:rsid w:val="FB7747C9"/>
    <w:rsid w:val="FB9F3B22"/>
    <w:rsid w:val="FDF31FA3"/>
    <w:rsid w:val="FF9D3989"/>
    <w:rsid w:val="FFAFE281"/>
    <w:rsid w:val="FFCD3D2C"/>
    <w:rsid w:val="FFD73726"/>
    <w:rsid w:val="FFEBA7A0"/>
    <w:rsid w:val="FFF765A0"/>
    <w:rsid w:val="FFF8530E"/>
    <w:rsid w:val="FFFD3655"/>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TotalTime>86</TotalTime>
  <ScaleCrop>false</ScaleCrop>
  <LinksUpToDate>false</LinksUpToDate>
  <CharactersWithSpaces>612</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2020-02-05T03:46:00Z</dcterms:created>
  <dc:creator>欣欣大人</dc:creator>
  <cp:lastModifiedBy>uos</cp:lastModifiedBy>
  <cp:lastPrinted>2025-03-20T19:08:00Z</cp:lastPrinted>
  <dcterms:modified xsi:type="dcterms:W3CDTF">2025-04-09T15:16:03Z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