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20EB16">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543DE909">
      <w:pPr>
        <w:spacing w:line="560" w:lineRule="exact"/>
        <w:jc w:val="center"/>
        <w:rPr>
          <w:rFonts w:ascii="宋体" w:hAnsi="宋体" w:cs="宋体"/>
          <w:b/>
          <w:bCs/>
          <w:sz w:val="44"/>
          <w:szCs w:val="44"/>
        </w:rPr>
      </w:pPr>
    </w:p>
    <w:p w14:paraId="6EDA1C45">
      <w:pPr>
        <w:keepNext w:val="0"/>
        <w:keepLines w:val="0"/>
        <w:pageBreakBefore w:val="0"/>
        <w:widowControl w:val="0"/>
        <w:kinsoku/>
        <w:wordWrap/>
        <w:overflowPunct/>
        <w:topLinePunct w:val="0"/>
        <w:autoSpaceDE/>
        <w:autoSpaceDN/>
        <w:bidi w:val="0"/>
        <w:spacing w:line="540" w:lineRule="exact"/>
        <w:jc w:val="center"/>
        <w:textAlignment w:val="auto"/>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石家庄市栾城区人民法院</w:t>
      </w:r>
    </w:p>
    <w:p w14:paraId="3FBFC11E">
      <w:pPr>
        <w:keepNext w:val="0"/>
        <w:keepLines w:val="0"/>
        <w:pageBreakBefore w:val="0"/>
        <w:widowControl w:val="0"/>
        <w:kinsoku/>
        <w:wordWrap/>
        <w:overflowPunct/>
        <w:topLinePunct w:val="0"/>
        <w:autoSpaceDE/>
        <w:autoSpaceDN/>
        <w:bidi w:val="0"/>
        <w:spacing w:line="540" w:lineRule="exact"/>
        <w:jc w:val="center"/>
        <w:textAlignment w:val="auto"/>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2E24A9DD">
      <w:pPr>
        <w:keepNext w:val="0"/>
        <w:keepLines w:val="0"/>
        <w:pageBreakBefore w:val="0"/>
        <w:widowControl w:val="0"/>
        <w:kinsoku/>
        <w:wordWrap/>
        <w:overflowPunct/>
        <w:topLinePunct w:val="0"/>
        <w:autoSpaceDE/>
        <w:autoSpaceDN/>
        <w:bidi w:val="0"/>
        <w:spacing w:line="540" w:lineRule="exact"/>
        <w:jc w:val="center"/>
        <w:textAlignment w:val="auto"/>
        <w:rPr>
          <w:rFonts w:ascii="华文楷体" w:eastAsia="华文楷体"/>
          <w:sz w:val="32"/>
          <w:szCs w:val="32"/>
        </w:rPr>
      </w:pPr>
    </w:p>
    <w:p w14:paraId="19A43149">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石家庄市栾城区人民法院</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2E2D4167">
      <w:pPr>
        <w:keepNext w:val="0"/>
        <w:keepLines w:val="0"/>
        <w:pageBreakBefore w:val="0"/>
        <w:widowControl w:val="0"/>
        <w:kinsoku/>
        <w:wordWrap/>
        <w:overflowPunct/>
        <w:topLinePunct w:val="0"/>
        <w:autoSpaceDE/>
        <w:autoSpaceDN/>
        <w:bidi w:val="0"/>
        <w:adjustRightInd w:val="0"/>
        <w:snapToGrid w:val="0"/>
        <w:spacing w:line="540" w:lineRule="exact"/>
        <w:textAlignment w:val="auto"/>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644246">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（一）部门概况</w:t>
      </w:r>
    </w:p>
    <w:p w14:paraId="54F12B8D">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1、部门职责</w:t>
      </w:r>
    </w:p>
    <w:p w14:paraId="4AF071F8">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深入贯彻习近平新时代中国特色社会主义思想,深入</w:t>
      </w:r>
      <w:r>
        <w:rPr>
          <w:rFonts w:hint="eastAsia" w:ascii="仿宋" w:hAnsi="仿宋" w:eastAsia="仿宋"/>
          <w:sz w:val="32"/>
          <w:szCs w:val="32"/>
          <w:lang w:val="en-US" w:eastAsia="zh-CN"/>
        </w:rPr>
        <w:t>贯</w:t>
      </w:r>
      <w:r>
        <w:rPr>
          <w:rFonts w:hint="eastAsia" w:ascii="仿宋" w:hAnsi="仿宋" w:eastAsia="仿宋"/>
          <w:sz w:val="32"/>
          <w:szCs w:val="32"/>
          <w:lang w:eastAsia="zh-CN"/>
        </w:rPr>
        <w:t>彻党的路线方针政策和决策部署,坚持党对法院工作的绝对领导,坚决维护习近平总书记的核心地位,坚决维护党中央权威和集中统一领导。</w:t>
      </w:r>
    </w:p>
    <w:p w14:paraId="243806AC">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依法审判法律规定由栾城区人民法院管辖的刑事、民事、行政等第一审案件。</w:t>
      </w:r>
    </w:p>
    <w:p w14:paraId="4271F2F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(3)</w:t>
      </w:r>
      <w:r>
        <w:rPr>
          <w:rFonts w:hint="eastAsia" w:ascii="仿宋" w:hAnsi="仿宋" w:eastAsia="仿宋"/>
          <w:sz w:val="32"/>
          <w:szCs w:val="32"/>
          <w:lang w:eastAsia="zh-CN"/>
        </w:rPr>
        <w:t>依法审判上级人民法院指定、同级人民法院移送的刑事、民事、行政等第一审案件。</w:t>
      </w:r>
    </w:p>
    <w:p w14:paraId="0E0F58DF">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(4)</w:t>
      </w:r>
      <w:r>
        <w:rPr>
          <w:rFonts w:hint="eastAsia" w:ascii="仿宋" w:hAnsi="仿宋" w:eastAsia="仿宋"/>
          <w:sz w:val="32"/>
          <w:szCs w:val="32"/>
          <w:lang w:eastAsia="zh-CN"/>
        </w:rPr>
        <w:t>审查和受理各类申诉案件,审判各类再审案件,处理来信来访。</w:t>
      </w:r>
    </w:p>
    <w:p w14:paraId="3995FDE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(5)</w:t>
      </w:r>
      <w:r>
        <w:rPr>
          <w:rFonts w:hint="eastAsia" w:ascii="仿宋" w:hAnsi="仿宋" w:eastAsia="仿宋"/>
          <w:sz w:val="32"/>
          <w:szCs w:val="32"/>
          <w:lang w:eastAsia="zh-CN"/>
        </w:rPr>
        <w:t>依法办理发生法律效力的民事、行政案件判决和裁定执行事项及刑事案件判决和裁定中关于财产部分的执行事项;办理法律规定由基层人民法院执行的其他法律文书的执行事项。</w:t>
      </w:r>
    </w:p>
    <w:p w14:paraId="5C28655F">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(6)</w:t>
      </w:r>
      <w:r>
        <w:rPr>
          <w:rFonts w:hint="eastAsia" w:ascii="仿宋" w:hAnsi="仿宋" w:eastAsia="仿宋"/>
          <w:sz w:val="32"/>
          <w:szCs w:val="32"/>
          <w:lang w:eastAsia="zh-CN"/>
        </w:rPr>
        <w:t>负责审判工作的调查研究,总结审判工作经验。</w:t>
      </w:r>
    </w:p>
    <w:p w14:paraId="2FBCBDDE">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lang w:eastAsia="zh-CN"/>
        </w:rPr>
        <w:t>负责干警思想政治教育和业务培训工作;按照权限管理法官和其他工作人员。</w:t>
      </w:r>
    </w:p>
    <w:p w14:paraId="4FAFCFE0">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(8)</w:t>
      </w:r>
      <w:r>
        <w:rPr>
          <w:rFonts w:hint="eastAsia" w:ascii="仿宋" w:hAnsi="仿宋" w:eastAsia="仿宋"/>
          <w:sz w:val="32"/>
          <w:szCs w:val="32"/>
          <w:lang w:eastAsia="zh-CN"/>
        </w:rPr>
        <w:t>管理有关经费及物资装备。</w:t>
      </w:r>
    </w:p>
    <w:p w14:paraId="0C2DA835">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(9)</w:t>
      </w:r>
      <w:r>
        <w:rPr>
          <w:rFonts w:hint="eastAsia" w:ascii="仿宋" w:hAnsi="仿宋" w:eastAsia="仿宋"/>
          <w:sz w:val="32"/>
          <w:szCs w:val="32"/>
          <w:lang w:eastAsia="zh-CN"/>
        </w:rPr>
        <w:t>负责司法技术鉴定、通讯、计算机等技术管理工作。</w:t>
      </w:r>
    </w:p>
    <w:p w14:paraId="00758510">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(10)</w:t>
      </w:r>
      <w:r>
        <w:rPr>
          <w:rFonts w:hint="eastAsia" w:ascii="仿宋" w:hAnsi="仿宋" w:eastAsia="仿宋"/>
          <w:sz w:val="32"/>
          <w:szCs w:val="32"/>
          <w:lang w:eastAsia="zh-CN"/>
        </w:rPr>
        <w:t>负责审判工作中的法制宣传,教育公民忠于祖国,自觉遵守宪法、法律和社会公德。</w:t>
      </w:r>
    </w:p>
    <w:p w14:paraId="50E88C0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(11)</w:t>
      </w:r>
      <w:r>
        <w:rPr>
          <w:rFonts w:hint="eastAsia" w:ascii="仿宋" w:hAnsi="仿宋" w:eastAsia="仿宋"/>
          <w:sz w:val="32"/>
          <w:szCs w:val="32"/>
          <w:lang w:eastAsia="zh-CN"/>
        </w:rPr>
        <w:t>完成其他应由栾城区人民法院负责的工作。</w:t>
      </w:r>
    </w:p>
    <w:p w14:paraId="6D6D038F">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内设机构</w:t>
      </w:r>
    </w:p>
    <w:p w14:paraId="4D47BC10">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家庄市栾城区人民法院辖区涉及7个乡镇、173个村、37.87万人。栾城法院共有立案庭(诉讼服务中心)、刑事审判庭、民事审判庭、行政审判庭(综合审判庭)、执行局、政治处、综合办公室、审判管理办公室(研究室)、司法警察大队9个内设机构，另下设</w:t>
      </w:r>
      <w:r>
        <w:rPr>
          <w:rFonts w:hint="eastAsia" w:ascii="仿宋" w:hAnsi="仿宋" w:eastAsia="仿宋"/>
          <w:sz w:val="32"/>
          <w:szCs w:val="32"/>
          <w:lang w:val="en-US" w:eastAsia="zh-CN"/>
        </w:rPr>
        <w:t>环境资源</w:t>
      </w:r>
      <w:r>
        <w:rPr>
          <w:rFonts w:hint="eastAsia" w:ascii="仿宋" w:hAnsi="仿宋" w:eastAsia="仿宋"/>
          <w:sz w:val="32"/>
          <w:szCs w:val="32"/>
          <w:lang w:eastAsia="zh-CN"/>
        </w:rPr>
        <w:t>法庭、窦妪人民法庭、冶河人民法庭3个基层人民法庭。</w:t>
      </w:r>
    </w:p>
    <w:p w14:paraId="0E988107">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3、人员及资产情况</w:t>
      </w:r>
    </w:p>
    <w:p w14:paraId="19BB0A4C">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石家庄市栾城区人民法院政法编制人数64人，202</w:t>
      </w:r>
      <w:r>
        <w:rPr>
          <w:rFonts w:hint="eastAsia" w:ascii="仿宋" w:hAnsi="仿宋" w:eastAsia="仿宋"/>
          <w:sz w:val="32"/>
          <w:szCs w:val="32"/>
          <w:lang w:val="en-US" w:eastAsia="zh-CN"/>
        </w:rPr>
        <w:t>4</w:t>
      </w:r>
      <w:r>
        <w:rPr>
          <w:rFonts w:hint="eastAsia" w:ascii="仿宋" w:hAnsi="仿宋" w:eastAsia="仿宋"/>
          <w:sz w:val="32"/>
          <w:szCs w:val="32"/>
          <w:lang w:eastAsia="zh-CN"/>
        </w:rPr>
        <w:t>年末实有在编人员</w:t>
      </w:r>
      <w:r>
        <w:rPr>
          <w:rFonts w:hint="eastAsia" w:ascii="仿宋" w:hAnsi="仿宋" w:eastAsia="仿宋"/>
          <w:sz w:val="32"/>
          <w:szCs w:val="32"/>
          <w:lang w:val="en-US" w:eastAsia="zh-CN"/>
        </w:rPr>
        <w:t>57</w:t>
      </w:r>
      <w:r>
        <w:rPr>
          <w:rFonts w:hint="eastAsia" w:ascii="仿宋" w:hAnsi="仿宋" w:eastAsia="仿宋"/>
          <w:sz w:val="32"/>
          <w:szCs w:val="32"/>
          <w:lang w:eastAsia="zh-CN"/>
        </w:rPr>
        <w:t>人，退休人员4</w:t>
      </w:r>
      <w:r>
        <w:rPr>
          <w:rFonts w:hint="eastAsia" w:ascii="仿宋" w:hAnsi="仿宋" w:eastAsia="仿宋"/>
          <w:sz w:val="32"/>
          <w:szCs w:val="32"/>
          <w:lang w:val="en-US" w:eastAsia="zh-CN"/>
        </w:rPr>
        <w:t>6</w:t>
      </w:r>
      <w:r>
        <w:rPr>
          <w:rFonts w:hint="eastAsia" w:ascii="仿宋" w:hAnsi="仿宋" w:eastAsia="仿宋"/>
          <w:sz w:val="32"/>
          <w:szCs w:val="32"/>
          <w:lang w:eastAsia="zh-CN"/>
        </w:rPr>
        <w:t>人，遗属</w:t>
      </w:r>
      <w:r>
        <w:rPr>
          <w:rFonts w:hint="eastAsia" w:ascii="仿宋" w:hAnsi="仿宋" w:eastAsia="仿宋"/>
          <w:sz w:val="32"/>
          <w:szCs w:val="32"/>
          <w:lang w:val="en-US" w:eastAsia="zh-CN"/>
        </w:rPr>
        <w:t>7</w:t>
      </w:r>
      <w:r>
        <w:rPr>
          <w:rFonts w:hint="eastAsia" w:ascii="仿宋" w:hAnsi="仿宋" w:eastAsia="仿宋"/>
          <w:sz w:val="32"/>
          <w:szCs w:val="32"/>
          <w:lang w:eastAsia="zh-CN"/>
        </w:rPr>
        <w:t>人。截至202</w:t>
      </w:r>
      <w:r>
        <w:rPr>
          <w:rFonts w:hint="eastAsia" w:ascii="仿宋" w:hAnsi="仿宋" w:eastAsia="仿宋"/>
          <w:sz w:val="32"/>
          <w:szCs w:val="32"/>
          <w:lang w:val="en-US" w:eastAsia="zh-CN"/>
        </w:rPr>
        <w:t>4</w:t>
      </w:r>
      <w:r>
        <w:rPr>
          <w:rFonts w:hint="eastAsia" w:ascii="仿宋" w:hAnsi="仿宋" w:eastAsia="仿宋"/>
          <w:sz w:val="32"/>
          <w:szCs w:val="32"/>
          <w:lang w:eastAsia="zh-CN"/>
        </w:rPr>
        <w:t>年</w:t>
      </w:r>
      <w:r>
        <w:rPr>
          <w:rFonts w:hint="eastAsia" w:ascii="仿宋" w:hAnsi="仿宋" w:eastAsia="仿宋"/>
          <w:sz w:val="32"/>
          <w:szCs w:val="32"/>
          <w:lang w:val="en-US" w:eastAsia="zh-CN"/>
        </w:rPr>
        <w:t>12</w:t>
      </w:r>
      <w:r>
        <w:rPr>
          <w:rFonts w:hint="eastAsia" w:ascii="仿宋" w:hAnsi="仿宋" w:eastAsia="仿宋"/>
          <w:sz w:val="32"/>
          <w:szCs w:val="32"/>
          <w:lang w:eastAsia="zh-CN"/>
        </w:rPr>
        <w:t>月31日，我院在用资产总额2568.76</w:t>
      </w:r>
      <w:r>
        <w:rPr>
          <w:rFonts w:hint="eastAsia" w:ascii="仿宋" w:hAnsi="仿宋" w:eastAsia="仿宋"/>
          <w:sz w:val="32"/>
          <w:szCs w:val="32"/>
          <w:lang w:val="en-US" w:eastAsia="zh-CN"/>
        </w:rPr>
        <w:t>万</w:t>
      </w:r>
      <w:r>
        <w:rPr>
          <w:rFonts w:hint="eastAsia" w:ascii="仿宋" w:hAnsi="仿宋" w:eastAsia="仿宋"/>
          <w:sz w:val="32"/>
          <w:szCs w:val="32"/>
          <w:lang w:eastAsia="zh-CN"/>
        </w:rPr>
        <w:t>元。汽车实有15辆，</w:t>
      </w:r>
      <w:r>
        <w:rPr>
          <w:rFonts w:hint="eastAsia" w:ascii="仿宋" w:hAnsi="仿宋" w:eastAsia="仿宋"/>
          <w:sz w:val="32"/>
          <w:szCs w:val="32"/>
          <w:lang w:val="en-US" w:eastAsia="zh-CN"/>
        </w:rPr>
        <w:t>其中执法执勤用车5辆，特种专业技术用车10辆。</w:t>
      </w:r>
      <w:r>
        <w:rPr>
          <w:rFonts w:hint="eastAsia" w:ascii="仿宋" w:hAnsi="仿宋" w:eastAsia="仿宋"/>
          <w:sz w:val="32"/>
          <w:szCs w:val="32"/>
          <w:lang w:eastAsia="zh-CN"/>
        </w:rPr>
        <w:t>办公用房面积 4777平米，业务用房3980平米。</w:t>
      </w:r>
    </w:p>
    <w:p w14:paraId="4A76EA58">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52C24745">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楷体" w:hAnsi="楷体" w:eastAsia="楷体" w:cs="楷体_GB2312"/>
          <w:bCs/>
          <w:sz w:val="32"/>
          <w:szCs w:val="32"/>
        </w:rPr>
      </w:pPr>
      <w:r>
        <w:rPr>
          <w:rFonts w:hint="eastAsia" w:ascii="仿宋" w:hAnsi="仿宋" w:eastAsia="仿宋"/>
          <w:sz w:val="32"/>
          <w:szCs w:val="32"/>
          <w:lang w:val="en-US" w:eastAsia="zh-CN"/>
        </w:rPr>
        <w:t>2024年栾城法院年初预算收入3064.53万元，</w:t>
      </w:r>
      <w:r>
        <w:rPr>
          <w:rFonts w:hint="eastAsia" w:ascii="仿宋" w:hAnsi="仿宋" w:eastAsia="仿宋"/>
          <w:sz w:val="32"/>
          <w:szCs w:val="32"/>
          <w:lang w:eastAsia="zh-CN"/>
        </w:rPr>
        <w:t>调整预算收入数</w:t>
      </w:r>
      <w:r>
        <w:rPr>
          <w:rFonts w:hint="eastAsia" w:ascii="仿宋" w:hAnsi="仿宋" w:eastAsia="仿宋"/>
          <w:sz w:val="32"/>
          <w:szCs w:val="32"/>
          <w:lang w:val="en-US" w:eastAsia="zh-CN"/>
        </w:rPr>
        <w:t>2986.77</w:t>
      </w:r>
      <w:r>
        <w:rPr>
          <w:rFonts w:hint="eastAsia" w:ascii="仿宋" w:hAnsi="仿宋" w:eastAsia="仿宋"/>
          <w:sz w:val="32"/>
          <w:szCs w:val="32"/>
          <w:lang w:eastAsia="zh-CN"/>
        </w:rPr>
        <w:t>万元，</w:t>
      </w:r>
      <w:r>
        <w:rPr>
          <w:rFonts w:hint="eastAsia" w:ascii="仿宋" w:hAnsi="仿宋" w:eastAsia="仿宋"/>
          <w:sz w:val="32"/>
          <w:szCs w:val="32"/>
          <w:lang w:val="en-US" w:eastAsia="zh-CN"/>
        </w:rPr>
        <w:t>决算收入2725.04万元。2024年年初预算支出3064.53万元，</w:t>
      </w:r>
      <w:r>
        <w:rPr>
          <w:rFonts w:hint="eastAsia" w:ascii="仿宋" w:hAnsi="仿宋" w:eastAsia="仿宋"/>
          <w:sz w:val="32"/>
          <w:szCs w:val="32"/>
          <w:lang w:eastAsia="zh-CN"/>
        </w:rPr>
        <w:t>调整预算支出</w:t>
      </w:r>
      <w:r>
        <w:rPr>
          <w:rFonts w:hint="eastAsia" w:ascii="仿宋" w:hAnsi="仿宋" w:eastAsia="仿宋"/>
          <w:sz w:val="32"/>
          <w:szCs w:val="32"/>
          <w:lang w:val="en-US" w:eastAsia="zh-CN"/>
        </w:rPr>
        <w:t>2986.77</w:t>
      </w:r>
      <w:r>
        <w:rPr>
          <w:rFonts w:hint="eastAsia" w:ascii="仿宋" w:hAnsi="仿宋" w:eastAsia="仿宋"/>
          <w:sz w:val="32"/>
          <w:szCs w:val="32"/>
          <w:lang w:eastAsia="zh-CN"/>
        </w:rPr>
        <w:t>万元，</w:t>
      </w:r>
      <w:r>
        <w:rPr>
          <w:rFonts w:hint="eastAsia" w:ascii="仿宋" w:hAnsi="仿宋" w:eastAsia="仿宋"/>
          <w:sz w:val="32"/>
          <w:szCs w:val="32"/>
          <w:lang w:val="en-US" w:eastAsia="zh-CN"/>
        </w:rPr>
        <w:t>决算支出2725.04万元。</w:t>
      </w:r>
    </w:p>
    <w:p w14:paraId="30A1119B">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338F6DE7">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总体绩效目标</w:t>
      </w:r>
    </w:p>
    <w:p w14:paraId="4CE2411C">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lang w:eastAsia="zh-CN"/>
        </w:rPr>
        <w:t>年，栾城法院将坚持以习近平新时代中国特色社会主义思想为指导，深入贯彻习近平法治思想，全面贯彻落实党的二十大精神，坚持服务大局，履行司法职责，为民公正司法，推动法院实现高质量发展，为建设现代化经济强区美丽栾城提供有力司法服务和保障。</w:t>
      </w:r>
    </w:p>
    <w:p w14:paraId="113D313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重点有以下五个目标：</w:t>
      </w:r>
    </w:p>
    <w:p w14:paraId="0627114A">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一是在坚持党的领导上实现新提升。以政治建设为统领，强化党的创新理论武装，坚决拥护“两个确立”，切实增强“四个意识”、坚定“四个自信”、做到“两个维护”</w:t>
      </w:r>
      <w:bookmarkStart w:id="0" w:name="_GoBack"/>
      <w:bookmarkEnd w:id="0"/>
      <w:r>
        <w:rPr>
          <w:rFonts w:hint="eastAsia" w:ascii="仿宋" w:hAnsi="仿宋" w:eastAsia="仿宋"/>
          <w:sz w:val="32"/>
          <w:szCs w:val="32"/>
          <w:lang w:eastAsia="zh-CN"/>
        </w:rPr>
        <w:t>，确保党对法院工作的绝对领导。</w:t>
      </w:r>
    </w:p>
    <w:p w14:paraId="2EAD8F24">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二是在服务发展大局上作出新贡献。以服务大局为中心，依法打击犯罪、化解矛盾、服务发展、保障民生，全力护航栾城高质量发展。</w:t>
      </w:r>
    </w:p>
    <w:p w14:paraId="3E33AA53">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三是在深化司法改革上谋求新突破。以司法改革为动力，坚持科技赋能、智慧司法，实现现代科技与法院工作深度融合，更好维护社会公平正义。</w:t>
      </w:r>
    </w:p>
    <w:p w14:paraId="2FF425BE">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四是在提升审判质量上做出新业绩。以执法办案为要务，落实审判执行权监督考核，确保核心指标、关键指标稳步提升，努力满足人民群众多元司法需求。</w:t>
      </w:r>
    </w:p>
    <w:p w14:paraId="3688C777">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五是在锻造过硬队伍上展现新面貌。以从严治院为重点，坚定不移推进自我革命，持之以恒正风肃纪，强化监督执纪问责，全面锻造过硬法院队伍。</w:t>
      </w:r>
    </w:p>
    <w:p w14:paraId="46244F0E">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w:t>
      </w:r>
      <w:r>
        <w:rPr>
          <w:rFonts w:hint="eastAsia" w:ascii="仿宋" w:hAnsi="仿宋" w:eastAsia="仿宋"/>
          <w:sz w:val="32"/>
          <w:szCs w:val="32"/>
          <w:lang w:eastAsia="zh-CN"/>
        </w:rPr>
        <w:t>分项绩效目标</w:t>
      </w:r>
    </w:p>
    <w:p w14:paraId="5FF7EB3B">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①案件审判管理和执行</w:t>
      </w:r>
    </w:p>
    <w:p w14:paraId="0EFC5C36">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绩效目标：妥善审理各类矛盾纠纷，依法维护国家安全和社会稳定，依法惩治刑事犯罪，营造良好法治环境。</w:t>
      </w:r>
    </w:p>
    <w:p w14:paraId="5FEC0B13">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完善审判质效评估体系，促进审判质效提升，健全司法权力运行机制，提升司法公信力。依法惩治刑事犯罪，监督行政机关依法行政，促进社会和谐，维护社会稳定，服务全区工作大局，发挥服务保障职能，营造良好法治环境。积极推进执行工作，切实保障群众合法利益，维护社会公平正义。</w:t>
      </w:r>
    </w:p>
    <w:p w14:paraId="7FC1B741">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②司法救助和国家赔偿</w:t>
      </w:r>
    </w:p>
    <w:p w14:paraId="0E21CEE2">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绩效目标：完成涉法涉诉类案件的息诉罢访工作，依法办理国家赔偿案件。</w:t>
      </w:r>
    </w:p>
    <w:p w14:paraId="51D9A245">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改革涉诉信访工作，推动涉诉信访问题在法治轨道内解决；落实司法为民措施，保障被侵权人合法权益，促进国家机关依法行使职权。不断完善司法救助，切实保护民生，让人民群众感受到司法以人为本，享受到司法人文关怀。</w:t>
      </w:r>
    </w:p>
    <w:p w14:paraId="02D93C21">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③法院事务管理</w:t>
      </w:r>
    </w:p>
    <w:p w14:paraId="34181552">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绩效目标：系统完成法院综合业务管理和综合事务管理。</w:t>
      </w:r>
    </w:p>
    <w:p w14:paraId="0973CCB0">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绩效指标：提高队伍素质和执法能力，满足办案基本需求，高质高效完成各项工作，保障法院审判执行工作顺利开展。</w:t>
      </w:r>
    </w:p>
    <w:p w14:paraId="7BA85293">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二、自评工作开展情况</w:t>
      </w:r>
    </w:p>
    <w:p w14:paraId="51E02771">
      <w:pPr>
        <w:keepNext w:val="0"/>
        <w:keepLines w:val="0"/>
        <w:pageBreakBefore w:val="0"/>
        <w:widowControl w:val="0"/>
        <w:kinsoku/>
        <w:wordWrap/>
        <w:overflowPunct/>
        <w:topLinePunct w:val="0"/>
        <w:autoSpaceDE/>
        <w:autoSpaceDN/>
        <w:bidi w:val="0"/>
        <w:spacing w:line="540" w:lineRule="exact"/>
        <w:textAlignment w:val="auto"/>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665FF4C">
      <w:pPr>
        <w:keepNext w:val="0"/>
        <w:keepLines w:val="0"/>
        <w:pageBreakBefore w:val="0"/>
        <w:widowControl w:val="0"/>
        <w:kinsoku/>
        <w:wordWrap/>
        <w:overflowPunct/>
        <w:topLinePunct w:val="0"/>
        <w:autoSpaceDE/>
        <w:autoSpaceDN/>
        <w:bidi w:val="0"/>
        <w:spacing w:line="540" w:lineRule="exact"/>
        <w:ind w:firstLine="640"/>
        <w:jc w:val="both"/>
        <w:textAlignment w:val="auto"/>
        <w:rPr>
          <w:rFonts w:hint="eastAsia"/>
          <w:lang w:eastAsia="zh-CN"/>
        </w:rPr>
      </w:pPr>
      <w:r>
        <w:rPr>
          <w:rFonts w:hint="eastAsia" w:ascii="仿宋" w:hAnsi="仿宋" w:eastAsia="仿宋" w:cs="黑体"/>
          <w:kern w:val="2"/>
          <w:sz w:val="32"/>
          <w:szCs w:val="32"/>
          <w:lang w:val="en-US" w:eastAsia="zh-CN" w:bidi="ar-SA"/>
        </w:rPr>
        <w:t>为保证绩效评价工作顺利开展，我院成立了绩效评价工作小组，院长任组长，主管财务院领导为副组长，</w:t>
      </w:r>
      <w:r>
        <w:rPr>
          <w:rFonts w:hint="eastAsia" w:ascii="仿宋" w:hAnsi="仿宋" w:eastAsia="仿宋"/>
          <w:sz w:val="32"/>
          <w:szCs w:val="32"/>
          <w:lang w:eastAsia="zh-CN"/>
        </w:rPr>
        <w:t>成员包括党组成员、财务主管部门相关人员，</w:t>
      </w:r>
      <w:r>
        <w:rPr>
          <w:rFonts w:hint="eastAsia" w:ascii="仿宋" w:hAnsi="仿宋" w:eastAsia="仿宋" w:cs="黑体"/>
          <w:kern w:val="2"/>
          <w:sz w:val="32"/>
          <w:szCs w:val="32"/>
          <w:lang w:val="en-US" w:eastAsia="zh-CN" w:bidi="ar-SA"/>
        </w:rPr>
        <w:t>具体负责绩效评价的组织管理工作和实施工作</w:t>
      </w:r>
      <w:r>
        <w:rPr>
          <w:rFonts w:hint="eastAsia" w:ascii="仿宋" w:hAnsi="仿宋" w:eastAsia="仿宋"/>
          <w:sz w:val="32"/>
          <w:szCs w:val="32"/>
          <w:lang w:eastAsia="zh-CN"/>
        </w:rPr>
        <w:t>。</w:t>
      </w:r>
      <w:r>
        <w:rPr>
          <w:rFonts w:hint="eastAsia"/>
          <w:lang w:eastAsia="zh-CN"/>
        </w:rPr>
        <w:t xml:space="preserve">    </w:t>
      </w:r>
    </w:p>
    <w:p w14:paraId="1564FC2E">
      <w:pPr>
        <w:keepNext w:val="0"/>
        <w:keepLines w:val="0"/>
        <w:pageBreakBefore w:val="0"/>
        <w:widowControl w:val="0"/>
        <w:numPr>
          <w:ilvl w:val="0"/>
          <w:numId w:val="1"/>
        </w:numPr>
        <w:kinsoku/>
        <w:wordWrap/>
        <w:overflowPunct/>
        <w:topLinePunct w:val="0"/>
        <w:autoSpaceDE/>
        <w:autoSpaceDN/>
        <w:bidi w:val="0"/>
        <w:spacing w:line="540" w:lineRule="exact"/>
        <w:textAlignment w:val="auto"/>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B7654BC">
      <w:pPr>
        <w:keepNext w:val="0"/>
        <w:keepLines w:val="0"/>
        <w:pageBreakBefore w:val="0"/>
        <w:widowControl w:val="0"/>
        <w:kinsoku/>
        <w:wordWrap/>
        <w:overflowPunct/>
        <w:topLinePunct w:val="0"/>
        <w:autoSpaceDE/>
        <w:autoSpaceDN/>
        <w:bidi w:val="0"/>
        <w:spacing w:line="540" w:lineRule="exact"/>
        <w:ind w:firstLine="640" w:firstLineChars="200"/>
        <w:jc w:val="both"/>
        <w:textAlignment w:val="auto"/>
        <w:outlineLvl w:val="0"/>
        <w:rPr>
          <w:rFonts w:hint="eastAsia" w:ascii="仿宋" w:hAnsi="仿宋" w:eastAsia="仿宋"/>
          <w:sz w:val="32"/>
          <w:szCs w:val="32"/>
          <w:lang w:val="en-US" w:eastAsia="zh-CN"/>
        </w:rPr>
      </w:pPr>
      <w:r>
        <w:rPr>
          <w:rFonts w:hint="eastAsia" w:ascii="仿宋" w:hAnsi="仿宋" w:eastAsia="仿宋"/>
          <w:sz w:val="32"/>
          <w:szCs w:val="32"/>
          <w:lang w:val="en-US" w:eastAsia="zh-CN"/>
        </w:rPr>
        <w:t>1、自评方法</w:t>
      </w:r>
    </w:p>
    <w:p w14:paraId="63D00DE0">
      <w:pPr>
        <w:keepNext w:val="0"/>
        <w:keepLines w:val="0"/>
        <w:pageBreakBefore w:val="0"/>
        <w:widowControl w:val="0"/>
        <w:kinsoku/>
        <w:wordWrap/>
        <w:overflowPunct/>
        <w:topLinePunct w:val="0"/>
        <w:autoSpaceDE/>
        <w:autoSpaceDN/>
        <w:bidi w:val="0"/>
        <w:spacing w:line="540" w:lineRule="exact"/>
        <w:ind w:firstLine="640" w:firstLineChars="200"/>
        <w:jc w:val="both"/>
        <w:textAlignment w:val="auto"/>
        <w:outlineLvl w:val="0"/>
        <w:rPr>
          <w:rFonts w:hint="default" w:ascii="仿宋" w:hAnsi="仿宋" w:eastAsia="仿宋"/>
          <w:sz w:val="32"/>
          <w:szCs w:val="32"/>
          <w:lang w:val="en-US" w:eastAsia="zh-CN"/>
        </w:rPr>
      </w:pPr>
      <w:r>
        <w:rPr>
          <w:rFonts w:hint="eastAsia" w:ascii="仿宋" w:hAnsi="仿宋" w:eastAsia="仿宋"/>
          <w:sz w:val="32"/>
          <w:szCs w:val="32"/>
          <w:lang w:val="en-US" w:eastAsia="zh-CN"/>
        </w:rPr>
        <w:t>绩效自评</w:t>
      </w:r>
      <w:r>
        <w:rPr>
          <w:rFonts w:hint="default" w:ascii="仿宋" w:hAnsi="仿宋" w:eastAsia="仿宋"/>
          <w:sz w:val="32"/>
          <w:szCs w:val="32"/>
          <w:lang w:val="en-US" w:eastAsia="zh-CN"/>
        </w:rPr>
        <w:t>遵循“问题导向、突出重点、科学规范、公平公正”的原则，根据相关资料及项目特点，采用全面评价和重点评价相结合、现场评价和非现场评价相结合、定性分析与定量分析相结合的方式，运用因素分析法</w:t>
      </w:r>
      <w:r>
        <w:rPr>
          <w:rFonts w:hint="eastAsia" w:ascii="仿宋" w:hAnsi="仿宋" w:eastAsia="仿宋"/>
          <w:sz w:val="32"/>
          <w:szCs w:val="32"/>
          <w:lang w:val="en-US" w:eastAsia="zh-CN"/>
        </w:rPr>
        <w:t>、</w:t>
      </w:r>
      <w:r>
        <w:rPr>
          <w:rFonts w:hint="default" w:ascii="仿宋" w:hAnsi="仿宋" w:eastAsia="仿宋"/>
          <w:sz w:val="32"/>
          <w:szCs w:val="32"/>
          <w:lang w:val="en-US" w:eastAsia="zh-CN"/>
        </w:rPr>
        <w:t>比较</w:t>
      </w:r>
      <w:r>
        <w:rPr>
          <w:rFonts w:hint="eastAsia" w:ascii="仿宋" w:hAnsi="仿宋" w:eastAsia="仿宋"/>
          <w:sz w:val="32"/>
          <w:szCs w:val="32"/>
          <w:lang w:val="en-US" w:eastAsia="zh-CN"/>
        </w:rPr>
        <w:t>分析</w:t>
      </w:r>
      <w:r>
        <w:rPr>
          <w:rFonts w:hint="default" w:ascii="仿宋" w:hAnsi="仿宋" w:eastAsia="仿宋"/>
          <w:sz w:val="32"/>
          <w:szCs w:val="32"/>
          <w:lang w:val="en-US" w:eastAsia="zh-CN"/>
        </w:rPr>
        <w:t>法、现场核查法等评价方法，通过查阅项目明细账、现场勘察、调查问卷等形式对项目进行综合评价。</w:t>
      </w:r>
    </w:p>
    <w:p w14:paraId="7CB7E825">
      <w:pPr>
        <w:keepNext w:val="0"/>
        <w:keepLines w:val="0"/>
        <w:pageBreakBefore w:val="0"/>
        <w:widowControl w:val="0"/>
        <w:kinsoku/>
        <w:wordWrap/>
        <w:overflowPunct/>
        <w:topLinePunct w:val="0"/>
        <w:autoSpaceDE/>
        <w:autoSpaceDN/>
        <w:bidi w:val="0"/>
        <w:spacing w:line="540" w:lineRule="exact"/>
        <w:ind w:firstLine="640" w:firstLineChars="200"/>
        <w:jc w:val="both"/>
        <w:textAlignment w:val="auto"/>
        <w:outlineLvl w:val="0"/>
        <w:rPr>
          <w:rFonts w:hint="eastAsia" w:ascii="仿宋" w:hAnsi="仿宋" w:eastAsia="仿宋"/>
          <w:sz w:val="32"/>
          <w:szCs w:val="32"/>
          <w:lang w:val="en-US" w:eastAsia="zh-CN"/>
        </w:rPr>
      </w:pPr>
      <w:r>
        <w:rPr>
          <w:rFonts w:hint="eastAsia" w:ascii="仿宋" w:hAnsi="仿宋" w:eastAsia="仿宋"/>
          <w:sz w:val="32"/>
          <w:szCs w:val="32"/>
          <w:lang w:val="en-US" w:eastAsia="zh-CN"/>
        </w:rPr>
        <w:t>2、自评过程</w:t>
      </w:r>
    </w:p>
    <w:p w14:paraId="6BB792F3">
      <w:pPr>
        <w:keepNext w:val="0"/>
        <w:keepLines w:val="0"/>
        <w:pageBreakBefore w:val="0"/>
        <w:widowControl w:val="0"/>
        <w:tabs>
          <w:tab w:val="left" w:pos="1247"/>
        </w:tabs>
        <w:kinsoku/>
        <w:wordWrap/>
        <w:overflowPunct/>
        <w:topLinePunct w:val="0"/>
        <w:autoSpaceDE/>
        <w:autoSpaceDN/>
        <w:bidi w:val="0"/>
        <w:spacing w:line="540" w:lineRule="exact"/>
        <w:ind w:firstLine="640" w:firstLineChars="200"/>
        <w:jc w:val="left"/>
        <w:textAlignment w:val="auto"/>
        <w:rPr>
          <w:rFonts w:hint="default" w:ascii="仿宋" w:hAnsi="仿宋" w:eastAsia="仿宋"/>
          <w:sz w:val="32"/>
          <w:szCs w:val="32"/>
          <w:lang w:val="en-US" w:eastAsia="zh-CN"/>
        </w:rPr>
      </w:pPr>
      <w:r>
        <w:rPr>
          <w:rFonts w:hint="default" w:ascii="仿宋" w:hAnsi="仿宋" w:eastAsia="仿宋"/>
          <w:sz w:val="32"/>
          <w:szCs w:val="32"/>
          <w:lang w:val="en-US" w:eastAsia="zh-CN"/>
        </w:rPr>
        <w:t>本次绩效评价工作过程包括前期准备、组织实施、撰写评价报告三个阶段。</w:t>
      </w:r>
    </w:p>
    <w:p w14:paraId="2ABF3D9B">
      <w:pPr>
        <w:keepNext w:val="0"/>
        <w:keepLines w:val="0"/>
        <w:pageBreakBefore w:val="0"/>
        <w:widowControl w:val="0"/>
        <w:tabs>
          <w:tab w:val="left" w:pos="1247"/>
        </w:tabs>
        <w:kinsoku/>
        <w:wordWrap/>
        <w:overflowPunct/>
        <w:topLinePunct w:val="0"/>
        <w:autoSpaceDE/>
        <w:autoSpaceDN/>
        <w:bidi w:val="0"/>
        <w:spacing w:line="540" w:lineRule="exact"/>
        <w:ind w:firstLine="640" w:firstLineChars="200"/>
        <w:jc w:val="left"/>
        <w:textAlignment w:val="auto"/>
        <w:rPr>
          <w:rFonts w:hint="default" w:ascii="仿宋" w:hAnsi="仿宋" w:eastAsia="仿宋"/>
          <w:sz w:val="32"/>
          <w:szCs w:val="32"/>
          <w:lang w:val="en-US" w:eastAsia="zh-CN"/>
        </w:rPr>
      </w:pPr>
      <w:r>
        <w:rPr>
          <w:rFonts w:hint="default" w:ascii="仿宋" w:hAnsi="仿宋" w:eastAsia="仿宋"/>
          <w:sz w:val="32"/>
          <w:szCs w:val="32"/>
          <w:lang w:val="en-US" w:eastAsia="zh-CN"/>
        </w:rPr>
        <w:t>前期准备</w:t>
      </w:r>
      <w:r>
        <w:rPr>
          <w:rFonts w:hint="eastAsia" w:ascii="仿宋" w:hAnsi="仿宋" w:eastAsia="仿宋"/>
          <w:sz w:val="32"/>
          <w:szCs w:val="32"/>
          <w:lang w:val="en-US" w:eastAsia="zh-CN"/>
        </w:rPr>
        <w:t>：</w:t>
      </w:r>
      <w:r>
        <w:rPr>
          <w:rFonts w:hint="default" w:ascii="仿宋" w:hAnsi="仿宋" w:eastAsia="仿宋"/>
          <w:sz w:val="32"/>
          <w:szCs w:val="32"/>
          <w:lang w:val="en-US" w:eastAsia="zh-CN"/>
        </w:rPr>
        <w:t>一是按照绩效评价工作要求，明确绩效评价的内容和范围，初步制定绩效评价工作方案。</w:t>
      </w:r>
      <w:r>
        <w:rPr>
          <w:rFonts w:hint="eastAsia" w:ascii="仿宋" w:hAnsi="仿宋" w:eastAsia="仿宋"/>
          <w:sz w:val="32"/>
          <w:szCs w:val="32"/>
          <w:lang w:val="en-US" w:eastAsia="zh-CN"/>
        </w:rPr>
        <w:t>二</w:t>
      </w:r>
      <w:r>
        <w:rPr>
          <w:rFonts w:hint="default" w:ascii="仿宋" w:hAnsi="仿宋" w:eastAsia="仿宋"/>
          <w:sz w:val="32"/>
          <w:szCs w:val="32"/>
          <w:lang w:val="en-US" w:eastAsia="zh-CN"/>
        </w:rPr>
        <w:t>是在资料搜集、信息核实、现场调研、访谈沟通等工作的基础上，得出绩效数据，准确计量和评判各项目实施后产生的社会效益和可持续影响，为最终形成评价结论奠定基础。</w:t>
      </w:r>
    </w:p>
    <w:p w14:paraId="79F69D29">
      <w:pPr>
        <w:keepNext w:val="0"/>
        <w:keepLines w:val="0"/>
        <w:pageBreakBefore w:val="0"/>
        <w:widowControl w:val="0"/>
        <w:tabs>
          <w:tab w:val="left" w:pos="1247"/>
        </w:tabs>
        <w:kinsoku/>
        <w:wordWrap/>
        <w:overflowPunct/>
        <w:topLinePunct w:val="0"/>
        <w:autoSpaceDE/>
        <w:autoSpaceDN/>
        <w:bidi w:val="0"/>
        <w:spacing w:line="540" w:lineRule="exact"/>
        <w:ind w:firstLine="640" w:firstLineChars="200"/>
        <w:jc w:val="left"/>
        <w:textAlignment w:val="auto"/>
        <w:rPr>
          <w:rFonts w:hint="default" w:ascii="仿宋" w:hAnsi="仿宋" w:eastAsia="仿宋"/>
          <w:sz w:val="32"/>
          <w:szCs w:val="32"/>
          <w:lang w:val="en-US" w:eastAsia="zh-CN"/>
        </w:rPr>
      </w:pPr>
      <w:r>
        <w:rPr>
          <w:rFonts w:hint="default" w:ascii="仿宋" w:hAnsi="仿宋" w:eastAsia="仿宋"/>
          <w:sz w:val="32"/>
          <w:szCs w:val="32"/>
          <w:lang w:val="en-US" w:eastAsia="zh-CN"/>
        </w:rPr>
        <w:t>组织实施</w:t>
      </w:r>
      <w:r>
        <w:rPr>
          <w:rFonts w:hint="eastAsia" w:ascii="仿宋" w:hAnsi="仿宋" w:eastAsia="仿宋"/>
          <w:sz w:val="32"/>
          <w:szCs w:val="32"/>
          <w:lang w:val="en-US" w:eastAsia="zh-CN"/>
        </w:rPr>
        <w:t>：</w:t>
      </w:r>
      <w:r>
        <w:rPr>
          <w:rFonts w:hint="default" w:ascii="仿宋" w:hAnsi="仿宋" w:eastAsia="仿宋"/>
          <w:sz w:val="32"/>
          <w:szCs w:val="32"/>
          <w:lang w:val="en-US" w:eastAsia="zh-CN"/>
        </w:rPr>
        <w:t>评价工作小组对项目绩效目标的相关佐证材料进行收集、梳理。</w:t>
      </w:r>
      <w:r>
        <w:rPr>
          <w:rFonts w:hint="eastAsia" w:ascii="仿宋" w:hAnsi="仿宋" w:eastAsia="仿宋"/>
          <w:sz w:val="32"/>
          <w:szCs w:val="32"/>
          <w:lang w:val="en-US" w:eastAsia="zh-CN"/>
        </w:rPr>
        <w:t>一是</w:t>
      </w:r>
      <w:r>
        <w:rPr>
          <w:rFonts w:hint="default" w:ascii="仿宋" w:hAnsi="仿宋" w:eastAsia="仿宋"/>
          <w:sz w:val="32"/>
          <w:szCs w:val="32"/>
          <w:lang w:val="en-US" w:eastAsia="zh-CN"/>
        </w:rPr>
        <w:t>对相关资料进行查阅、核实、分析，确保所提供数据和资料真实、可靠。</w:t>
      </w:r>
      <w:r>
        <w:rPr>
          <w:rFonts w:hint="eastAsia" w:ascii="仿宋" w:hAnsi="仿宋" w:eastAsia="仿宋"/>
          <w:sz w:val="32"/>
          <w:szCs w:val="32"/>
          <w:lang w:val="en-US" w:eastAsia="zh-CN"/>
        </w:rPr>
        <w:t>二是</w:t>
      </w:r>
      <w:r>
        <w:rPr>
          <w:rFonts w:hint="default" w:ascii="仿宋" w:hAnsi="仿宋" w:eastAsia="仿宋"/>
          <w:sz w:val="32"/>
          <w:szCs w:val="32"/>
          <w:lang w:val="en-US" w:eastAsia="zh-CN"/>
        </w:rPr>
        <w:t>与相关人员进行沟通，对照核实资料清单，确保项目资料完整性，保证项目资料、实施流程、存在的问题及重点信息同时展现。小组成员根据项目实际情况，建立绩效评价指标体系，并通过分析收集的数据、资料，对项目的实施进行评分，形成项目绩效评分表。</w:t>
      </w:r>
    </w:p>
    <w:p w14:paraId="7E55E365">
      <w:pPr>
        <w:keepNext w:val="0"/>
        <w:keepLines w:val="0"/>
        <w:pageBreakBefore w:val="0"/>
        <w:widowControl w:val="0"/>
        <w:kinsoku/>
        <w:wordWrap/>
        <w:overflowPunct/>
        <w:topLinePunct w:val="0"/>
        <w:autoSpaceDE/>
        <w:autoSpaceDN/>
        <w:bidi w:val="0"/>
        <w:spacing w:line="540" w:lineRule="exact"/>
        <w:ind w:left="0" w:leftChars="0" w:right="0" w:firstLine="640" w:firstLineChars="200"/>
        <w:textAlignment w:val="auto"/>
        <w:outlineLvl w:val="9"/>
        <w:rPr>
          <w:rFonts w:hint="eastAsia" w:ascii="黑体" w:hAnsi="黑体" w:eastAsia="黑体"/>
          <w:sz w:val="32"/>
          <w:szCs w:val="32"/>
        </w:rPr>
      </w:pPr>
      <w:r>
        <w:rPr>
          <w:rFonts w:hint="default" w:ascii="仿宋" w:hAnsi="仿宋" w:eastAsia="仿宋"/>
          <w:sz w:val="32"/>
          <w:szCs w:val="32"/>
          <w:lang w:val="en-US" w:eastAsia="zh-CN"/>
        </w:rPr>
        <w:t>撰写绩效评价报告</w:t>
      </w:r>
      <w:r>
        <w:rPr>
          <w:rFonts w:hint="eastAsia" w:ascii="仿宋" w:hAnsi="仿宋" w:eastAsia="仿宋"/>
          <w:sz w:val="32"/>
          <w:szCs w:val="32"/>
          <w:lang w:val="en-US" w:eastAsia="zh-CN"/>
        </w:rPr>
        <w:t>：</w:t>
      </w:r>
      <w:r>
        <w:rPr>
          <w:rFonts w:hint="default" w:ascii="仿宋" w:hAnsi="仿宋" w:eastAsia="仿宋"/>
          <w:sz w:val="32"/>
          <w:szCs w:val="32"/>
          <w:lang w:val="en-US" w:eastAsia="zh-CN"/>
        </w:rPr>
        <w:t xml:space="preserve">根据项目绩效评价结果，撰写绩效评价报告，并形成绩效评价档案。  </w:t>
      </w:r>
    </w:p>
    <w:p w14:paraId="27B40BD5">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301DDCE0">
      <w:pPr>
        <w:keepNext w:val="0"/>
        <w:keepLines w:val="0"/>
        <w:pageBreakBefore w:val="0"/>
        <w:widowControl w:val="0"/>
        <w:numPr>
          <w:ilvl w:val="0"/>
          <w:numId w:val="2"/>
        </w:numPr>
        <w:kinsoku/>
        <w:wordWrap/>
        <w:overflowPunct/>
        <w:topLinePunct w:val="0"/>
        <w:autoSpaceDE/>
        <w:autoSpaceDN/>
        <w:bidi w:val="0"/>
        <w:spacing w:line="540" w:lineRule="exact"/>
        <w:ind w:firstLine="640" w:firstLineChars="200"/>
        <w:textAlignment w:val="auto"/>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B29C708">
      <w:pPr>
        <w:keepNext w:val="0"/>
        <w:keepLines w:val="0"/>
        <w:pageBreakBefore w:val="0"/>
        <w:widowControl w:val="0"/>
        <w:kinsoku/>
        <w:wordWrap/>
        <w:overflowPunct/>
        <w:topLinePunct w:val="0"/>
        <w:autoSpaceDE/>
        <w:autoSpaceDN/>
        <w:bidi w:val="0"/>
        <w:spacing w:line="54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202</w:t>
      </w:r>
      <w:r>
        <w:rPr>
          <w:rFonts w:hint="eastAsia" w:ascii="仿宋" w:hAnsi="仿宋" w:eastAsia="仿宋"/>
          <w:sz w:val="32"/>
          <w:szCs w:val="32"/>
          <w:lang w:val="en-US" w:eastAsia="zh-CN"/>
        </w:rPr>
        <w:t>4</w:t>
      </w:r>
      <w:r>
        <w:rPr>
          <w:rFonts w:hint="eastAsia" w:ascii="仿宋" w:hAnsi="仿宋" w:eastAsia="仿宋"/>
          <w:sz w:val="32"/>
          <w:szCs w:val="32"/>
          <w:lang w:eastAsia="zh-CN"/>
        </w:rPr>
        <w:t>年，栾城法院在区委、</w:t>
      </w:r>
      <w:r>
        <w:rPr>
          <w:rFonts w:hint="eastAsia" w:ascii="仿宋" w:hAnsi="仿宋" w:eastAsia="仿宋"/>
          <w:sz w:val="32"/>
          <w:szCs w:val="32"/>
          <w:lang w:val="en-US" w:eastAsia="zh-CN"/>
        </w:rPr>
        <w:t>市委</w:t>
      </w:r>
      <w:r>
        <w:rPr>
          <w:rFonts w:hint="eastAsia" w:ascii="仿宋" w:hAnsi="仿宋" w:eastAsia="仿宋"/>
          <w:sz w:val="32"/>
          <w:szCs w:val="32"/>
          <w:lang w:eastAsia="zh-CN"/>
        </w:rPr>
        <w:t>的坚强领导、人大的有力监督和政府、政协及社会各界的关心支持下，坚持以习近平新时代中国特色社会主义思想为指导，深入学习贯彻党的二十大</w:t>
      </w:r>
      <w:r>
        <w:rPr>
          <w:rFonts w:hint="eastAsia" w:ascii="仿宋" w:hAnsi="仿宋" w:eastAsia="仿宋"/>
          <w:sz w:val="32"/>
          <w:szCs w:val="32"/>
          <w:lang w:val="en-US" w:eastAsia="zh-CN"/>
        </w:rPr>
        <w:t>和二十届三中全会</w:t>
      </w:r>
      <w:r>
        <w:rPr>
          <w:rFonts w:hint="eastAsia" w:ascii="仿宋" w:hAnsi="仿宋" w:eastAsia="仿宋"/>
          <w:sz w:val="32"/>
          <w:szCs w:val="32"/>
          <w:lang w:eastAsia="zh-CN"/>
        </w:rPr>
        <w:t>精神，不忘司法为民初心，坚守公正司法底线，依法履行审判职能，服务全区发展大局，践行司法为民理念，全力保障服务民生，深化司法体制改革，保障司法公平公正，驰而不息从严治院，政治生态风清气正，主动接受各方监督，加强改进法院工作，认真履行“一岗双责”，强化党组班子领导，提振队伍精神活力，努力争创一流业绩，各项工作取得新进展、新业绩。全年受理各类案件</w:t>
      </w:r>
      <w:r>
        <w:rPr>
          <w:rFonts w:hint="eastAsia" w:ascii="仿宋" w:hAnsi="仿宋" w:eastAsia="仿宋"/>
          <w:sz w:val="32"/>
          <w:szCs w:val="32"/>
          <w:lang w:val="en-US" w:eastAsia="zh-CN"/>
        </w:rPr>
        <w:t>7539</w:t>
      </w:r>
      <w:r>
        <w:rPr>
          <w:rFonts w:hint="eastAsia" w:ascii="仿宋" w:hAnsi="仿宋" w:eastAsia="仿宋"/>
          <w:sz w:val="32"/>
          <w:szCs w:val="32"/>
          <w:lang w:eastAsia="zh-CN"/>
        </w:rPr>
        <w:t>件，审执结</w:t>
      </w:r>
      <w:r>
        <w:rPr>
          <w:rFonts w:hint="eastAsia" w:ascii="仿宋" w:hAnsi="仿宋" w:eastAsia="仿宋"/>
          <w:sz w:val="32"/>
          <w:szCs w:val="32"/>
          <w:lang w:val="en-US" w:eastAsia="zh-CN"/>
        </w:rPr>
        <w:t>6319</w:t>
      </w:r>
      <w:r>
        <w:rPr>
          <w:rFonts w:hint="eastAsia" w:ascii="仿宋" w:hAnsi="仿宋" w:eastAsia="仿宋"/>
          <w:sz w:val="32"/>
          <w:szCs w:val="32"/>
          <w:lang w:eastAsia="zh-CN"/>
        </w:rPr>
        <w:t>件。</w:t>
      </w:r>
    </w:p>
    <w:p w14:paraId="53EFC62D">
      <w:pPr>
        <w:keepNext w:val="0"/>
        <w:keepLines w:val="0"/>
        <w:pageBreakBefore w:val="0"/>
        <w:widowControl w:val="0"/>
        <w:kinsoku/>
        <w:wordWrap/>
        <w:overflowPunct/>
        <w:topLinePunct w:val="0"/>
        <w:autoSpaceDE/>
        <w:autoSpaceDN/>
        <w:bidi w:val="0"/>
        <w:spacing w:line="54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82B6641">
      <w:pPr>
        <w:keepNext w:val="0"/>
        <w:keepLines w:val="0"/>
        <w:pageBreakBefore w:val="0"/>
        <w:widowControl w:val="0"/>
        <w:kinsoku/>
        <w:wordWrap/>
        <w:overflowPunct/>
        <w:topLinePunct w:val="0"/>
        <w:autoSpaceDE/>
        <w:autoSpaceDN/>
        <w:bidi w:val="0"/>
        <w:spacing w:line="540" w:lineRule="exac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本次纳入绩效评价的预算项目共18个，各项目绩效目标、绩效指标及评价标准均在预算编制时合理制定，并在此基础上结合法院实际工作及时细化和完善，形成了栾城法院2024年预算项目自评表。</w:t>
      </w:r>
    </w:p>
    <w:p w14:paraId="15C31FA4">
      <w:pPr>
        <w:keepNext w:val="0"/>
        <w:keepLines w:val="0"/>
        <w:pageBreakBefore w:val="0"/>
        <w:widowControl w:val="0"/>
        <w:numPr>
          <w:ilvl w:val="0"/>
          <w:numId w:val="0"/>
        </w:numPr>
        <w:kinsoku/>
        <w:wordWrap/>
        <w:overflowPunct/>
        <w:topLinePunct w:val="0"/>
        <w:autoSpaceDE/>
        <w:autoSpaceDN/>
        <w:bidi w:val="0"/>
        <w:spacing w:line="540" w:lineRule="exact"/>
        <w:ind w:right="0" w:rightChars="0" w:firstLine="640" w:firstLineChars="200"/>
        <w:textAlignment w:val="auto"/>
        <w:outlineLvl w:val="9"/>
        <w:rPr>
          <w:rFonts w:hint="eastAsia" w:ascii="仿宋_GB2312" w:hAnsi="仿宋" w:eastAsia="仿宋_GB2312" w:cs="仿宋"/>
          <w:sz w:val="32"/>
          <w:szCs w:val="32"/>
        </w:rPr>
      </w:pPr>
      <w:r>
        <w:rPr>
          <w:rFonts w:hint="eastAsia" w:ascii="仿宋" w:hAnsi="仿宋" w:eastAsia="仿宋"/>
          <w:sz w:val="32"/>
          <w:szCs w:val="32"/>
          <w:lang w:val="en-US" w:eastAsia="zh-CN"/>
        </w:rPr>
        <w:t>1.办公设备购置项目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，项目支出自评得分为9</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16.6</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16.6</w:t>
      </w:r>
      <w:r>
        <w:rPr>
          <w:rFonts w:hint="eastAsia" w:ascii="仿宋_GB2312" w:hAnsi="仿宋" w:eastAsia="仿宋_GB2312" w:cs="仿宋"/>
          <w:sz w:val="32"/>
          <w:szCs w:val="32"/>
        </w:rPr>
        <w:t>万元，项目绩效完成情况：优秀。发现的主要问题：无。</w:t>
      </w:r>
    </w:p>
    <w:p w14:paraId="259B2A46">
      <w:pPr>
        <w:rPr>
          <w:rFonts w:hint="eastAsia"/>
          <w:lang w:val="en-US" w:eastAsia="zh-CN"/>
        </w:rPr>
      </w:pPr>
      <w:r>
        <w:pict>
          <v:shape id="_x0000_i1025" o:spt="75" type="#_x0000_t75" style="height:413.9pt;width:442.15pt;" filled="f" stroked="f" coordsize="21600,21600">
            <v:path/>
            <v:fill on="f" focussize="0,0"/>
            <v:stroke on="f"/>
            <v:imagedata r:id="rId5" o:title=""/>
            <o:lock v:ext="edit" aspectratio="t"/>
            <w10:wrap type="none"/>
            <w10:anchorlock/>
          </v:shape>
        </w:pict>
      </w:r>
    </w:p>
    <w:p w14:paraId="66F9D22B">
      <w:pPr>
        <w:pStyle w:val="2"/>
        <w:ind w:left="0" w:leftChars="0" w:firstLine="0" w:firstLineChars="0"/>
        <w:rPr>
          <w:rFonts w:hint="eastAsia"/>
          <w:lang w:val="en-US" w:eastAsia="zh-CN"/>
        </w:rPr>
      </w:pPr>
    </w:p>
    <w:p w14:paraId="70345973">
      <w:pPr>
        <w:pStyle w:val="2"/>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 w:eastAsia="仿宋_GB2312" w:cs="仿宋"/>
          <w:sz w:val="32"/>
          <w:szCs w:val="32"/>
        </w:rPr>
      </w:pPr>
      <w:r>
        <w:rPr>
          <w:rFonts w:hint="eastAsia" w:ascii="仿宋" w:hAnsi="仿宋" w:eastAsia="仿宋"/>
          <w:sz w:val="32"/>
          <w:szCs w:val="32"/>
          <w:lang w:val="en-US" w:eastAsia="zh-CN"/>
        </w:rPr>
        <w:t>2.党组织活动经费项目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，项目支出自评得分为9</w:t>
      </w: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54817901">
      <w:pPr>
        <w:numPr>
          <w:ilvl w:val="0"/>
          <w:numId w:val="0"/>
        </w:numPr>
        <w:rPr>
          <w:rFonts w:hint="eastAsia"/>
          <w:lang w:val="en-US" w:eastAsia="zh-CN"/>
        </w:rPr>
      </w:pPr>
      <w:r>
        <w:pict>
          <v:shape id="_x0000_i1026" o:spt="75" type="#_x0000_t75" style="height:421.75pt;width:442.15pt;" filled="f" stroked="f" coordsize="21600,21600">
            <v:path/>
            <v:fill on="f" focussize="0,0"/>
            <v:stroke on="f"/>
            <v:imagedata r:id="rId6" o:title=""/>
            <o:lock v:ext="edit" aspectratio="t"/>
            <w10:wrap type="none"/>
            <w10:anchorlock/>
          </v:shape>
        </w:pict>
      </w:r>
    </w:p>
    <w:p w14:paraId="4BF42ACB">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lang w:val="en-US" w:eastAsia="zh-CN"/>
        </w:rPr>
      </w:pPr>
      <w:r>
        <w:rPr>
          <w:rFonts w:hint="eastAsia" w:ascii="仿宋" w:hAnsi="仿宋" w:eastAsia="仿宋"/>
          <w:sz w:val="32"/>
          <w:szCs w:val="32"/>
          <w:lang w:val="en-US" w:eastAsia="zh-CN"/>
        </w:rPr>
        <w:t>3.文件资料印刷费项目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w:t>
      </w:r>
      <w:r>
        <w:rPr>
          <w:rFonts w:hint="eastAsia" w:ascii="仿宋_GB2312" w:hAnsi="仿宋" w:eastAsia="仿宋_GB2312" w:cs="仿宋"/>
          <w:sz w:val="32"/>
          <w:szCs w:val="32"/>
          <w:lang w:val="en-US" w:eastAsia="zh-CN"/>
        </w:rPr>
        <w:t>90</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1C243769">
      <w:pPr>
        <w:rPr>
          <w:rFonts w:hint="default"/>
          <w:lang w:val="en-US" w:eastAsia="zh-CN"/>
        </w:rPr>
      </w:pPr>
    </w:p>
    <w:p w14:paraId="552FD188">
      <w:pPr>
        <w:pStyle w:val="2"/>
        <w:ind w:left="0" w:leftChars="0" w:firstLine="0" w:firstLineChars="0"/>
        <w:rPr>
          <w:rFonts w:hint="default"/>
          <w:lang w:val="en-US" w:eastAsia="zh-CN"/>
        </w:rPr>
      </w:pPr>
      <w:r>
        <w:pict>
          <v:shape id="_x0000_i1027" o:spt="75" type="#_x0000_t75" style="height:380.25pt;width:441.8pt;" filled="f" stroked="f" coordsize="21600,21600">
            <v:path/>
            <v:fill on="f" focussize="0,0"/>
            <v:stroke on="f"/>
            <v:imagedata r:id="rId7" o:title=""/>
            <o:lock v:ext="edit" aspectratio="t"/>
            <w10:wrap type="none"/>
            <w10:anchorlock/>
          </v:shape>
        </w:pict>
      </w:r>
    </w:p>
    <w:p w14:paraId="4913EFAC">
      <w:pPr>
        <w:rPr>
          <w:rFonts w:hint="default"/>
          <w:lang w:val="en-US" w:eastAsia="zh-CN"/>
        </w:rPr>
      </w:pPr>
    </w:p>
    <w:p w14:paraId="79782872">
      <w:pPr>
        <w:numPr>
          <w:ilvl w:val="0"/>
          <w:numId w:val="0"/>
        </w:numPr>
        <w:rPr>
          <w:rFonts w:hint="default"/>
          <w:lang w:val="en-US" w:eastAsia="zh-CN"/>
        </w:rPr>
      </w:pPr>
    </w:p>
    <w:p w14:paraId="6CE73AEE">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lang w:val="en-US" w:eastAsia="zh-CN"/>
        </w:rPr>
      </w:pPr>
      <w:r>
        <w:rPr>
          <w:rFonts w:hint="eastAsia" w:ascii="仿宋" w:hAnsi="仿宋" w:eastAsia="仿宋"/>
          <w:sz w:val="32"/>
          <w:szCs w:val="32"/>
          <w:lang w:val="en-US" w:eastAsia="zh-CN"/>
        </w:rPr>
        <w:t>4.劳务派遣人员经费项目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w:t>
      </w:r>
      <w:r>
        <w:rPr>
          <w:rFonts w:hint="eastAsia" w:ascii="仿宋_GB2312" w:hAnsi="仿宋" w:eastAsia="仿宋_GB2312" w:cs="仿宋"/>
          <w:sz w:val="32"/>
          <w:szCs w:val="32"/>
          <w:lang w:val="en-US" w:eastAsia="zh-CN"/>
        </w:rPr>
        <w:t>92.92</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59.83</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59.39</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073BF0C1">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4C99B6B2">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31BCA02F">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2ECA7173">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75637C60">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562BCCCE">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1673312D">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420" w:firstLineChars="200"/>
        <w:textAlignment w:val="auto"/>
        <w:rPr>
          <w:rFonts w:hint="eastAsia" w:ascii="仿宋" w:hAnsi="仿宋" w:eastAsia="仿宋"/>
          <w:sz w:val="32"/>
          <w:szCs w:val="32"/>
          <w:lang w:val="en-US" w:eastAsia="zh-CN"/>
        </w:rPr>
      </w:pPr>
      <w:r>
        <w:pict>
          <v:shape id="_x0000_s2054" o:spid="_x0000_s2054" o:spt="75" type="#_x0000_t75" style="position:absolute;left:0pt;margin-left:1.3pt;margin-top:6.65pt;height:400.7pt;width:442.15pt;z-index:251660288;mso-width-relative:page;mso-height-relative:page;" filled="f" o:preferrelative="t" stroked="f" coordsize="21600,21600">
            <v:path/>
            <v:fill on="f" focussize="0,0"/>
            <v:stroke on="f"/>
            <v:imagedata r:id="rId8" o:title=""/>
            <o:lock v:ext="edit" aspectratio="t"/>
          </v:shape>
        </w:pict>
      </w:r>
    </w:p>
    <w:p w14:paraId="77DEEB7A">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62F4512A">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1E147454">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194362D5">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4132BA78">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1540D578">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28D4F854">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2EB8F4A1">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009BF1C5">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51D564F7">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6B3F1C97">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282591B4">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483D6B36">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637BBFD9">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1505DAF5">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3977EBD2">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lang w:val="en-US" w:eastAsia="zh-CN"/>
        </w:rPr>
      </w:pPr>
      <w:r>
        <w:rPr>
          <w:rFonts w:hint="eastAsia" w:ascii="仿宋" w:hAnsi="仿宋" w:eastAsia="仿宋"/>
          <w:sz w:val="32"/>
          <w:szCs w:val="32"/>
          <w:lang w:val="en-US" w:eastAsia="zh-CN"/>
        </w:rPr>
        <w:t>5.聘用制书记员人员经费项目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w:t>
      </w:r>
      <w:r>
        <w:rPr>
          <w:rFonts w:hint="eastAsia" w:ascii="仿宋_GB2312" w:hAnsi="仿宋" w:eastAsia="仿宋_GB2312" w:cs="仿宋"/>
          <w:sz w:val="32"/>
          <w:szCs w:val="32"/>
          <w:lang w:val="en-US" w:eastAsia="zh-CN"/>
        </w:rPr>
        <w:t>92.48</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182.01</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181.98</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435753D3">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351F4CD7">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eastAsia" w:ascii="仿宋" w:hAnsi="仿宋" w:eastAsia="仿宋"/>
          <w:sz w:val="32"/>
          <w:szCs w:val="32"/>
          <w:lang w:val="en-US" w:eastAsia="zh-CN"/>
        </w:rPr>
      </w:pPr>
    </w:p>
    <w:p w14:paraId="15C02A9C">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0" w:firstLineChars="0"/>
        <w:textAlignment w:val="auto"/>
        <w:rPr>
          <w:rFonts w:hint="eastAsia" w:ascii="仿宋" w:hAnsi="仿宋" w:eastAsia="仿宋"/>
          <w:sz w:val="32"/>
          <w:szCs w:val="32"/>
          <w:lang w:val="en-US" w:eastAsia="zh-CN"/>
        </w:rPr>
      </w:pPr>
    </w:p>
    <w:p w14:paraId="5FF15D40">
      <w:pPr>
        <w:rPr>
          <w:rFonts w:hint="eastAsia" w:ascii="仿宋" w:hAnsi="仿宋" w:eastAsia="仿宋"/>
          <w:sz w:val="32"/>
          <w:szCs w:val="32"/>
          <w:lang w:val="en-US" w:eastAsia="zh-CN"/>
        </w:rPr>
      </w:pPr>
      <w:r>
        <w:pict>
          <v:shape id="_x0000_i1028" o:spt="75" type="#_x0000_t75" style="height:432.55pt;width:442.15pt;" filled="f" stroked="f" coordsize="21600,21600">
            <v:path/>
            <v:fill on="f" focussize="0,0"/>
            <v:stroke on="f"/>
            <v:imagedata r:id="rId9" o:title=""/>
            <o:lock v:ext="edit" aspectratio="t"/>
            <w10:wrap type="none"/>
            <w10:anchorlock/>
          </v:shape>
        </w:pict>
      </w:r>
    </w:p>
    <w:p w14:paraId="3BD6CFFB">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lang w:val="en-US" w:eastAsia="zh-CN"/>
        </w:rPr>
      </w:pPr>
      <w:r>
        <w:rPr>
          <w:rFonts w:hint="eastAsia" w:ascii="仿宋" w:hAnsi="仿宋" w:eastAsia="仿宋"/>
          <w:sz w:val="32"/>
          <w:szCs w:val="32"/>
          <w:lang w:val="en-US" w:eastAsia="zh-CN"/>
        </w:rPr>
        <w:t>6.单位运转保障经费项目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w:t>
      </w:r>
      <w:r>
        <w:rPr>
          <w:rFonts w:hint="eastAsia" w:ascii="仿宋_GB2312" w:hAnsi="仿宋" w:eastAsia="仿宋_GB2312" w:cs="仿宋"/>
          <w:sz w:val="32"/>
          <w:szCs w:val="32"/>
          <w:lang w:val="en-US" w:eastAsia="zh-CN"/>
        </w:rPr>
        <w:t>92</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468.98</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468.98</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784C141A">
      <w:pPr>
        <w:rPr>
          <w:rFonts w:hint="default"/>
          <w:lang w:val="en-US" w:eastAsia="zh-CN"/>
        </w:rPr>
      </w:pPr>
      <w:r>
        <w:pict>
          <v:shape id="_x0000_i1029" o:spt="75" type="#_x0000_t75" style="height:415.7pt;width:442.15pt;" filled="f" stroked="f" coordsize="21600,21600">
            <v:path/>
            <v:fill on="f" focussize="0,0"/>
            <v:stroke on="f"/>
            <v:imagedata r:id="rId10" o:title=""/>
            <o:lock v:ext="edit" aspectratio="t"/>
            <w10:wrap type="none"/>
            <w10:anchorlock/>
          </v:shape>
        </w:pict>
      </w:r>
    </w:p>
    <w:p w14:paraId="3F1EE1B8">
      <w:pPr>
        <w:pStyle w:val="2"/>
        <w:keepNext w:val="0"/>
        <w:keepLines w:val="0"/>
        <w:pageBreakBefore w:val="0"/>
        <w:widowControl w:val="0"/>
        <w:kinsoku/>
        <w:wordWrap/>
        <w:overflowPunct/>
        <w:topLinePunct w:val="0"/>
        <w:autoSpaceDE/>
        <w:autoSpaceDN/>
        <w:bidi w:val="0"/>
        <w:adjustRightInd/>
        <w:snapToGrid/>
        <w:spacing w:line="540" w:lineRule="exact"/>
        <w:ind w:left="0" w:leftChars="0" w:firstLine="640" w:firstLineChars="200"/>
        <w:textAlignment w:val="auto"/>
        <w:rPr>
          <w:rFonts w:hint="default"/>
          <w:lang w:val="en-US" w:eastAsia="zh-CN"/>
        </w:rPr>
      </w:pPr>
      <w:r>
        <w:rPr>
          <w:rFonts w:hint="eastAsia" w:ascii="仿宋" w:hAnsi="仿宋" w:eastAsia="仿宋"/>
          <w:sz w:val="32"/>
          <w:szCs w:val="32"/>
          <w:lang w:val="en-US" w:eastAsia="zh-CN"/>
        </w:rPr>
        <w:t>7.诉源治理调解经费项目</w:t>
      </w:r>
      <w:r>
        <w:rPr>
          <w:rFonts w:hint="eastAsia" w:ascii="仿宋_GB2312" w:hAnsi="仿宋" w:eastAsia="仿宋_GB2312" w:cs="仿宋"/>
          <w:sz w:val="32"/>
          <w:szCs w:val="32"/>
        </w:rPr>
        <w:t>自评综述：根据绩效</w:t>
      </w:r>
      <w:r>
        <w:rPr>
          <w:rFonts w:hint="eastAsia" w:ascii="仿宋_GB2312" w:hAnsi="仿宋" w:eastAsia="仿宋_GB2312" w:cs="仿宋"/>
          <w:sz w:val="32"/>
          <w:szCs w:val="32"/>
          <w:lang w:val="en-US" w:eastAsia="zh-CN"/>
        </w:rPr>
        <w:t>指标评价表评分</w:t>
      </w:r>
      <w:r>
        <w:rPr>
          <w:rFonts w:hint="eastAsia" w:ascii="仿宋_GB2312" w:hAnsi="仿宋" w:eastAsia="仿宋_GB2312" w:cs="仿宋"/>
          <w:sz w:val="32"/>
          <w:szCs w:val="32"/>
        </w:rPr>
        <w:t>，项目支出自评得分为</w:t>
      </w:r>
      <w:r>
        <w:rPr>
          <w:rFonts w:hint="eastAsia" w:ascii="仿宋_GB2312" w:hAnsi="仿宋" w:eastAsia="仿宋_GB2312" w:cs="仿宋"/>
          <w:sz w:val="32"/>
          <w:szCs w:val="32"/>
          <w:lang w:val="en-US" w:eastAsia="zh-CN"/>
        </w:rPr>
        <w:t>90</w:t>
      </w:r>
      <w:r>
        <w:rPr>
          <w:rFonts w:hint="eastAsia" w:ascii="仿宋_GB2312" w:hAnsi="仿宋" w:eastAsia="仿宋_GB2312" w:cs="仿宋"/>
          <w:sz w:val="32"/>
          <w:szCs w:val="32"/>
        </w:rPr>
        <w:t>分。全年预算数为</w:t>
      </w:r>
      <w:r>
        <w:rPr>
          <w:rFonts w:hint="eastAsia" w:ascii="仿宋_GB2312" w:hAnsi="仿宋" w:eastAsia="仿宋_GB2312" w:cs="仿宋"/>
          <w:sz w:val="32"/>
          <w:szCs w:val="32"/>
          <w:lang w:val="en-US" w:eastAsia="zh-CN"/>
        </w:rPr>
        <w:t>42</w:t>
      </w:r>
      <w:r>
        <w:rPr>
          <w:rFonts w:hint="eastAsia" w:ascii="仿宋_GB2312" w:hAnsi="仿宋" w:eastAsia="仿宋_GB2312" w:cs="仿宋"/>
          <w:sz w:val="32"/>
          <w:szCs w:val="32"/>
        </w:rPr>
        <w:t>万元，执行数为</w:t>
      </w:r>
      <w:r>
        <w:rPr>
          <w:rFonts w:hint="eastAsia" w:ascii="仿宋_GB2312" w:hAnsi="仿宋" w:eastAsia="仿宋_GB2312" w:cs="仿宋"/>
          <w:sz w:val="32"/>
          <w:szCs w:val="32"/>
          <w:lang w:val="en-US" w:eastAsia="zh-CN"/>
        </w:rPr>
        <w:t>42</w:t>
      </w:r>
      <w:r>
        <w:rPr>
          <w:rFonts w:hint="eastAsia" w:ascii="仿宋_GB2312" w:hAnsi="仿宋" w:eastAsia="仿宋_GB2312" w:cs="仿宋"/>
          <w:sz w:val="32"/>
          <w:szCs w:val="32"/>
        </w:rPr>
        <w:t>万元，项目绩效完成情况：优秀。发现的主要问题</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无</w:t>
      </w:r>
      <w:r>
        <w:rPr>
          <w:rFonts w:hint="eastAsia" w:ascii="仿宋_GB2312" w:hAnsi="仿宋" w:eastAsia="仿宋_GB2312" w:cs="仿宋"/>
          <w:sz w:val="32"/>
          <w:szCs w:val="32"/>
        </w:rPr>
        <w:t>。</w:t>
      </w:r>
    </w:p>
    <w:p w14:paraId="771DFFB6">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p>
    <w:p w14:paraId="2CD0B1A3">
      <w:pPr>
        <w:keepNext w:val="0"/>
        <w:keepLines w:val="0"/>
        <w:pageBreakBefore w:val="0"/>
        <w:widowControl w:val="0"/>
        <w:kinsoku/>
        <w:wordWrap/>
        <w:overflowPunct/>
        <w:topLinePunct w:val="0"/>
        <w:autoSpaceDE/>
        <w:autoSpaceDN/>
        <w:bidi w:val="0"/>
        <w:spacing w:line="540" w:lineRule="exact"/>
        <w:textAlignment w:val="auto"/>
        <w:rPr>
          <w:rFonts w:hint="eastAsia" w:ascii="仿宋_GB2312" w:hAnsi="仿宋" w:eastAsia="仿宋_GB2312" w:cs="仿宋"/>
          <w:sz w:val="32"/>
          <w:szCs w:val="32"/>
          <w:lang w:val="en-US" w:eastAsia="zh-CN"/>
        </w:rPr>
      </w:pPr>
    </w:p>
    <w:p w14:paraId="7A9D4A99">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p>
    <w:p w14:paraId="04F0E71F">
      <w:pPr>
        <w:pStyle w:val="2"/>
        <w:rPr>
          <w:rFonts w:hint="eastAsia"/>
          <w:lang w:val="en-US" w:eastAsia="zh-CN"/>
        </w:rPr>
      </w:pPr>
    </w:p>
    <w:p w14:paraId="7C070BC5">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p>
    <w:p w14:paraId="3394587C">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p>
    <w:p w14:paraId="582A4FA8">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p>
    <w:p w14:paraId="4A68D5F0">
      <w:pPr>
        <w:pStyle w:val="2"/>
        <w:ind w:left="0" w:leftChars="0" w:firstLine="0" w:firstLineChars="0"/>
        <w:rPr>
          <w:rFonts w:hint="eastAsia" w:ascii="仿宋_GB2312" w:hAnsi="仿宋" w:eastAsia="仿宋_GB2312" w:cs="仿宋"/>
          <w:sz w:val="32"/>
          <w:szCs w:val="32"/>
          <w:lang w:val="en-US" w:eastAsia="zh-CN"/>
        </w:rPr>
      </w:pPr>
      <w:r>
        <w:pict>
          <v:shape id="_x0000_i1030" o:spt="75" type="#_x0000_t75" style="height:402.9pt;width:442pt;" filled="f" stroked="f" coordsize="21600,21600">
            <v:path/>
            <v:fill on="f" focussize="0,0"/>
            <v:stroke on="f"/>
            <v:imagedata r:id="rId11" o:title=""/>
            <o:lock v:ext="edit" aspectratio="t"/>
            <w10:wrap type="none"/>
            <w10:anchorlock/>
          </v:shape>
        </w:pict>
      </w:r>
    </w:p>
    <w:p w14:paraId="5C190FDC">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lang w:val="en-US" w:eastAsia="zh-CN"/>
        </w:rPr>
      </w:pP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rPr>
        <w:t>.市级扫黑除恶资金自评综述：</w:t>
      </w:r>
      <w:r>
        <w:rPr>
          <w:rFonts w:hint="eastAsia" w:ascii="仿宋" w:hAnsi="仿宋" w:eastAsia="仿宋"/>
          <w:sz w:val="32"/>
          <w:szCs w:val="32"/>
        </w:rPr>
        <w:t>该项目涉密。</w:t>
      </w:r>
    </w:p>
    <w:p w14:paraId="2F72B937">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9</w:t>
      </w:r>
      <w:r>
        <w:rPr>
          <w:rFonts w:hint="eastAsia" w:ascii="仿宋_GB2312" w:hAnsi="仿宋" w:eastAsia="仿宋_GB2312" w:cs="仿宋"/>
          <w:sz w:val="32"/>
          <w:szCs w:val="32"/>
        </w:rPr>
        <w:t>.提前下达2023年中央政法纪检监察转移支付资金（装备费）自评综述：</w:t>
      </w:r>
      <w:r>
        <w:rPr>
          <w:rFonts w:hint="eastAsia" w:ascii="仿宋" w:hAnsi="仿宋" w:eastAsia="仿宋"/>
          <w:sz w:val="32"/>
          <w:szCs w:val="32"/>
        </w:rPr>
        <w:t>该项目涉密。</w:t>
      </w:r>
    </w:p>
    <w:p w14:paraId="073D8339">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10</w:t>
      </w:r>
      <w:r>
        <w:rPr>
          <w:rFonts w:hint="eastAsia" w:ascii="仿宋_GB2312" w:hAnsi="仿宋" w:eastAsia="仿宋_GB2312" w:cs="仿宋"/>
          <w:sz w:val="32"/>
          <w:szCs w:val="32"/>
        </w:rPr>
        <w:t>.提前下达2023年省级基层公检法司转移支付资金（装备费）自评综述：</w:t>
      </w:r>
      <w:r>
        <w:rPr>
          <w:rFonts w:hint="eastAsia" w:ascii="仿宋" w:hAnsi="仿宋" w:eastAsia="仿宋"/>
          <w:sz w:val="32"/>
          <w:szCs w:val="32"/>
        </w:rPr>
        <w:t>该项目涉密。</w:t>
      </w:r>
    </w:p>
    <w:p w14:paraId="033DC04E">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11</w:t>
      </w:r>
      <w:r>
        <w:rPr>
          <w:rFonts w:hint="eastAsia" w:ascii="仿宋_GB2312" w:hAnsi="仿宋" w:eastAsia="仿宋_GB2312" w:cs="仿宋"/>
          <w:sz w:val="32"/>
          <w:szCs w:val="32"/>
        </w:rPr>
        <w:t>.提前下达2023年法院建设补助资金的批复自评综述：</w:t>
      </w:r>
      <w:r>
        <w:rPr>
          <w:rFonts w:hint="eastAsia" w:ascii="仿宋" w:hAnsi="仿宋" w:eastAsia="仿宋"/>
          <w:sz w:val="32"/>
          <w:szCs w:val="32"/>
        </w:rPr>
        <w:t>该项目涉密。</w:t>
      </w:r>
    </w:p>
    <w:p w14:paraId="25AB7DDD">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12</w:t>
      </w:r>
      <w:r>
        <w:rPr>
          <w:rFonts w:hint="eastAsia" w:ascii="仿宋_GB2312" w:hAnsi="仿宋" w:eastAsia="仿宋_GB2312" w:cs="仿宋"/>
          <w:sz w:val="32"/>
          <w:szCs w:val="32"/>
        </w:rPr>
        <w:t>.中央政法纪检监察转移支付资金（业务费）自评综述：</w:t>
      </w:r>
      <w:r>
        <w:rPr>
          <w:rFonts w:hint="eastAsia" w:ascii="仿宋" w:hAnsi="仿宋" w:eastAsia="仿宋"/>
          <w:sz w:val="32"/>
          <w:szCs w:val="32"/>
        </w:rPr>
        <w:t>该项目涉密。</w:t>
      </w:r>
    </w:p>
    <w:p w14:paraId="14A9229F">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13</w:t>
      </w:r>
      <w:r>
        <w:rPr>
          <w:rFonts w:hint="eastAsia" w:ascii="仿宋_GB2312" w:hAnsi="仿宋" w:eastAsia="仿宋_GB2312" w:cs="仿宋"/>
          <w:sz w:val="32"/>
          <w:szCs w:val="32"/>
        </w:rPr>
        <w:t>.中央政法纪检监察转移支付资金（装备费）自评综述：</w:t>
      </w:r>
      <w:r>
        <w:rPr>
          <w:rFonts w:hint="eastAsia" w:ascii="仿宋" w:hAnsi="仿宋" w:eastAsia="仿宋"/>
          <w:sz w:val="32"/>
          <w:szCs w:val="32"/>
        </w:rPr>
        <w:t>该项目涉密。</w:t>
      </w:r>
    </w:p>
    <w:p w14:paraId="6A5326E7">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14</w:t>
      </w:r>
      <w:r>
        <w:rPr>
          <w:rFonts w:hint="eastAsia" w:ascii="仿宋_GB2312" w:hAnsi="仿宋" w:eastAsia="仿宋_GB2312" w:cs="仿宋"/>
          <w:sz w:val="32"/>
          <w:szCs w:val="32"/>
        </w:rPr>
        <w:t>.2024年第二批中央政法纪检监察转移支付资金自评综述：</w:t>
      </w:r>
      <w:r>
        <w:rPr>
          <w:rFonts w:hint="eastAsia" w:ascii="仿宋" w:hAnsi="仿宋" w:eastAsia="仿宋"/>
          <w:sz w:val="32"/>
          <w:szCs w:val="32"/>
        </w:rPr>
        <w:t>该项目涉密。</w:t>
      </w:r>
    </w:p>
    <w:p w14:paraId="5A84FC78">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15</w:t>
      </w:r>
      <w:r>
        <w:rPr>
          <w:rFonts w:hint="eastAsia" w:ascii="仿宋_GB2312" w:hAnsi="仿宋" w:eastAsia="仿宋_GB2312" w:cs="仿宋"/>
          <w:sz w:val="32"/>
          <w:szCs w:val="32"/>
        </w:rPr>
        <w:t>.省级基层公检法司转移支付资金（业务费）自评综述：</w:t>
      </w:r>
      <w:r>
        <w:rPr>
          <w:rFonts w:hint="eastAsia" w:ascii="仿宋" w:hAnsi="仿宋" w:eastAsia="仿宋"/>
          <w:sz w:val="32"/>
          <w:szCs w:val="32"/>
        </w:rPr>
        <w:t>该项目涉密。</w:t>
      </w:r>
    </w:p>
    <w:p w14:paraId="0CF08194">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16</w:t>
      </w:r>
      <w:r>
        <w:rPr>
          <w:rFonts w:hint="eastAsia" w:ascii="仿宋_GB2312" w:hAnsi="仿宋" w:eastAsia="仿宋_GB2312" w:cs="仿宋"/>
          <w:sz w:val="32"/>
          <w:szCs w:val="32"/>
        </w:rPr>
        <w:t>.省级基层公检法司转移支付资金（装备费）自评综述：</w:t>
      </w:r>
      <w:r>
        <w:rPr>
          <w:rFonts w:hint="eastAsia" w:ascii="仿宋" w:hAnsi="仿宋" w:eastAsia="仿宋"/>
          <w:sz w:val="32"/>
          <w:szCs w:val="32"/>
        </w:rPr>
        <w:t>该项目涉密。</w:t>
      </w:r>
    </w:p>
    <w:p w14:paraId="67C58EC0">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17</w:t>
      </w:r>
      <w:r>
        <w:rPr>
          <w:rFonts w:hint="eastAsia" w:ascii="仿宋_GB2312" w:hAnsi="仿宋" w:eastAsia="仿宋_GB2312" w:cs="仿宋"/>
          <w:sz w:val="32"/>
          <w:szCs w:val="32"/>
        </w:rPr>
        <w:t>.省级法院建设补助资金自评综述：</w:t>
      </w:r>
      <w:r>
        <w:rPr>
          <w:rFonts w:hint="eastAsia" w:ascii="仿宋" w:hAnsi="仿宋" w:eastAsia="仿宋"/>
          <w:sz w:val="32"/>
          <w:szCs w:val="32"/>
        </w:rPr>
        <w:t>该项目涉密。</w:t>
      </w:r>
    </w:p>
    <w:p w14:paraId="40C40428">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rPr>
      </w:pPr>
      <w:r>
        <w:rPr>
          <w:rFonts w:hint="eastAsia" w:ascii="仿宋_GB2312" w:hAnsi="仿宋" w:eastAsia="仿宋_GB2312" w:cs="仿宋"/>
          <w:sz w:val="32"/>
          <w:szCs w:val="32"/>
          <w:lang w:val="en-US" w:eastAsia="zh-CN"/>
        </w:rPr>
        <w:t>18</w:t>
      </w:r>
      <w:r>
        <w:rPr>
          <w:rFonts w:hint="eastAsia" w:ascii="仿宋_GB2312" w:hAnsi="仿宋" w:eastAsia="仿宋_GB2312" w:cs="仿宋"/>
          <w:sz w:val="32"/>
          <w:szCs w:val="32"/>
        </w:rPr>
        <w:t>.2024年第二批法院建设补助资金自评综述：</w:t>
      </w:r>
      <w:r>
        <w:rPr>
          <w:rFonts w:hint="eastAsia" w:ascii="仿宋" w:hAnsi="仿宋" w:eastAsia="仿宋"/>
          <w:sz w:val="32"/>
          <w:szCs w:val="32"/>
        </w:rPr>
        <w:t>该项目涉密。</w:t>
      </w:r>
    </w:p>
    <w:p w14:paraId="1DFF523A">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四、评价结论和评价等级</w:t>
      </w:r>
    </w:p>
    <w:p w14:paraId="2209DDCC">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eastAsia="zh-CN"/>
        </w:rPr>
      </w:pPr>
      <w:r>
        <w:rPr>
          <w:rFonts w:hint="eastAsia" w:ascii="仿宋" w:hAnsi="仿宋" w:eastAsia="仿宋"/>
          <w:sz w:val="32"/>
          <w:szCs w:val="32"/>
        </w:rPr>
        <w:t>通过本次绩效自评，202</w:t>
      </w:r>
      <w:r>
        <w:rPr>
          <w:rFonts w:hint="eastAsia" w:ascii="仿宋" w:hAnsi="仿宋" w:eastAsia="仿宋"/>
          <w:sz w:val="32"/>
          <w:szCs w:val="32"/>
          <w:lang w:val="en-US" w:eastAsia="zh-CN"/>
        </w:rPr>
        <w:t>4年我</w:t>
      </w:r>
      <w:r>
        <w:rPr>
          <w:rFonts w:hint="eastAsia" w:ascii="仿宋" w:hAnsi="仿宋" w:eastAsia="仿宋"/>
          <w:sz w:val="32"/>
          <w:szCs w:val="32"/>
        </w:rPr>
        <w:t>院</w:t>
      </w:r>
      <w:r>
        <w:rPr>
          <w:rFonts w:hint="eastAsia" w:ascii="仿宋" w:hAnsi="仿宋" w:eastAsia="仿宋"/>
          <w:sz w:val="32"/>
          <w:szCs w:val="32"/>
          <w:lang w:eastAsia="zh-CN"/>
        </w:rPr>
        <w:t>整体支出</w:t>
      </w:r>
      <w:r>
        <w:rPr>
          <w:rFonts w:hint="eastAsia" w:ascii="仿宋" w:hAnsi="仿宋" w:eastAsia="仿宋"/>
          <w:sz w:val="32"/>
          <w:szCs w:val="32"/>
        </w:rPr>
        <w:t>对</w:t>
      </w:r>
      <w:r>
        <w:rPr>
          <w:rFonts w:hint="eastAsia" w:ascii="仿宋" w:hAnsi="仿宋" w:eastAsia="仿宋"/>
          <w:sz w:val="32"/>
          <w:szCs w:val="32"/>
          <w:lang w:eastAsia="zh-CN"/>
        </w:rPr>
        <w:t>部门</w:t>
      </w:r>
      <w:r>
        <w:rPr>
          <w:rFonts w:hint="eastAsia" w:ascii="仿宋" w:hAnsi="仿宋" w:eastAsia="仿宋"/>
          <w:sz w:val="32"/>
          <w:szCs w:val="32"/>
        </w:rPr>
        <w:t>履职、发挥审判职能的成效较为明显，法庭庭审效果良好，得到我院干警好评，群众满意度高</w:t>
      </w:r>
      <w:r>
        <w:rPr>
          <w:rFonts w:hint="eastAsia" w:ascii="仿宋" w:hAnsi="仿宋" w:eastAsia="仿宋"/>
          <w:sz w:val="32"/>
          <w:szCs w:val="32"/>
          <w:lang w:eastAsia="zh-CN"/>
        </w:rPr>
        <w:t>，</w:t>
      </w:r>
      <w:r>
        <w:rPr>
          <w:rFonts w:hint="eastAsia" w:ascii="仿宋_GB2312" w:hAnsi="仿宋" w:eastAsia="仿宋_GB2312" w:cs="仿宋"/>
          <w:sz w:val="32"/>
          <w:szCs w:val="32"/>
        </w:rPr>
        <w:t>部门整体支出管理水平得到提升</w:t>
      </w:r>
      <w:r>
        <w:rPr>
          <w:rFonts w:hint="eastAsia" w:ascii="仿宋" w:hAnsi="仿宋" w:eastAsia="仿宋"/>
          <w:sz w:val="32"/>
          <w:szCs w:val="32"/>
        </w:rPr>
        <w:t>。</w:t>
      </w:r>
      <w:r>
        <w:rPr>
          <w:rFonts w:hint="eastAsia" w:ascii="仿宋_GB2312" w:hAnsi="仿宋" w:eastAsia="仿宋_GB2312" w:cs="仿宋"/>
          <w:sz w:val="32"/>
          <w:szCs w:val="32"/>
        </w:rPr>
        <w:t>经自评，</w:t>
      </w:r>
      <w:r>
        <w:rPr>
          <w:rFonts w:hint="eastAsia" w:ascii="仿宋_GB2312" w:hAnsi="仿宋" w:eastAsia="仿宋_GB2312" w:cs="仿宋"/>
          <w:sz w:val="32"/>
          <w:szCs w:val="32"/>
          <w:lang w:val="en-US" w:eastAsia="zh-CN"/>
        </w:rPr>
        <w:t>16</w:t>
      </w:r>
      <w:r>
        <w:rPr>
          <w:rFonts w:hint="eastAsia" w:ascii="仿宋_GB2312" w:hAnsi="仿宋" w:eastAsia="仿宋_GB2312" w:cs="仿宋"/>
          <w:sz w:val="32"/>
          <w:szCs w:val="32"/>
        </w:rPr>
        <w:t>个项目自评得分在</w:t>
      </w:r>
      <w:r>
        <w:rPr>
          <w:rFonts w:hint="eastAsia" w:ascii="仿宋_GB2312" w:hAnsi="仿宋" w:eastAsia="仿宋_GB2312" w:cs="仿宋"/>
          <w:sz w:val="32"/>
          <w:szCs w:val="32"/>
          <w:lang w:val="en-US" w:eastAsia="zh-CN"/>
        </w:rPr>
        <w:t>85</w:t>
      </w:r>
      <w:r>
        <w:rPr>
          <w:rFonts w:hint="eastAsia" w:ascii="仿宋_GB2312" w:hAnsi="仿宋" w:eastAsia="仿宋_GB2312" w:cs="仿宋"/>
          <w:sz w:val="32"/>
          <w:szCs w:val="32"/>
        </w:rPr>
        <w:t>分以上，</w:t>
      </w:r>
      <w:r>
        <w:rPr>
          <w:rFonts w:hint="eastAsia" w:ascii="仿宋_GB2312" w:hAnsi="仿宋" w:eastAsia="仿宋_GB2312" w:cs="仿宋"/>
          <w:sz w:val="32"/>
          <w:szCs w:val="32"/>
          <w:lang w:val="en-US" w:eastAsia="zh-CN"/>
        </w:rPr>
        <w:t>2个项目得分在50分以下，</w:t>
      </w:r>
      <w:r>
        <w:rPr>
          <w:rFonts w:hint="eastAsia" w:ascii="仿宋_GB2312" w:hAnsi="仿宋" w:eastAsia="仿宋_GB2312" w:cs="仿宋"/>
          <w:sz w:val="32"/>
          <w:szCs w:val="32"/>
        </w:rPr>
        <w:t>202</w:t>
      </w:r>
      <w:r>
        <w:rPr>
          <w:rFonts w:hint="eastAsia" w:ascii="仿宋_GB2312" w:hAnsi="仿宋" w:eastAsia="仿宋_GB2312" w:cs="仿宋"/>
          <w:sz w:val="32"/>
          <w:szCs w:val="32"/>
          <w:lang w:val="en-US" w:eastAsia="zh-CN"/>
        </w:rPr>
        <w:t>4</w:t>
      </w:r>
      <w:r>
        <w:rPr>
          <w:rFonts w:hint="eastAsia" w:ascii="仿宋_GB2312" w:hAnsi="仿宋" w:eastAsia="仿宋_GB2312" w:cs="仿宋"/>
          <w:sz w:val="32"/>
          <w:szCs w:val="32"/>
        </w:rPr>
        <w:t>年我院较好的完成了年度工作目标，综合评价等级为“</w:t>
      </w:r>
      <w:r>
        <w:rPr>
          <w:rFonts w:hint="eastAsia" w:ascii="仿宋_GB2312" w:hAnsi="仿宋" w:eastAsia="仿宋_GB2312" w:cs="仿宋"/>
          <w:sz w:val="32"/>
          <w:szCs w:val="32"/>
          <w:lang w:val="en-US" w:eastAsia="zh-CN"/>
        </w:rPr>
        <w:t>良好</w:t>
      </w:r>
      <w:r>
        <w:rPr>
          <w:rFonts w:hint="eastAsia" w:ascii="仿宋_GB2312" w:hAnsi="仿宋" w:eastAsia="仿宋_GB2312" w:cs="仿宋"/>
          <w:sz w:val="32"/>
          <w:szCs w:val="32"/>
        </w:rPr>
        <w:t>”。</w:t>
      </w:r>
    </w:p>
    <w:p w14:paraId="05BFC045">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五、存在的问题及改进措施</w:t>
      </w:r>
    </w:p>
    <w:p w14:paraId="4D1DBA63">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ascii="楷体" w:hAnsi="楷体" w:eastAsia="楷体"/>
          <w:bCs/>
          <w:sz w:val="32"/>
          <w:szCs w:val="32"/>
        </w:rPr>
      </w:pPr>
      <w:r>
        <w:rPr>
          <w:rFonts w:hint="eastAsia" w:ascii="楷体" w:hAnsi="楷体" w:eastAsia="楷体"/>
          <w:bCs/>
          <w:sz w:val="32"/>
          <w:szCs w:val="32"/>
        </w:rPr>
        <w:t>（一）存在的主要问题</w:t>
      </w:r>
    </w:p>
    <w:p w14:paraId="01E7880F">
      <w:pPr>
        <w:pStyle w:val="2"/>
        <w:keepNext w:val="0"/>
        <w:keepLines w:val="0"/>
        <w:pageBreakBefore w:val="0"/>
        <w:widowControl w:val="0"/>
        <w:kinsoku/>
        <w:wordWrap/>
        <w:overflowPunct/>
        <w:topLinePunct w:val="0"/>
        <w:autoSpaceDE/>
        <w:autoSpaceDN/>
        <w:bidi w:val="0"/>
        <w:spacing w:line="54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1.绩效目标设定不清晰。部分项目绩效目标设置不够简明扼要，指标值较为宽泛，关键不够突出。</w:t>
      </w:r>
    </w:p>
    <w:p w14:paraId="47228DD9">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2.项目支出进度较慢。单位部门间未能有效协同推进实施绩效管理，导致项目实际实施时间与预算资金计划支出进度脱节，拖慢项目支出进度。</w:t>
      </w:r>
    </w:p>
    <w:p w14:paraId="62052D3F">
      <w:pPr>
        <w:keepNext w:val="0"/>
        <w:keepLines w:val="0"/>
        <w:pageBreakBefore w:val="0"/>
        <w:widowControl w:val="0"/>
        <w:kinsoku/>
        <w:wordWrap/>
        <w:overflowPunct/>
        <w:topLinePunct w:val="0"/>
        <w:autoSpaceDE/>
        <w:autoSpaceDN/>
        <w:bidi w:val="0"/>
        <w:spacing w:line="540" w:lineRule="exact"/>
        <w:ind w:left="630"/>
        <w:textAlignment w:val="auto"/>
        <w:rPr>
          <w:rFonts w:ascii="楷体" w:hAnsi="楷体" w:eastAsia="楷体" w:cs="楷体"/>
          <w:sz w:val="32"/>
          <w:szCs w:val="32"/>
        </w:rPr>
      </w:pPr>
      <w:r>
        <w:rPr>
          <w:rFonts w:hint="eastAsia" w:ascii="楷体_GB2312" w:hAnsi="楷体_GB2312" w:eastAsia="楷体_GB2312" w:cs="楷体_GB2312"/>
          <w:sz w:val="32"/>
          <w:szCs w:val="32"/>
        </w:rPr>
        <w:t>（二）针对问题提出具体的改进措施或建议</w:t>
      </w:r>
    </w:p>
    <w:p w14:paraId="08BEB94E">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1.强化绩效目标管理工作。</w:t>
      </w:r>
      <w:r>
        <w:rPr>
          <w:rFonts w:hint="eastAsia" w:ascii="仿宋_GB2312" w:hAnsi="仿宋" w:eastAsia="仿宋_GB2312" w:cs="仿宋"/>
          <w:sz w:val="32"/>
          <w:szCs w:val="32"/>
          <w:lang w:val="en-US" w:eastAsia="zh-CN"/>
        </w:rPr>
        <w:t>科学规范的设定绩效目标，提升绩效目标质量与精确性，</w:t>
      </w:r>
      <w:r>
        <w:rPr>
          <w:rFonts w:hint="eastAsia" w:ascii="仿宋_GB2312" w:hAnsi="仿宋" w:eastAsia="仿宋_GB2312" w:cs="仿宋"/>
          <w:sz w:val="32"/>
          <w:szCs w:val="32"/>
        </w:rPr>
        <w:t>做到绩效目标针对项目特点清晰明确且细化，有量化的绩效指标且能清晰反映绩效可实现程度，绩效目标依据充分。做好绩效监控管理工作，建立监控制度，确保绩效目标如期实现。</w:t>
      </w:r>
    </w:p>
    <w:p w14:paraId="19CA0C42">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黑体" w:hAnsi="黑体" w:eastAsia="黑体"/>
          <w:sz w:val="32"/>
          <w:szCs w:val="32"/>
        </w:rPr>
      </w:pPr>
      <w:r>
        <w:rPr>
          <w:rFonts w:hint="eastAsia" w:ascii="仿宋_GB2312" w:hAnsi="仿宋" w:eastAsia="仿宋_GB2312" w:cs="仿宋"/>
          <w:sz w:val="32"/>
          <w:szCs w:val="32"/>
        </w:rPr>
        <w:t>2.多措并举提升预算执行率。</w:t>
      </w:r>
      <w:r>
        <w:rPr>
          <w:rFonts w:hint="eastAsia" w:ascii="仿宋_GB2312" w:hAnsi="仿宋" w:eastAsia="仿宋_GB2312" w:cs="仿宋"/>
          <w:sz w:val="32"/>
          <w:szCs w:val="32"/>
          <w:lang w:val="en-US" w:eastAsia="zh-CN"/>
        </w:rPr>
        <w:t>项目确定后</w:t>
      </w:r>
      <w:r>
        <w:rPr>
          <w:rFonts w:hint="eastAsia" w:ascii="仿宋_GB2312" w:hAnsi="仿宋" w:eastAsia="仿宋_GB2312" w:cs="仿宋"/>
          <w:sz w:val="32"/>
          <w:szCs w:val="32"/>
        </w:rPr>
        <w:t>制定较为详细的资金使用明细和计划，</w:t>
      </w:r>
      <w:r>
        <w:rPr>
          <w:rFonts w:hint="eastAsia" w:ascii="仿宋_GB2312" w:hAnsi="仿宋" w:eastAsia="仿宋_GB2312" w:cs="仿宋"/>
          <w:sz w:val="32"/>
          <w:szCs w:val="32"/>
          <w:lang w:val="en-US" w:eastAsia="zh-CN"/>
        </w:rPr>
        <w:t>并加强部门间沟通，及时反馈项目进展和预算执行情况，做好绩效监控工作，</w:t>
      </w:r>
      <w:r>
        <w:rPr>
          <w:rFonts w:hint="eastAsia" w:ascii="仿宋_GB2312" w:hAnsi="仿宋" w:eastAsia="仿宋_GB2312" w:cs="仿宋"/>
          <w:sz w:val="32"/>
          <w:szCs w:val="32"/>
        </w:rPr>
        <w:t>对项目执行过程中可能发生的问题</w:t>
      </w:r>
      <w:r>
        <w:rPr>
          <w:rFonts w:hint="eastAsia" w:ascii="仿宋_GB2312" w:hAnsi="仿宋" w:eastAsia="仿宋_GB2312" w:cs="仿宋"/>
          <w:sz w:val="32"/>
          <w:szCs w:val="32"/>
          <w:lang w:val="en-US" w:eastAsia="zh-CN"/>
        </w:rPr>
        <w:t>实施</w:t>
      </w:r>
      <w:r>
        <w:rPr>
          <w:rFonts w:hint="eastAsia" w:ascii="仿宋_GB2312" w:hAnsi="仿宋" w:eastAsia="仿宋_GB2312" w:cs="仿宋"/>
          <w:sz w:val="32"/>
          <w:szCs w:val="32"/>
        </w:rPr>
        <w:t>预测，</w:t>
      </w:r>
      <w:r>
        <w:rPr>
          <w:rFonts w:hint="eastAsia" w:ascii="仿宋_GB2312" w:hAnsi="仿宋" w:eastAsia="仿宋_GB2312" w:cs="仿宋"/>
          <w:sz w:val="32"/>
          <w:szCs w:val="32"/>
          <w:lang w:val="en-US" w:eastAsia="zh-CN"/>
        </w:rPr>
        <w:t>及时进行调整，</w:t>
      </w:r>
      <w:r>
        <w:rPr>
          <w:rFonts w:hint="eastAsia" w:ascii="仿宋_GB2312" w:hAnsi="仿宋" w:eastAsia="仿宋_GB2312" w:cs="仿宋"/>
          <w:sz w:val="32"/>
          <w:szCs w:val="32"/>
        </w:rPr>
        <w:t>有的放矢的采取相关措施保障计划顺利实施</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提高预算执行率</w:t>
      </w:r>
      <w:r>
        <w:rPr>
          <w:rFonts w:hint="eastAsia" w:ascii="仿宋_GB2312" w:hAnsi="仿宋" w:eastAsia="仿宋_GB2312" w:cs="仿宋"/>
          <w:sz w:val="32"/>
          <w:szCs w:val="32"/>
        </w:rPr>
        <w:t>。</w:t>
      </w:r>
    </w:p>
    <w:p w14:paraId="54921D2D">
      <w:pPr>
        <w:keepNext w:val="0"/>
        <w:keepLines w:val="0"/>
        <w:pageBreakBefore w:val="0"/>
        <w:widowControl w:val="0"/>
        <w:kinsoku/>
        <w:wordWrap/>
        <w:overflowPunct/>
        <w:topLinePunct w:val="0"/>
        <w:autoSpaceDE/>
        <w:autoSpaceDN/>
        <w:bidi w:val="0"/>
        <w:adjustRightInd w:val="0"/>
        <w:snapToGrid w:val="0"/>
        <w:spacing w:line="540" w:lineRule="exact"/>
        <w:ind w:firstLine="640" w:firstLineChars="200"/>
        <w:textAlignment w:val="auto"/>
        <w:rPr>
          <w:rFonts w:ascii="黑体" w:hAnsi="黑体" w:eastAsia="黑体"/>
          <w:sz w:val="32"/>
          <w:szCs w:val="32"/>
        </w:rPr>
      </w:pPr>
      <w:r>
        <w:rPr>
          <w:rFonts w:hint="eastAsia" w:ascii="黑体" w:hAnsi="黑体" w:eastAsia="黑体"/>
          <w:sz w:val="32"/>
          <w:szCs w:val="32"/>
        </w:rPr>
        <w:t>六、评价工作组人员名单</w:t>
      </w:r>
    </w:p>
    <w:p w14:paraId="4C3D1ECB">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孟正军   党组书记、院长</w:t>
      </w:r>
    </w:p>
    <w:p w14:paraId="761806A9">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李素志   党组副书记、副院长</w:t>
      </w:r>
    </w:p>
    <w:p w14:paraId="7139622B">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杨永利   党组成员、副院长</w:t>
      </w:r>
    </w:p>
    <w:p w14:paraId="5A1BF56C">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刘育民   党组成员、副院长</w:t>
      </w:r>
    </w:p>
    <w:p w14:paraId="350E785D">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牛志伟   党组成员</w:t>
      </w:r>
    </w:p>
    <w:p w14:paraId="754C453B">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宋建林   党组成员、政治部主任</w:t>
      </w:r>
    </w:p>
    <w:p w14:paraId="65C1B950">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赵建团   办公室主任</w:t>
      </w:r>
    </w:p>
    <w:p w14:paraId="0A4361F9">
      <w:pPr>
        <w:keepNext w:val="0"/>
        <w:keepLines w:val="0"/>
        <w:pageBreakBefore w:val="0"/>
        <w:widowControl w:val="0"/>
        <w:kinsoku/>
        <w:wordWrap/>
        <w:overflowPunct/>
        <w:topLinePunct w:val="0"/>
        <w:autoSpaceDE/>
        <w:autoSpaceDN/>
        <w:bidi w:val="0"/>
        <w:spacing w:line="540" w:lineRule="exact"/>
        <w:ind w:firstLine="640" w:firstLineChars="200"/>
        <w:textAlignment w:val="auto"/>
        <w:rPr>
          <w:rFonts w:hint="eastAsia"/>
          <w:lang w:val="en-US" w:eastAsia="zh-CN"/>
        </w:rPr>
      </w:pPr>
      <w:r>
        <w:rPr>
          <w:rFonts w:hint="eastAsia" w:ascii="仿宋" w:hAnsi="仿宋" w:eastAsia="仿宋"/>
          <w:sz w:val="32"/>
          <w:szCs w:val="32"/>
          <w:lang w:val="en-US" w:eastAsia="zh-CN"/>
        </w:rPr>
        <w:t>刘亚南   办公室会计</w:t>
      </w:r>
    </w:p>
    <w:p w14:paraId="7A148147">
      <w:pPr>
        <w:keepNext w:val="0"/>
        <w:keepLines w:val="0"/>
        <w:pageBreakBefore w:val="0"/>
        <w:widowControl w:val="0"/>
        <w:kinsoku/>
        <w:wordWrap/>
        <w:overflowPunct/>
        <w:topLinePunct w:val="0"/>
        <w:autoSpaceDE/>
        <w:autoSpaceDN/>
        <w:bidi w:val="0"/>
        <w:spacing w:line="540" w:lineRule="exact"/>
        <w:textAlignment w:val="auto"/>
        <w:rPr>
          <w:rFonts w:hint="eastAsia" w:ascii="仿宋" w:hAnsi="仿宋" w:eastAsia="仿宋" w:cs="黑体"/>
          <w:kern w:val="2"/>
          <w:sz w:val="32"/>
          <w:szCs w:val="32"/>
          <w:lang w:val="en-US" w:eastAsia="zh-CN" w:bidi="ar-SA"/>
        </w:rPr>
      </w:pPr>
    </w:p>
    <w:p w14:paraId="485F90C4">
      <w:pPr>
        <w:pStyle w:val="2"/>
        <w:rPr>
          <w:rFonts w:hint="eastAsia"/>
          <w:lang w:val="en-US" w:eastAsia="zh-CN"/>
        </w:rPr>
      </w:pPr>
    </w:p>
    <w:p w14:paraId="30E3186C">
      <w:pPr>
        <w:keepNext w:val="0"/>
        <w:keepLines w:val="0"/>
        <w:pageBreakBefore w:val="0"/>
        <w:widowControl w:val="0"/>
        <w:kinsoku/>
        <w:wordWrap/>
        <w:overflowPunct/>
        <w:topLinePunct w:val="0"/>
        <w:autoSpaceDE/>
        <w:autoSpaceDN/>
        <w:bidi w:val="0"/>
        <w:spacing w:line="540" w:lineRule="exact"/>
        <w:ind w:firstLine="4800" w:firstLineChars="15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石家庄市栾城区人民法院</w:t>
      </w:r>
    </w:p>
    <w:p w14:paraId="4EF9DA76">
      <w:pPr>
        <w:keepNext w:val="0"/>
        <w:keepLines w:val="0"/>
        <w:pageBreakBefore w:val="0"/>
        <w:widowControl w:val="0"/>
        <w:kinsoku/>
        <w:wordWrap/>
        <w:overflowPunct/>
        <w:topLinePunct w:val="0"/>
        <w:autoSpaceDE/>
        <w:autoSpaceDN/>
        <w:bidi w:val="0"/>
        <w:spacing w:line="540" w:lineRule="exact"/>
        <w:ind w:firstLine="5440" w:firstLineChars="17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2025年3月25日</w:t>
      </w:r>
    </w:p>
    <w:p w14:paraId="78C04978">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DEFEF1">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751D00D">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ExMDVlNzhlYjFhNzM4ZmQ5Y2ZkNWNjNmE0MjdmND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3453FA4"/>
    <w:rsid w:val="046F331E"/>
    <w:rsid w:val="075F1105"/>
    <w:rsid w:val="07956271"/>
    <w:rsid w:val="09721397"/>
    <w:rsid w:val="0BB63BED"/>
    <w:rsid w:val="0EB97A43"/>
    <w:rsid w:val="0EBD2122"/>
    <w:rsid w:val="0F214EAE"/>
    <w:rsid w:val="11B71E6A"/>
    <w:rsid w:val="14B04E8B"/>
    <w:rsid w:val="16E932F5"/>
    <w:rsid w:val="18E62805"/>
    <w:rsid w:val="1AAF0063"/>
    <w:rsid w:val="1B9524ED"/>
    <w:rsid w:val="1BE140DE"/>
    <w:rsid w:val="248C197D"/>
    <w:rsid w:val="252959AF"/>
    <w:rsid w:val="25C069F2"/>
    <w:rsid w:val="266D4A36"/>
    <w:rsid w:val="277A6671"/>
    <w:rsid w:val="292D35B7"/>
    <w:rsid w:val="33BF7823"/>
    <w:rsid w:val="33EB6CFF"/>
    <w:rsid w:val="35A12947"/>
    <w:rsid w:val="37387040"/>
    <w:rsid w:val="3B625C0A"/>
    <w:rsid w:val="3CEE1963"/>
    <w:rsid w:val="3E0432AB"/>
    <w:rsid w:val="3EA10E99"/>
    <w:rsid w:val="436B78D3"/>
    <w:rsid w:val="43D11E17"/>
    <w:rsid w:val="48D642EF"/>
    <w:rsid w:val="4AAC47E8"/>
    <w:rsid w:val="4C9C27FE"/>
    <w:rsid w:val="50296E50"/>
    <w:rsid w:val="512260B4"/>
    <w:rsid w:val="52BD6ACB"/>
    <w:rsid w:val="55537534"/>
    <w:rsid w:val="561A74F1"/>
    <w:rsid w:val="597244E8"/>
    <w:rsid w:val="5EB71C30"/>
    <w:rsid w:val="66AF0CE5"/>
    <w:rsid w:val="68376403"/>
    <w:rsid w:val="6AC537CF"/>
    <w:rsid w:val="6B1E18D6"/>
    <w:rsid w:val="6D026CBF"/>
    <w:rsid w:val="6E5B14A6"/>
    <w:rsid w:val="711B255E"/>
    <w:rsid w:val="72A8397D"/>
    <w:rsid w:val="7802573D"/>
    <w:rsid w:val="7827067B"/>
    <w:rsid w:val="7BB51E06"/>
    <w:rsid w:val="7BBF1D36"/>
    <w:rsid w:val="7C387F7C"/>
    <w:rsid w:val="7DFD782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0"/>
    <w:pPr>
      <w:ind w:left="420" w:left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8">
    <w:name w:val="font71"/>
    <w:basedOn w:val="7"/>
    <w:uiPriority w:val="0"/>
    <w:rPr>
      <w:rFonts w:ascii="Calibri" w:hAnsi="Calibri" w:cs="Calibri"/>
      <w:color w:val="000000"/>
      <w:sz w:val="20"/>
      <w:szCs w:val="20"/>
      <w:u w:val="none"/>
    </w:rPr>
  </w:style>
  <w:style w:type="character" w:customStyle="1" w:styleId="9">
    <w:name w:val="font11"/>
    <w:basedOn w:val="7"/>
    <w:qFormat/>
    <w:uiPriority w:val="0"/>
    <w:rPr>
      <w:rFonts w:hint="eastAsia" w:ascii="宋体" w:hAnsi="宋体" w:eastAsia="宋体" w:cs="宋体"/>
      <w:color w:val="000000"/>
      <w:sz w:val="20"/>
      <w:szCs w:val="20"/>
      <w:u w:val="none"/>
    </w:rPr>
  </w:style>
  <w:style w:type="character" w:customStyle="1" w:styleId="10">
    <w:name w:val="font41"/>
    <w:basedOn w:val="7"/>
    <w:uiPriority w:val="0"/>
    <w:rPr>
      <w:rFonts w:hint="eastAsia" w:ascii="宋体" w:hAnsi="宋体" w:eastAsia="宋体" w:cs="宋体"/>
      <w:color w:val="000000"/>
      <w:sz w:val="20"/>
      <w:szCs w:val="20"/>
      <w:u w:val="none"/>
    </w:rPr>
  </w:style>
  <w:style w:type="character" w:customStyle="1" w:styleId="11">
    <w:name w:val="font21"/>
    <w:basedOn w:val="7"/>
    <w:uiPriority w:val="0"/>
    <w:rPr>
      <w:rFonts w:hint="default"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Info spid="_x0000_s205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15</Pages>
  <Words>4423</Words>
  <Characters>4657</Characters>
  <Lines>4</Lines>
  <Paragraphs>1</Paragraphs>
  <TotalTime>5</TotalTime>
  <ScaleCrop>false</ScaleCrop>
  <LinksUpToDate>false</LinksUpToDate>
  <CharactersWithSpaces>4701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2025-04-09T06:45:00Z</cp:lastPrinted>
  <dcterms:modified xsi:type="dcterms:W3CDTF">2025-07-17T02:19:00Z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96934721B1514D3FBAA28020338CE855_12</vt:lpwstr>
  </property>
  <property fmtid="{D5CDD505-2E9C-101B-9397-08002B2CF9AE}" pid="4" name="KSOTemplateDocerSaveRecord">
    <vt:lpwstr>eyJoZGlkIjoiYTRkZjYwODQyN2QxOTU4Mzc5MDkyZjcyNTA5NjE4M2QiLCJ1c2VySWQiOiIxNTUwMjQwMDk2In0=</vt:lpwstr>
  </property>
</Properties>
</file>