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sz w:val="32"/>
          <w:szCs w:val="32"/>
        </w:rPr>
      </w:pPr>
      <w:r>
        <w:rPr>
          <w:rFonts w:hint="eastAsia" w:ascii="黑体" w:hAnsi="黑体" w:eastAsia="黑体"/>
          <w:sz w:val="32"/>
          <w:szCs w:val="32"/>
        </w:rPr>
        <w:t>附件4</w:t>
      </w:r>
    </w:p>
    <w:p>
      <w:pPr>
        <w:spacing w:line="560" w:lineRule="exact"/>
        <w:jc w:val="center"/>
        <w:rPr>
          <w:rFonts w:hint="eastAsia"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rPr>
        <w:t>石家庄信息工程职业学院</w:t>
      </w:r>
    </w:p>
    <w:p>
      <w:pPr>
        <w:spacing w:line="560" w:lineRule="exact"/>
        <w:jc w:val="center"/>
        <w:rPr>
          <w:rFonts w:hint="eastAsia" w:ascii="宋体" w:hAnsi="宋体" w:cs="宋体"/>
          <w:b/>
          <w:bCs/>
          <w:sz w:val="44"/>
          <w:szCs w:val="44"/>
        </w:rPr>
      </w:pPr>
      <w:r>
        <w:rPr>
          <w:rFonts w:hint="eastAsia" w:ascii="宋体" w:hAnsi="宋体" w:cs="宋体"/>
          <w:b/>
          <w:bCs/>
          <w:sz w:val="44"/>
          <w:szCs w:val="44"/>
        </w:rPr>
        <w:t>2024年度整体支出绩效自评报告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石家庄信息工程职业学院2024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pPr>
        <w:spacing w:line="560" w:lineRule="exact"/>
        <w:ind w:firstLine="640" w:firstLineChars="200"/>
        <w:jc w:val="left"/>
        <w:rPr>
          <w:rFonts w:hint="eastAsia" w:ascii="仿宋" w:hAnsi="仿宋" w:eastAsia="仿宋"/>
          <w:sz w:val="32"/>
          <w:szCs w:val="32"/>
        </w:rPr>
      </w:pPr>
      <w:r>
        <w:rPr>
          <w:rFonts w:ascii="仿宋" w:hAnsi="仿宋" w:eastAsia="仿宋"/>
          <w:sz w:val="32"/>
          <w:szCs w:val="32"/>
        </w:rPr>
        <w:t>石家庄信息工程职业学院的主要职责是：培养信息工程类及财经类的高、中等专业人才，促进经济发展。举办信息工程及财经类高、中等学历教育及相关培训，服务区域经济，为社会培养更多“社会需要、行业认可、企业能用”的高素质技术技能型人才。</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我部门共有单位1个，石家庄信息工程职业学院本级，为副厅（地）级财政性资金基本保证事业单位。2024年末实有在职教职工1322人，固定资产总额245231.13万元，学生人数23022人。</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spacing w:line="560" w:lineRule="exact"/>
        <w:ind w:firstLine="640"/>
        <w:rPr>
          <w:rFonts w:hint="eastAsia" w:ascii="仿宋" w:hAnsi="仿宋" w:eastAsia="仿宋"/>
          <w:sz w:val="32"/>
          <w:szCs w:val="32"/>
          <w:highlight w:val="yellow"/>
        </w:rPr>
      </w:pPr>
      <w:r>
        <w:rPr>
          <w:rFonts w:ascii="仿宋" w:hAnsi="仿宋" w:eastAsia="仿宋"/>
          <w:sz w:val="32"/>
          <w:szCs w:val="32"/>
        </w:rPr>
        <w:t>202</w:t>
      </w:r>
      <w:r>
        <w:rPr>
          <w:rFonts w:hint="eastAsia" w:ascii="仿宋" w:hAnsi="仿宋" w:eastAsia="仿宋"/>
          <w:sz w:val="32"/>
          <w:szCs w:val="32"/>
        </w:rPr>
        <w:t>4</w:t>
      </w:r>
      <w:r>
        <w:rPr>
          <w:rFonts w:ascii="仿宋" w:hAnsi="仿宋" w:eastAsia="仿宋"/>
          <w:sz w:val="32"/>
          <w:szCs w:val="32"/>
        </w:rPr>
        <w:t>年</w:t>
      </w:r>
      <w:r>
        <w:rPr>
          <w:rFonts w:hint="eastAsia" w:ascii="仿宋" w:hAnsi="仿宋" w:eastAsia="仿宋"/>
          <w:sz w:val="32"/>
          <w:szCs w:val="32"/>
        </w:rPr>
        <w:t>年初预算情况：</w:t>
      </w:r>
      <w:r>
        <w:rPr>
          <w:rFonts w:ascii="仿宋" w:hAnsi="仿宋" w:eastAsia="仿宋"/>
          <w:sz w:val="32"/>
          <w:szCs w:val="32"/>
        </w:rPr>
        <w:t>预算收入总额</w:t>
      </w:r>
      <w:r>
        <w:rPr>
          <w:rFonts w:hint="eastAsia" w:ascii="仿宋" w:hAnsi="仿宋" w:eastAsia="仿宋"/>
          <w:sz w:val="32"/>
          <w:szCs w:val="32"/>
        </w:rPr>
        <w:t>43483.56</w:t>
      </w:r>
      <w:r>
        <w:rPr>
          <w:rFonts w:ascii="仿宋" w:hAnsi="仿宋" w:eastAsia="仿宋"/>
          <w:sz w:val="32"/>
          <w:szCs w:val="32"/>
        </w:rPr>
        <w:t>万元，其中：一般公共预算拨款收入</w:t>
      </w:r>
      <w:r>
        <w:rPr>
          <w:rFonts w:hint="eastAsia" w:ascii="仿宋" w:hAnsi="仿宋" w:eastAsia="仿宋"/>
          <w:sz w:val="32"/>
          <w:szCs w:val="32"/>
        </w:rPr>
        <w:t>24691.04</w:t>
      </w:r>
      <w:r>
        <w:rPr>
          <w:rFonts w:ascii="仿宋" w:hAnsi="仿宋" w:eastAsia="仿宋"/>
          <w:sz w:val="32"/>
          <w:szCs w:val="32"/>
        </w:rPr>
        <w:t>万元</w:t>
      </w:r>
      <w:r>
        <w:rPr>
          <w:rFonts w:hint="eastAsia" w:ascii="仿宋" w:hAnsi="仿宋" w:eastAsia="仿宋"/>
          <w:sz w:val="32"/>
          <w:szCs w:val="32"/>
        </w:rPr>
        <w:t>，政府性基金预算拨款收入4103.5万元，</w:t>
      </w:r>
      <w:r>
        <w:rPr>
          <w:rFonts w:ascii="仿宋" w:hAnsi="仿宋" w:eastAsia="仿宋"/>
          <w:sz w:val="32"/>
          <w:szCs w:val="32"/>
        </w:rPr>
        <w:t>财政专户</w:t>
      </w:r>
      <w:r>
        <w:rPr>
          <w:rFonts w:hint="eastAsia" w:ascii="仿宋" w:hAnsi="仿宋" w:eastAsia="仿宋"/>
          <w:sz w:val="32"/>
          <w:szCs w:val="32"/>
        </w:rPr>
        <w:t>管理资金</w:t>
      </w:r>
      <w:r>
        <w:rPr>
          <w:rFonts w:ascii="仿宋" w:hAnsi="仿宋" w:eastAsia="仿宋"/>
          <w:sz w:val="32"/>
          <w:szCs w:val="32"/>
        </w:rPr>
        <w:t>收入</w:t>
      </w:r>
      <w:r>
        <w:rPr>
          <w:rFonts w:hint="eastAsia" w:ascii="仿宋" w:hAnsi="仿宋" w:eastAsia="仿宋"/>
          <w:sz w:val="32"/>
          <w:szCs w:val="32"/>
        </w:rPr>
        <w:t>11302.79</w:t>
      </w:r>
      <w:r>
        <w:rPr>
          <w:rFonts w:ascii="仿宋" w:hAnsi="仿宋" w:eastAsia="仿宋"/>
          <w:sz w:val="32"/>
          <w:szCs w:val="32"/>
        </w:rPr>
        <w:t>万元，其他收入</w:t>
      </w:r>
      <w:r>
        <w:rPr>
          <w:rFonts w:hint="eastAsia" w:ascii="仿宋" w:hAnsi="仿宋" w:eastAsia="仿宋"/>
          <w:sz w:val="32"/>
          <w:szCs w:val="32"/>
        </w:rPr>
        <w:t>3386.23</w:t>
      </w:r>
      <w:r>
        <w:rPr>
          <w:rFonts w:ascii="仿宋" w:hAnsi="仿宋" w:eastAsia="仿宋"/>
          <w:sz w:val="32"/>
          <w:szCs w:val="32"/>
        </w:rPr>
        <w:t>万元。202</w:t>
      </w:r>
      <w:r>
        <w:rPr>
          <w:rFonts w:hint="eastAsia" w:ascii="仿宋" w:hAnsi="仿宋" w:eastAsia="仿宋"/>
          <w:sz w:val="32"/>
          <w:szCs w:val="32"/>
        </w:rPr>
        <w:t>4</w:t>
      </w:r>
      <w:r>
        <w:rPr>
          <w:rFonts w:ascii="仿宋" w:hAnsi="仿宋" w:eastAsia="仿宋"/>
          <w:sz w:val="32"/>
          <w:szCs w:val="32"/>
        </w:rPr>
        <w:t>年</w:t>
      </w:r>
      <w:r>
        <w:rPr>
          <w:rFonts w:hint="eastAsia" w:ascii="仿宋" w:hAnsi="仿宋" w:eastAsia="仿宋"/>
          <w:sz w:val="32"/>
          <w:szCs w:val="32"/>
        </w:rPr>
        <w:t>年初</w:t>
      </w:r>
      <w:r>
        <w:rPr>
          <w:rFonts w:ascii="仿宋" w:hAnsi="仿宋" w:eastAsia="仿宋"/>
          <w:sz w:val="32"/>
          <w:szCs w:val="32"/>
        </w:rPr>
        <w:t>预算支出总额</w:t>
      </w:r>
      <w:r>
        <w:rPr>
          <w:rFonts w:hint="eastAsia" w:ascii="仿宋" w:hAnsi="仿宋" w:eastAsia="仿宋"/>
          <w:sz w:val="32"/>
          <w:szCs w:val="32"/>
        </w:rPr>
        <w:t>43483.56</w:t>
      </w:r>
      <w:r>
        <w:rPr>
          <w:rFonts w:ascii="仿宋" w:hAnsi="仿宋" w:eastAsia="仿宋"/>
          <w:sz w:val="32"/>
          <w:szCs w:val="32"/>
        </w:rPr>
        <w:t>万元，其中：基本支出</w:t>
      </w:r>
      <w:r>
        <w:rPr>
          <w:rFonts w:hint="eastAsia" w:ascii="仿宋" w:hAnsi="仿宋" w:eastAsia="仿宋"/>
          <w:sz w:val="32"/>
          <w:szCs w:val="32"/>
        </w:rPr>
        <w:t>22518.38</w:t>
      </w:r>
      <w:r>
        <w:rPr>
          <w:rFonts w:ascii="仿宋" w:hAnsi="仿宋" w:eastAsia="仿宋"/>
          <w:sz w:val="32"/>
          <w:szCs w:val="32"/>
        </w:rPr>
        <w:t>万元，包括人员经费</w:t>
      </w:r>
      <w:r>
        <w:rPr>
          <w:rFonts w:hint="eastAsia" w:ascii="仿宋" w:hAnsi="仿宋" w:eastAsia="仿宋"/>
          <w:sz w:val="32"/>
          <w:szCs w:val="32"/>
        </w:rPr>
        <w:t>18370.71</w:t>
      </w:r>
      <w:r>
        <w:rPr>
          <w:rFonts w:ascii="仿宋" w:hAnsi="仿宋" w:eastAsia="仿宋"/>
          <w:sz w:val="32"/>
          <w:szCs w:val="32"/>
        </w:rPr>
        <w:t>万元和日常公用经费</w:t>
      </w:r>
      <w:r>
        <w:rPr>
          <w:rFonts w:hint="eastAsia" w:ascii="仿宋" w:hAnsi="仿宋" w:eastAsia="仿宋"/>
          <w:sz w:val="32"/>
          <w:szCs w:val="32"/>
        </w:rPr>
        <w:t>4147.67</w:t>
      </w:r>
      <w:r>
        <w:rPr>
          <w:rFonts w:ascii="仿宋" w:hAnsi="仿宋" w:eastAsia="仿宋"/>
          <w:sz w:val="32"/>
          <w:szCs w:val="32"/>
        </w:rPr>
        <w:t>万元；项目支出</w:t>
      </w:r>
      <w:r>
        <w:rPr>
          <w:rFonts w:hint="eastAsia" w:ascii="仿宋" w:hAnsi="仿宋" w:eastAsia="仿宋"/>
          <w:sz w:val="32"/>
          <w:szCs w:val="32"/>
        </w:rPr>
        <w:t>20965.18</w:t>
      </w:r>
      <w:r>
        <w:rPr>
          <w:rFonts w:ascii="仿宋" w:hAnsi="仿宋" w:eastAsia="仿宋"/>
          <w:sz w:val="32"/>
          <w:szCs w:val="32"/>
        </w:rPr>
        <w:t>万元</w:t>
      </w:r>
      <w:r>
        <w:rPr>
          <w:rFonts w:hint="eastAsia" w:ascii="仿宋" w:hAnsi="仿宋" w:eastAsia="仿宋"/>
          <w:sz w:val="32"/>
          <w:szCs w:val="32"/>
        </w:rPr>
        <w:t>。</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决算情况：本年总收入为48372.530553万元，其中财政拨款收入30304.761665万元，政府性基金预算财政拨款收入4103.4966万元，事业收入12387.388802万元，其他收入1576.883486万元。本年支出47991.20586万元，其中：（1）人员经费支出18120.938902万元。（2）公用经费支出4290.901731万元。（3）项目经费支出25579.365227万元。</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以习近平新时代中国特色社会主义思想为指导，突出党的建设，加强从严治党。扎实开展主题教育，进一步筑牢理想信念，提高“政治三力”。深入贯彻党的教育方针，践行“为党育人、为国育才”的初心使命。把贯彻落实习近平总书记关于教育的重要思想、关于职业教育的重要论述与学院“双高计划”建设结合起来。以行业、产业与地方发展需要为导向，持续优化人才培养总体设计。持续优化老中青结合、高中低协调、校内外共享的人才梯队结构。着力培育优质教学资源入选国家级省级在线精品课、专业教学资源库、国家规划教材。优化招生专业结构，创新招生宣传方式，落实就业工作“一把手”工程，提高毕业生留冀留石率，实现毕业生高质量充分就业。以服务国家战略和区域经济社会发展需要为导向，持续提升科研支撑和服务社会的能力。提升校企合作质量，强化产业链、创新链、教育链、人才链的有机衔接。多渠道拓展社会服务，持续提升学院教育引领力和社会贡献力。</w:t>
      </w:r>
    </w:p>
    <w:p>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二、自评工作开展情况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_GB2312"/>
          <w:sz w:val="32"/>
          <w:szCs w:val="32"/>
        </w:rPr>
      </w:pPr>
      <w:r>
        <w:rPr>
          <w:rFonts w:hint="eastAsia" w:ascii="楷体" w:hAnsi="楷体" w:eastAsia="楷体" w:cs="楷体_GB2312"/>
          <w:bCs/>
          <w:sz w:val="32"/>
          <w:szCs w:val="32"/>
        </w:rPr>
        <w:t>（一）自评的组织工作</w:t>
      </w:r>
    </w:p>
    <w:p>
      <w:pPr>
        <w:spacing w:line="560" w:lineRule="exact"/>
        <w:ind w:firstLine="660"/>
        <w:rPr>
          <w:rFonts w:hint="eastAsia" w:ascii="楷体" w:hAnsi="楷体" w:eastAsia="楷体" w:cs="楷体_GB2312"/>
          <w:sz w:val="32"/>
          <w:szCs w:val="32"/>
        </w:rPr>
      </w:pPr>
      <w:r>
        <w:rPr>
          <w:rFonts w:hint="eastAsia" w:ascii="仿宋" w:hAnsi="仿宋" w:eastAsia="仿宋"/>
          <w:sz w:val="32"/>
          <w:szCs w:val="32"/>
        </w:rPr>
        <w:t>1、信息收集：财务处负责制定自评工作方案，根据项目库填报内容和决算数据完成绩效目标自评表基础数据的填报工作。</w:t>
      </w:r>
    </w:p>
    <w:p>
      <w:pPr>
        <w:spacing w:line="560" w:lineRule="exact"/>
        <w:ind w:firstLine="640"/>
        <w:rPr>
          <w:rFonts w:hint="eastAsia" w:ascii="仿宋" w:hAnsi="仿宋" w:eastAsia="仿宋"/>
          <w:sz w:val="32"/>
          <w:szCs w:val="32"/>
        </w:rPr>
      </w:pPr>
      <w:r>
        <w:rPr>
          <w:rFonts w:hint="eastAsia" w:ascii="仿宋" w:hAnsi="仿宋" w:eastAsia="仿宋"/>
          <w:sz w:val="32"/>
          <w:szCs w:val="32"/>
        </w:rPr>
        <w:t>2、数据填报：各项目涉及业务部门根据基础数据自评表对项目各指标完成情况进行核查，根据核查内容填报项目的全年完成情况，对未完成项目分析原因和提出改进措施，并提供相关材料。</w:t>
      </w:r>
    </w:p>
    <w:p>
      <w:pPr>
        <w:spacing w:line="560" w:lineRule="exact"/>
        <w:ind w:firstLine="640"/>
        <w:rPr>
          <w:rFonts w:hint="eastAsia" w:ascii="仿宋" w:hAnsi="仿宋" w:eastAsia="仿宋"/>
          <w:sz w:val="32"/>
          <w:szCs w:val="32"/>
        </w:rPr>
      </w:pPr>
      <w:r>
        <w:rPr>
          <w:rFonts w:hint="eastAsia" w:ascii="仿宋" w:hAnsi="仿宋" w:eastAsia="仿宋"/>
          <w:sz w:val="32"/>
          <w:szCs w:val="32"/>
        </w:rPr>
        <w:t>3、自评打分：财务处将业务部门反馈的绩效指标实际完成值（实现程度）与年初设定的预期值相比较，逐项评定每项指标得分，汇总形成预算项目绩效自评得分。</w:t>
      </w:r>
    </w:p>
    <w:p>
      <w:pPr>
        <w:spacing w:line="560" w:lineRule="exact"/>
        <w:ind w:firstLine="640"/>
        <w:rPr>
          <w:rFonts w:hint="eastAsia" w:ascii="仿宋" w:hAnsi="仿宋" w:eastAsia="仿宋"/>
          <w:sz w:val="32"/>
          <w:szCs w:val="32"/>
        </w:rPr>
      </w:pPr>
      <w:r>
        <w:rPr>
          <w:rFonts w:hint="eastAsia" w:ascii="仿宋" w:hAnsi="仿宋" w:eastAsia="仿宋"/>
          <w:sz w:val="32"/>
          <w:szCs w:val="32"/>
        </w:rPr>
        <w:t>4、自评总结：项目绩效自评工作完成后，财务处及时进行总结，撰写重点项目自评报告和部门年度绩效自评工作报告报评价工作小组审议。</w:t>
      </w:r>
    </w:p>
    <w:p>
      <w:pPr>
        <w:numPr>
          <w:ilvl w:val="0"/>
          <w:numId w:val="2"/>
        </w:numPr>
        <w:spacing w:line="560" w:lineRule="exact"/>
        <w:rPr>
          <w:rFonts w:hint="eastAsia" w:ascii="楷体" w:hAnsi="楷体" w:eastAsia="楷体" w:cs="楷体_GB2312"/>
          <w:bCs/>
          <w:sz w:val="32"/>
          <w:szCs w:val="32"/>
        </w:rPr>
      </w:pPr>
      <w:r>
        <w:rPr>
          <w:rFonts w:hint="eastAsia" w:ascii="楷体" w:hAnsi="楷体" w:eastAsia="楷体" w:cs="楷体_GB2312"/>
          <w:bCs/>
          <w:sz w:val="32"/>
          <w:szCs w:val="32"/>
        </w:rPr>
        <w:t>自评的方法和过程</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国家、省、市相关法律、法规及方针政策、规章制度；相关行业政策、行业标准及专业技术规范；预算管理制度及办法、项目及资金管理办法、财务会计资料；政策、项目设立背景和依据；预算批复时确定的绩效目标及指标，年度预算执行情况、年度决算报告等相关材料，结合学院各专项项目绩效自评情况，专项资金和具体预算支出项目绩效目标完成情况，对比学院年初整体绩效目标和分项具体目标，按照满分1</w:t>
      </w:r>
      <w:r>
        <w:rPr>
          <w:rFonts w:ascii="仿宋" w:hAnsi="仿宋" w:eastAsia="仿宋"/>
          <w:sz w:val="32"/>
          <w:szCs w:val="32"/>
        </w:rPr>
        <w:t>00</w:t>
      </w:r>
      <w:r>
        <w:rPr>
          <w:rFonts w:hint="eastAsia" w:ascii="仿宋" w:hAnsi="仿宋" w:eastAsia="仿宋"/>
          <w:sz w:val="32"/>
          <w:szCs w:val="32"/>
        </w:rPr>
        <w:t>分，每个分项目标2</w:t>
      </w:r>
      <w:r>
        <w:rPr>
          <w:rFonts w:ascii="仿宋" w:hAnsi="仿宋" w:eastAsia="仿宋"/>
          <w:sz w:val="32"/>
          <w:szCs w:val="32"/>
        </w:rPr>
        <w:t>0</w:t>
      </w:r>
      <w:r>
        <w:rPr>
          <w:rFonts w:hint="eastAsia" w:ascii="仿宋" w:hAnsi="仿宋" w:eastAsia="仿宋"/>
          <w:sz w:val="32"/>
          <w:szCs w:val="32"/>
        </w:rPr>
        <w:t>分，评价各分项目标完成情况，得出自评具体分值，汇总得出整体自评分值。得出综合绩效评价等级。部门整体支出综合绩效评价分为4个等级：得分</w:t>
      </w:r>
      <w:r>
        <w:rPr>
          <w:rFonts w:ascii="仿宋" w:hAnsi="仿宋" w:eastAsia="仿宋"/>
          <w:sz w:val="32"/>
          <w:szCs w:val="32"/>
        </w:rPr>
        <w:t>≥</w:t>
      </w:r>
      <w:r>
        <w:rPr>
          <w:rFonts w:hint="eastAsia" w:ascii="仿宋" w:hAnsi="仿宋" w:eastAsia="仿宋"/>
          <w:sz w:val="32"/>
          <w:szCs w:val="32"/>
        </w:rPr>
        <w:t>85分为优秀；75</w:t>
      </w:r>
      <w:r>
        <w:rPr>
          <w:rFonts w:ascii="仿宋" w:hAnsi="仿宋" w:eastAsia="仿宋"/>
          <w:sz w:val="32"/>
          <w:szCs w:val="32"/>
        </w:rPr>
        <w:t>≤</w:t>
      </w:r>
      <w:r>
        <w:rPr>
          <w:rFonts w:hint="eastAsia" w:ascii="仿宋" w:hAnsi="仿宋" w:eastAsia="仿宋"/>
          <w:sz w:val="32"/>
          <w:szCs w:val="32"/>
        </w:rPr>
        <w:t>得分＜85分为良好；60</w:t>
      </w:r>
      <w:r>
        <w:rPr>
          <w:rFonts w:ascii="仿宋" w:hAnsi="仿宋" w:eastAsia="仿宋"/>
          <w:sz w:val="32"/>
          <w:szCs w:val="32"/>
        </w:rPr>
        <w:t>≤</w:t>
      </w:r>
      <w:r>
        <w:rPr>
          <w:rFonts w:hint="eastAsia" w:ascii="仿宋" w:hAnsi="仿宋" w:eastAsia="仿宋"/>
          <w:sz w:val="32"/>
          <w:szCs w:val="32"/>
        </w:rPr>
        <w:t>得分＜75分为一般；得分＜60分为较差。并对自评过程中发现的问题制订下一步整改措施等，其中对未完成绩效目标或偏离绩效目标较大的要单独列明，并分析说明原因，研究提出改进措施。</w:t>
      </w:r>
    </w:p>
    <w:p>
      <w:pPr>
        <w:spacing w:line="560" w:lineRule="exact"/>
        <w:ind w:firstLine="640" w:firstLineChars="200"/>
        <w:rPr>
          <w:rFonts w:hint="eastAsia"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2024年，</w:t>
      </w:r>
      <w:r>
        <w:rPr>
          <w:rFonts w:hint="eastAsia" w:ascii="仿宋_GB2312" w:hAnsi="仿宋" w:eastAsia="仿宋_GB2312"/>
          <w:sz w:val="32"/>
          <w:szCs w:val="32"/>
        </w:rPr>
        <w:t>学院全面贯彻落实</w:t>
      </w:r>
      <w:r>
        <w:rPr>
          <w:rFonts w:hint="eastAsia" w:ascii="仿宋_GB2312" w:hAnsi="仿宋_GB2312" w:eastAsia="仿宋_GB2312" w:cs="仿宋_GB2312"/>
          <w:sz w:val="32"/>
          <w:szCs w:val="32"/>
        </w:rPr>
        <w:t>党的二十大和二十届二中、三中全会精神</w:t>
      </w:r>
      <w:r>
        <w:rPr>
          <w:rFonts w:hint="eastAsia" w:ascii="仿宋_GB2312" w:hAnsi="仿宋" w:eastAsia="仿宋_GB2312"/>
          <w:sz w:val="32"/>
          <w:szCs w:val="32"/>
        </w:rPr>
        <w:t>，</w:t>
      </w:r>
      <w:r>
        <w:rPr>
          <w:rFonts w:hint="eastAsia" w:ascii="仿宋_GB2312" w:hAnsi="仿宋_GB2312" w:eastAsia="仿宋_GB2312" w:cs="仿宋_GB2312"/>
          <w:sz w:val="32"/>
          <w:szCs w:val="32"/>
        </w:rPr>
        <w:t>牢牢把握思想政治工作生命线，大力弘扬教育家精神，聚焦教育强国建设，全面融入国家和区域经济社会发展，加快推进“双高院校”建设，全力提升人才培养质量，服务省会经济社会发展的作用日益凸显，学院高质量发展取得扎实成效</w:t>
      </w:r>
      <w:r>
        <w:rPr>
          <w:rFonts w:hint="eastAsia" w:ascii="仿宋_GB2312" w:hAnsi="仿宋" w:eastAsia="仿宋_GB2312"/>
          <w:sz w:val="32"/>
          <w:szCs w:val="32"/>
        </w:rPr>
        <w:t>。</w:t>
      </w:r>
      <w:r>
        <w:rPr>
          <w:rFonts w:hint="eastAsia" w:ascii="仿宋_GB2312" w:hAnsi="仿宋_GB2312" w:eastAsia="仿宋_GB2312" w:cs="仿宋_GB2312"/>
          <w:color w:val="000000"/>
          <w:sz w:val="32"/>
          <w:szCs w:val="32"/>
        </w:rPr>
        <w:t>全面落实国家、省市教育工作决策部署，聚焦构建现代职业教育体系“一体两翼五重点”的重大举措和“十一项”重点改革任务，在夯基础、补短板、强特色、破难题上持续发力，推动学院办学事业发展再上新台阶。</w:t>
      </w:r>
    </w:p>
    <w:p>
      <w:pPr>
        <w:spacing w:line="560" w:lineRule="exact"/>
        <w:ind w:firstLine="640" w:firstLineChars="200"/>
        <w:rPr>
          <w:rFonts w:hint="eastAsia" w:ascii="楷体" w:hAnsi="楷体" w:eastAsia="楷体"/>
          <w:bCs/>
          <w:sz w:val="32"/>
          <w:szCs w:val="32"/>
        </w:rPr>
      </w:pP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sz w:val="32"/>
          <w:szCs w:val="32"/>
        </w:rPr>
      </w:pPr>
      <w:r>
        <w:rPr>
          <w:rFonts w:hint="eastAsia" w:ascii="仿宋_GB2312" w:hAnsi="仿宋" w:eastAsia="仿宋_GB2312"/>
          <w:sz w:val="32"/>
          <w:szCs w:val="32"/>
        </w:rPr>
        <w:t>(一)突出党的建设，加强从严治党</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把抓好党建工作，转化为办好教育的最大优势。党政分工合作、协调运行、科学决策、高效落实，成果显著。扎实开展主题教育，提高“政治三力”,严格落实党风廉政建设主体责任，推动基层党组织全面进步，深化拓展大思政格局。</w:t>
      </w:r>
    </w:p>
    <w:p>
      <w:pPr>
        <w:numPr>
          <w:ilvl w:val="0"/>
          <w:numId w:val="4"/>
        </w:num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强化政治引领，严格把控方向。学院党委着力加强党的政治建设，不断提高政治判断力、政治领悟力、政治执行力，把牢社会主义办学方向。以抓好学习贯彻党纪学习教育等为契机，不断推进理论武装走深走实，加强师生政治引领。开设“昭德微课堂”“党纪微课堂”等专栏，开展“党史故事汇”“75周年75个故事”等主题线上宣讲活动；打造“党史”舞台剧、“我爱家乡红”思政品牌，让理论学习更加生动鲜活。</w:t>
      </w:r>
    </w:p>
    <w:p>
      <w:pPr>
        <w:numPr>
          <w:ilvl w:val="0"/>
          <w:numId w:val="4"/>
        </w:num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强化目标引领，总揽发展大局。学院党委发挥总揽全局、协调各方作用，以全面实现“争创国家级双高学校，升格为职业本科院校”为发展目标，凝聚思想共识，激发干劲。一是加强意识形态阵地建设。全面落实意识形态工作责任制，落实宣传阵地“三级审批”制度，规划建设“大思政”教育实践中心，丰富思政载体，激活思政资源。二是加强基层党组织建设。推行“将支部建在教研室”“党支部书记、教研室主任一肩挑”，对组织机构进行优化调整，推动党建与业务融合发展。三是加强内部治理体系建设。对标“一流党建”标准，履行管党治党、办学治校主体责任，构建了“党委抓统筹、行政抓落实、总支抓推进、支部抓绩效”的治理体系。</w:t>
      </w:r>
    </w:p>
    <w:p>
      <w:pPr>
        <w:spacing w:line="560" w:lineRule="exact"/>
        <w:ind w:firstLine="640" w:firstLineChars="200"/>
        <w:rPr>
          <w:rFonts w:hint="eastAsia" w:ascii="仿宋_GB2312" w:hAnsi="仿宋_GB2312" w:eastAsia="仿宋" w:cs="仿宋_GB2312"/>
          <w:sz w:val="32"/>
          <w:szCs w:val="32"/>
        </w:rPr>
      </w:pPr>
      <w:r>
        <w:rPr>
          <w:rFonts w:hint="eastAsia" w:ascii="仿宋" w:hAnsi="仿宋" w:eastAsia="仿宋"/>
          <w:sz w:val="32"/>
          <w:szCs w:val="32"/>
        </w:rPr>
        <w:t>该项自评得分25分。</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(二)突出内涵建设，推动提质发展</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强化质效引领，争创一流业绩。始终坚守立德树人根本任务，通过明确目标、凝聚各方力量，在人才培养、科研创新、人才队伍建设等领域成绩斐然，为学院的长远发展奠定了坚实基础。在人才培养方面，围绕石家庄市“五大千亿级产业集群”等，修订人才培养方案，精准契合主导产业人才培养需要，打造了</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个省域高水平专业群、</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个中央财政重点支持专业、</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个省级骨干专业、</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个市级重点专业。培育出众多优质课程，入选多部国家级规划教材。在各类大赛中，学生屡获佳绩，2024年世界职业院校技能大赛斩获2金2银4铜。科研与项目建设成果丰硕，主持省（部）级、市（厅）级纵向课题410余项，承接横向课题93项。获批国家“十四五”教育强国产教融合实训基地等多个国家级项目。</w:t>
      </w:r>
      <w:r>
        <w:rPr>
          <w:rFonts w:hint="eastAsia" w:ascii="仿宋_GB2312" w:hAnsi="仿宋_GB2312" w:eastAsia="仿宋_GB2312" w:cs="仿宋_GB2312"/>
          <w:color w:val="000000"/>
          <w:sz w:val="32"/>
          <w:szCs w:val="32"/>
        </w:rPr>
        <w:t>将人才视为办学治校“第一资源”，具有硕博学位的教师占53.4%，高级职称教师占21.6%。拥有高等学校专业带头人、“双师型”骨干教师、“双师型”教师440余人；立项市级“双师型”名师工作室、市技艺技能传承创新平台6个；119名教师获批成为省级科技特派员、36名教师获批成为市级科技特派员，12支团队获批省市级科技特派团队。</w:t>
      </w:r>
    </w:p>
    <w:p>
      <w:p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2.加大招生宣传力度，编制《招生指南》，建立高考咨询服务站，在中职学校建立优质生源基地，推行省内区域负责制，录取新生7350人，计划完成率达100%。</w:t>
      </w:r>
    </w:p>
    <w:p>
      <w:pPr>
        <w:spacing w:line="56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该项自评得分2</w:t>
      </w:r>
      <w:r>
        <w:rPr>
          <w:rFonts w:hint="eastAsia" w:ascii="仿宋" w:hAnsi="仿宋" w:eastAsia="仿宋"/>
          <w:sz w:val="32"/>
          <w:szCs w:val="32"/>
          <w:lang w:val="en-US" w:eastAsia="zh-CN"/>
        </w:rPr>
        <w:t>5</w:t>
      </w:r>
      <w:r>
        <w:rPr>
          <w:rFonts w:hint="eastAsia" w:ascii="仿宋" w:hAnsi="仿宋" w:eastAsia="仿宋"/>
          <w:sz w:val="32"/>
          <w:szCs w:val="32"/>
        </w:rPr>
        <w:t>分。</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(三)突出职教优势，服务改革发展</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强化服务引领，对接社会需求。坚持全面融入省会谋发展，提升服务“现代化、国际化美丽省会城市”建设的支撑力和贡献度。</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对接实践需求抓联建，达成共建共享，推动互融互通。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2.对接地方发展搞改革。学院将自身发展融入国家战略及省会经济社会发展实践，吸引政府关注与支持，提高企业认可度与粘合度，实现人才培养新突破。全面落实就业创业“一把手”工程，开展“访企拓岗”促就业活动，走访企业92家，开拓岗位1400余个；组织学生参加全国大学生创业综合模拟大赛，荣获一等奖6个、二等奖3个，参加“一带一路”暨金砖大赛之企业数智化管理赛项，荣获省赛一等奖2个、国赛二等奖2个；加强对专升本学生的服务与指导，1211人考入本科院校继续深造；精准开展重点群体就业帮扶，对建档立卡贫困家庭、少数民族、身体残疾等344名毕业生，按照“一人一档” “一人一策”建立帮扶台账，帮助596名困难群体毕业生申领求职补贴；规范做好毕业去向登记，开展毕业生就业状况跟踪调查。</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3.对接龙头企业办专业。深化访企拓岗，紧密对接龙头企业办专业、做科研、促就业。深入剖析石家庄“五大千亿级产业集群”人才需</w:t>
      </w:r>
      <w:r>
        <w:rPr>
          <w:rFonts w:hint="eastAsia" w:ascii="仿宋_GB2312" w:hAnsi="仿宋_GB2312" w:eastAsia="仿宋_GB2312" w:cs="仿宋_GB2312"/>
          <w:sz w:val="32"/>
          <w:szCs w:val="32"/>
        </w:rPr>
        <w:t>求，优化调整专业设置与布局，以专业和岗位契合提升服务发展能力，将“省会发展，我的责任”切实落实于办学治校各</w:t>
      </w:r>
      <w:r>
        <w:rPr>
          <w:rFonts w:hint="eastAsia" w:ascii="仿宋_GB2312" w:hAnsi="仿宋_GB2312" w:eastAsia="仿宋_GB2312" w:cs="仿宋_GB2312"/>
          <w:color w:val="000000"/>
          <w:sz w:val="32"/>
          <w:szCs w:val="32"/>
        </w:rPr>
        <w:t>环节。建有多个省市级科研平台，牵头成立省级市域产教联合体，组建行业产教融合共同体等，入选教育部专项培养计划，开展多种形式的联合培养项目，获批多个省级校企合作相关项目，与企业共建校外实习实训基地达</w:t>
      </w:r>
      <w:r>
        <w:rPr>
          <w:rFonts w:ascii="仿宋_GB2312" w:hAnsi="仿宋_GB2312" w:eastAsia="仿宋_GB2312" w:cs="仿宋_GB2312"/>
          <w:color w:val="000000"/>
          <w:sz w:val="32"/>
          <w:szCs w:val="32"/>
        </w:rPr>
        <w:t>350</w:t>
      </w:r>
      <w:r>
        <w:rPr>
          <w:rFonts w:hint="eastAsia" w:ascii="仿宋_GB2312" w:hAnsi="仿宋_GB2312" w:eastAsia="仿宋_GB2312" w:cs="仿宋_GB2312"/>
          <w:color w:val="000000"/>
          <w:sz w:val="32"/>
          <w:szCs w:val="32"/>
        </w:rPr>
        <w:t>余个。积极推进“职教出海”，与华中数控公司合作共建“俄罗斯华中数控中文工坊”。</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color w:val="000000"/>
          <w:sz w:val="32"/>
          <w:szCs w:val="32"/>
        </w:rPr>
        <w:t>广泛汇聚就业资源，线上线下举办各类招聘会30余场，参会企业930余家，提供就业岗位6.4万余个；搭建就业指导平台，建成数智化学生就业创业成长赋能中心，搭建“智慧就业管理平台”，用户访问量达167余万次；强化就业服务指导，成立“大学生职业发展社”，举办“大国工匠进校园”“简历设计暨求职模拟大赛”等活动，建强“思悟”职业生涯咨询工作室；</w:t>
      </w:r>
    </w:p>
    <w:p>
      <w:pPr>
        <w:spacing w:line="560" w:lineRule="exact"/>
        <w:ind w:firstLine="640" w:firstLineChars="200"/>
        <w:rPr>
          <w:rFonts w:ascii="仿宋_GB2312" w:hAnsi="仿宋" w:eastAsia="仿宋_GB2312"/>
          <w:sz w:val="32"/>
          <w:szCs w:val="32"/>
        </w:rPr>
      </w:pPr>
      <w:r>
        <w:rPr>
          <w:rFonts w:hint="eastAsia" w:ascii="仿宋" w:hAnsi="仿宋" w:eastAsia="仿宋"/>
          <w:sz w:val="32"/>
          <w:szCs w:val="32"/>
        </w:rPr>
        <w:t>该项自评得分25分。</w:t>
      </w:r>
    </w:p>
    <w:p>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(四)突出制度创新，完善治理体系</w:t>
      </w:r>
    </w:p>
    <w:p>
      <w:pPr>
        <w:numPr>
          <w:ilvl w:val="0"/>
          <w:numId w:val="5"/>
        </w:num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健全规章制度体系。强化章程统领地位，以《学院章程》的修订完善为契机，抓好重大决策、干部选拔、招生录取、人才引进等重点工作及关键环节制度设计，推进各项制度文件“废改立释”工作；严格执行规范性文件的起草、审查、决定、公布等程序，在OA系统实现审查与发布程序一体化，完成</w:t>
      </w:r>
      <w:r>
        <w:rPr>
          <w:rFonts w:hint="eastAsia" w:ascii="仿宋_GB2312" w:hAnsi="仿宋_GB2312" w:eastAsia="仿宋_GB2312" w:cs="仿宋_GB2312"/>
          <w:color w:val="000000"/>
          <w:sz w:val="32"/>
          <w:szCs w:val="32"/>
          <w:lang w:val="en-US" w:eastAsia="zh-CN"/>
        </w:rPr>
        <w:t>2024</w:t>
      </w:r>
      <w:r>
        <w:rPr>
          <w:rFonts w:hint="eastAsia" w:ascii="仿宋_GB2312" w:hAnsi="仿宋_GB2312" w:eastAsia="仿宋_GB2312" w:cs="仿宋_GB2312"/>
          <w:color w:val="000000"/>
          <w:sz w:val="32"/>
          <w:szCs w:val="32"/>
        </w:rPr>
        <w:t>年规范性文件的归档工作</w:t>
      </w:r>
      <w:bookmarkStart w:id="0" w:name="_GoBack"/>
      <w:bookmarkEnd w:id="0"/>
      <w:r>
        <w:rPr>
          <w:rFonts w:hint="eastAsia" w:ascii="仿宋_GB2312" w:hAnsi="仿宋_GB2312" w:eastAsia="仿宋_GB2312" w:cs="仿宋_GB2312"/>
          <w:color w:val="000000"/>
          <w:sz w:val="32"/>
          <w:szCs w:val="32"/>
        </w:rPr>
        <w:t>。</w:t>
      </w:r>
    </w:p>
    <w:p>
      <w:pPr>
        <w:numPr>
          <w:ilvl w:val="0"/>
          <w:numId w:val="5"/>
        </w:numPr>
        <w:spacing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强化多方风险防控。加强合同管理，实施基础审、专项审、法律审“三位一体”的层级把控，实现全口径全流程合同审核。聘请2家律师事务所作为常年法律顾问，妥善处理涉校诉讼、仲裁案件以及非诉法律纠纷。畅通民主监督渠道，通过开设院长信箱、院长热线，上线“回音壁”，定期召开座谈会、举办“师生党员面对面”等活动畅通诉求反映渠道。强化内部审计监督，对图书馆、教育技术中心负责人开展任期经济责任审计。</w:t>
      </w:r>
    </w:p>
    <w:p>
      <w:pPr>
        <w:spacing w:line="56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该项自评得分24分。</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color w:val="FF0000"/>
          <w:sz w:val="32"/>
          <w:szCs w:val="32"/>
        </w:rPr>
      </w:pPr>
      <w:r>
        <w:rPr>
          <w:rFonts w:hint="eastAsia" w:ascii="仿宋" w:hAnsi="仿宋" w:eastAsia="仿宋"/>
          <w:sz w:val="32"/>
          <w:szCs w:val="32"/>
        </w:rPr>
        <w:t>根据部门职责定位和各项工作履职情况和分项目标完成情况进行综合评价，部门整体支出综合绩效自评得分9</w:t>
      </w:r>
      <w:r>
        <w:rPr>
          <w:rFonts w:hint="eastAsia" w:ascii="仿宋" w:hAnsi="仿宋" w:eastAsia="仿宋"/>
          <w:sz w:val="32"/>
          <w:szCs w:val="32"/>
          <w:lang w:val="en-US" w:eastAsia="zh-CN"/>
        </w:rPr>
        <w:t>9</w:t>
      </w:r>
      <w:r>
        <w:rPr>
          <w:rFonts w:hint="eastAsia" w:ascii="仿宋" w:hAnsi="仿宋" w:eastAsia="仿宋"/>
          <w:sz w:val="32"/>
          <w:szCs w:val="32"/>
        </w:rPr>
        <w:t>分，等级为优秀。</w:t>
      </w:r>
    </w:p>
    <w:p>
      <w:pPr>
        <w:spacing w:line="560" w:lineRule="exact"/>
        <w:ind w:firstLine="640" w:firstLineChars="200"/>
        <w:rPr>
          <w:rFonts w:hint="eastAsia"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1、绩效目标需要持续优化</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设置项目绩效目标和部门整体绩效目标时存在使用年度工作计划或总结中的重点内容直接用来作为绩效目标，或者在设定绩效目标时沿用工作计划或总结中的语言模式，导致指标设定不科学、不量化，依据不充分。如思想政治工作经费项目、学生工作经费项目由多部门牵头实施具体某项工作，通用的绩效指标难以确定。</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2、持续强化“质量指标”和“效益指标”设定</w:t>
      </w:r>
    </w:p>
    <w:p>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绩效目标的设定，存在产出数量指标设置比较全面，可衡量可考核，而质量指标和效益指标弱化，可衡量性较差，考核困难的现象。</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仿宋" w:hAnsi="仿宋" w:eastAsia="仿宋"/>
          <w:sz w:val="32"/>
          <w:szCs w:val="32"/>
        </w:rPr>
      </w:pPr>
      <w:r>
        <w:rPr>
          <w:rFonts w:ascii="仿宋" w:hAnsi="仿宋" w:eastAsia="仿宋"/>
          <w:sz w:val="32"/>
          <w:szCs w:val="32"/>
        </w:rPr>
        <w:t>1</w:t>
      </w:r>
      <w:r>
        <w:rPr>
          <w:rFonts w:hint="eastAsia" w:ascii="仿宋" w:hAnsi="仿宋" w:eastAsia="仿宋"/>
          <w:sz w:val="32"/>
          <w:szCs w:val="32"/>
        </w:rPr>
        <w:t>、持续强化全过程预算绩效管理理念，突出绩效指标的重要性和综合性。单位项目全，支出数额大、范围广，这就要求在设定整体绩效目标时，应兼顾好重要性和综合性原则。对于整体工作的反映，尽量采用综合性指标；对于具体项目的反映，则尽量采用有代表性的重要指标。</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不断健全制度，完善政策。坚持“谁使用谁负责”的原则，深化“花钱必问效，无效必问责”的预算绩效管理理念，持续不断地增强预算绩效管理，最大限度的避免出现支出不够严谨、存在一定随意性，资金使用效益偏低、资金闲置浪费的问题。</w:t>
      </w:r>
    </w:p>
    <w:p>
      <w:pPr>
        <w:adjustRightInd w:val="0"/>
        <w:snapToGrid w:val="0"/>
        <w:spacing w:line="560" w:lineRule="exact"/>
        <w:ind w:firstLine="640" w:firstLineChars="200"/>
        <w:rPr>
          <w:rFonts w:hint="eastAsia" w:ascii="仿宋" w:hAnsi="仿宋" w:eastAsia="仿宋"/>
          <w:sz w:val="32"/>
          <w:szCs w:val="32"/>
        </w:rPr>
      </w:pPr>
      <w:r>
        <w:rPr>
          <w:rFonts w:ascii="仿宋" w:hAnsi="仿宋" w:eastAsia="仿宋"/>
          <w:sz w:val="32"/>
          <w:szCs w:val="32"/>
        </w:rPr>
        <w:t>3</w:t>
      </w:r>
      <w:r>
        <w:rPr>
          <w:rFonts w:hint="eastAsia" w:ascii="仿宋" w:hAnsi="仿宋" w:eastAsia="仿宋"/>
          <w:sz w:val="32"/>
          <w:szCs w:val="32"/>
        </w:rPr>
        <w:t>、不断优化科学合理的项目预算效果考核机制，依据预设的绩效数量、质量指标全面衡量预算实施效果，既重“绩”，更重“效”。注重各项指标的可衡量性。可衡量性不仅是指标的量化，还包括对定性指标的分级分档表述。有些难以量化的指标，可通过与历史年度相比（纵向对比）、与相关部门的情况对比（横向对比）、与部门应当实现的目标对比等方式，形成级别或档次。</w:t>
      </w:r>
    </w:p>
    <w:p>
      <w:pPr>
        <w:adjustRightInd w:val="0"/>
        <w:snapToGrid w:val="0"/>
        <w:spacing w:line="560" w:lineRule="exact"/>
        <w:ind w:firstLine="640" w:firstLineChars="200"/>
        <w:rPr>
          <w:rFonts w:hint="eastAsia" w:ascii="仿宋" w:hAnsi="仿宋" w:eastAsia="仿宋"/>
          <w:sz w:val="32"/>
          <w:szCs w:val="32"/>
        </w:rPr>
      </w:pPr>
    </w:p>
    <w:p>
      <w:pPr>
        <w:adjustRightInd w:val="0"/>
        <w:snapToGrid w:val="0"/>
        <w:spacing w:line="560" w:lineRule="exact"/>
        <w:ind w:firstLine="640" w:firstLineChars="200"/>
        <w:jc w:val="right"/>
        <w:rPr>
          <w:rFonts w:hint="eastAsia" w:ascii="仿宋" w:hAnsi="仿宋" w:eastAsia="仿宋"/>
          <w:sz w:val="32"/>
          <w:szCs w:val="32"/>
          <w:lang w:val="en-US" w:eastAsia="zh-CN"/>
        </w:rPr>
      </w:pPr>
      <w:r>
        <w:rPr>
          <w:rFonts w:hint="eastAsia" w:ascii="仿宋" w:hAnsi="仿宋" w:eastAsia="仿宋"/>
          <w:sz w:val="32"/>
          <w:szCs w:val="32"/>
          <w:lang w:val="en-US" w:eastAsia="zh-CN"/>
        </w:rPr>
        <w:t>石家庄信息工程职业学院</w:t>
      </w:r>
    </w:p>
    <w:p>
      <w:pPr>
        <w:tabs>
          <w:tab w:val="left" w:pos="3491"/>
          <w:tab w:val="center" w:pos="7140"/>
        </w:tabs>
        <w:adjustRightInd w:val="0"/>
        <w:snapToGrid w:val="0"/>
        <w:spacing w:line="560" w:lineRule="exact"/>
        <w:ind w:firstLine="640" w:firstLineChars="200"/>
        <w:jc w:val="left"/>
        <w:rPr>
          <w:rFonts w:hint="default" w:ascii="仿宋" w:hAnsi="仿宋" w:eastAsia="仿宋"/>
          <w:sz w:val="32"/>
          <w:szCs w:val="32"/>
          <w:lang w:val="en-US" w:eastAsia="zh-CN"/>
        </w:rPr>
      </w:pPr>
      <w:r>
        <w:rPr>
          <w:rFonts w:hint="eastAsia" w:ascii="仿宋" w:hAnsi="仿宋" w:eastAsia="仿宋"/>
          <w:sz w:val="32"/>
          <w:szCs w:val="32"/>
          <w:lang w:val="en-US" w:eastAsia="zh-CN"/>
        </w:rPr>
        <w:tab/>
      </w:r>
      <w:r>
        <w:rPr>
          <w:rFonts w:hint="eastAsia" w:ascii="仿宋" w:hAnsi="仿宋" w:eastAsia="仿宋"/>
          <w:sz w:val="32"/>
          <w:szCs w:val="32"/>
          <w:lang w:val="en-US" w:eastAsia="zh-CN"/>
        </w:rPr>
        <w:tab/>
      </w:r>
      <w:r>
        <w:rPr>
          <w:rFonts w:hint="eastAsia" w:ascii="仿宋" w:hAnsi="仿宋" w:eastAsia="仿宋"/>
          <w:sz w:val="32"/>
          <w:szCs w:val="32"/>
          <w:lang w:val="en-US" w:eastAsia="zh-CN"/>
        </w:rPr>
        <w:t>2025年3月31日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C54DCAA"/>
    <w:multiLevelType w:val="singleLevel"/>
    <w:tmpl w:val="AC54DCAA"/>
    <w:lvl w:ilvl="0" w:tentative="0">
      <w:start w:val="1"/>
      <w:numFmt w:val="decimal"/>
      <w:suff w:val="space"/>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3B3ACAB3"/>
    <w:multiLevelType w:val="singleLevel"/>
    <w:tmpl w:val="3B3ACAB3"/>
    <w:lvl w:ilvl="0" w:tentative="0">
      <w:start w:val="2"/>
      <w:numFmt w:val="chineseCounting"/>
      <w:suff w:val="nothing"/>
      <w:lvlText w:val="（%1）"/>
      <w:lvlJc w:val="left"/>
      <w:rPr>
        <w:rFonts w:hint="eastAsia"/>
      </w:rPr>
    </w:lvl>
  </w:abstractNum>
  <w:abstractNum w:abstractNumId="3">
    <w:nsid w:val="4AC25515"/>
    <w:multiLevelType w:val="singleLevel"/>
    <w:tmpl w:val="4AC25515"/>
    <w:lvl w:ilvl="0" w:tentative="0">
      <w:start w:val="1"/>
      <w:numFmt w:val="decimal"/>
      <w:suff w:val="space"/>
      <w:lvlText w:val="%1."/>
      <w:lvlJc w:val="left"/>
    </w:lvl>
  </w:abstractNum>
  <w:abstractNum w:abstractNumId="4">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RiZjZkNTkxNGE3ODExNjA0ODUzOGJmMGIxYWNkNWYifQ=="/>
  </w:docVars>
  <w:rsids>
    <w:rsidRoot w:val="0EBD2122"/>
    <w:rsid w:val="000B0260"/>
    <w:rsid w:val="001F187B"/>
    <w:rsid w:val="00382E52"/>
    <w:rsid w:val="003C338D"/>
    <w:rsid w:val="00556BD6"/>
    <w:rsid w:val="0071309D"/>
    <w:rsid w:val="007E6C1F"/>
    <w:rsid w:val="00956A93"/>
    <w:rsid w:val="009E575C"/>
    <w:rsid w:val="00AF167E"/>
    <w:rsid w:val="00AF566A"/>
    <w:rsid w:val="00B478EA"/>
    <w:rsid w:val="00B5048C"/>
    <w:rsid w:val="00B6553A"/>
    <w:rsid w:val="00BC6576"/>
    <w:rsid w:val="00CE06BA"/>
    <w:rsid w:val="00D73282"/>
    <w:rsid w:val="00F441CC"/>
    <w:rsid w:val="01B104CA"/>
    <w:rsid w:val="02106AB0"/>
    <w:rsid w:val="02B43A28"/>
    <w:rsid w:val="046F331E"/>
    <w:rsid w:val="051E205F"/>
    <w:rsid w:val="07956271"/>
    <w:rsid w:val="09721397"/>
    <w:rsid w:val="0BB63BED"/>
    <w:rsid w:val="0EB97A43"/>
    <w:rsid w:val="0EBD2122"/>
    <w:rsid w:val="0F214EAE"/>
    <w:rsid w:val="110A5366"/>
    <w:rsid w:val="11B71E6A"/>
    <w:rsid w:val="13623D29"/>
    <w:rsid w:val="1AAF0063"/>
    <w:rsid w:val="1BE140DE"/>
    <w:rsid w:val="1D0465FC"/>
    <w:rsid w:val="1E542E40"/>
    <w:rsid w:val="209C7BBD"/>
    <w:rsid w:val="23400DD5"/>
    <w:rsid w:val="248C197D"/>
    <w:rsid w:val="252959AF"/>
    <w:rsid w:val="277A6671"/>
    <w:rsid w:val="289D5656"/>
    <w:rsid w:val="292D35B7"/>
    <w:rsid w:val="33EB6CFF"/>
    <w:rsid w:val="35A12947"/>
    <w:rsid w:val="37387040"/>
    <w:rsid w:val="3B625C0A"/>
    <w:rsid w:val="3CEE1963"/>
    <w:rsid w:val="436B78D3"/>
    <w:rsid w:val="4C9C27FE"/>
    <w:rsid w:val="512260B4"/>
    <w:rsid w:val="52BD6ACB"/>
    <w:rsid w:val="55537534"/>
    <w:rsid w:val="561A74F1"/>
    <w:rsid w:val="58B17416"/>
    <w:rsid w:val="595A7BF3"/>
    <w:rsid w:val="597244E8"/>
    <w:rsid w:val="5AE34FA5"/>
    <w:rsid w:val="5EB71C30"/>
    <w:rsid w:val="66AF0CE5"/>
    <w:rsid w:val="66C77377"/>
    <w:rsid w:val="68AC2130"/>
    <w:rsid w:val="6AC537CF"/>
    <w:rsid w:val="6E5B14A6"/>
    <w:rsid w:val="711B255E"/>
    <w:rsid w:val="7A475B65"/>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26"/>
      <w:szCs w:val="26"/>
      <w:lang w:eastAsia="en-US"/>
    </w:r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5031</Words>
  <Characters>5305</Characters>
  <Lines>43</Lines>
  <Paragraphs>12</Paragraphs>
  <TotalTime>80</TotalTime>
  <ScaleCrop>false</ScaleCrop>
  <LinksUpToDate>false</LinksUpToDate>
  <CharactersWithSpaces>5308</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孟严平</cp:lastModifiedBy>
  <cp:lastPrinted>2024-03-06T07:40:00Z</cp:lastPrinted>
  <dcterms:modified xsi:type="dcterms:W3CDTF">2025-03-31T02:14:53Z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96934721B1514D3FBAA28020338CE855_12</vt:lpwstr>
  </property>
  <property fmtid="{D5CDD505-2E9C-101B-9397-08002B2CF9AE}" pid="4" name="KSOTemplateDocerSaveRecord">
    <vt:lpwstr>eyJoZGlkIjoiYTc4OThiNmMyNjlhOTU2MzMzYWVmOTNiNTRkNzc1ZmMiLCJ1c2VySWQiOiIzMjYxMDYyMjcifQ==</vt:lpwstr>
  </property>
</Properties>
</file>