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235E173">
      <w:pPr>
        <w:jc w:val="both"/>
        <w:outlineLvl w:val="1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附件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4</w:t>
      </w:r>
    </w:p>
    <w:p w14:paraId="11C43622">
      <w:pPr>
        <w:jc w:val="center"/>
        <w:outlineLvl w:val="1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</w:pPr>
    </w:p>
    <w:p w14:paraId="12B9527E">
      <w:pPr>
        <w:jc w:val="center"/>
        <w:outlineLvl w:val="1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石家庄职业技术学院</w:t>
      </w:r>
    </w:p>
    <w:p w14:paraId="3F785D7C">
      <w:pPr>
        <w:jc w:val="center"/>
        <w:outlineLvl w:val="1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  <w:t>2024年度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</w:rPr>
        <w:t>整体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支出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</w:rPr>
        <w:t>绩效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自评报告</w:t>
      </w:r>
    </w:p>
    <w:p w14:paraId="3B7BBC6F">
      <w:pPr>
        <w:jc w:val="center"/>
        <w:outlineLvl w:val="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fldChar w:fldCharType="begin"/>
      </w:r>
      <w:r>
        <w:rPr>
          <w:rFonts w:ascii="仿宋" w:hAnsi="仿宋" w:eastAsia="仿宋" w:cs="仿宋"/>
          <w:sz w:val="32"/>
          <w:szCs w:val="32"/>
        </w:rPr>
        <w:instrText xml:space="preserve"> </w:instrText>
      </w:r>
      <w:r>
        <w:rPr>
          <w:rFonts w:hint="eastAsia" w:ascii="仿宋" w:hAnsi="仿宋" w:eastAsia="仿宋" w:cs="仿宋"/>
          <w:sz w:val="32"/>
          <w:szCs w:val="32"/>
        </w:rPr>
        <w:instrText xml:space="preserve">TC </w:instrText>
      </w:r>
      <w:bookmarkStart w:id="0" w:name="_Toc28451468"/>
      <w:r>
        <w:rPr>
          <w:rFonts w:hint="eastAsia" w:ascii="仿宋" w:hAnsi="仿宋" w:eastAsia="仿宋" w:cs="仿宋"/>
          <w:sz w:val="32"/>
          <w:szCs w:val="32"/>
        </w:rPr>
        <w:instrText xml:space="preserve">总体绩效目标</w:instrText>
      </w:r>
      <w:bookmarkEnd w:id="0"/>
      <w:r>
        <w:rPr>
          <w:rFonts w:hint="eastAsia" w:ascii="仿宋" w:hAnsi="仿宋" w:eastAsia="仿宋" w:cs="仿宋"/>
          <w:sz w:val="32"/>
          <w:szCs w:val="32"/>
        </w:rPr>
        <w:instrText xml:space="preserve"> \f A \l 1</w:instrText>
      </w:r>
      <w:r>
        <w:rPr>
          <w:rFonts w:ascii="仿宋" w:hAnsi="仿宋" w:eastAsia="仿宋" w:cs="仿宋"/>
          <w:sz w:val="32"/>
          <w:szCs w:val="32"/>
        </w:rPr>
        <w:instrText xml:space="preserve"> </w:instrText>
      </w:r>
      <w:r>
        <w:rPr>
          <w:rFonts w:ascii="仿宋" w:hAnsi="仿宋" w:eastAsia="仿宋" w:cs="仿宋"/>
          <w:sz w:val="32"/>
          <w:szCs w:val="32"/>
        </w:rPr>
        <w:fldChar w:fldCharType="end"/>
      </w:r>
    </w:p>
    <w:p w14:paraId="08C43C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贯彻落实市委市政府《关于全面落实预算绩效管理的实施意见》（石发【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2019】8号)文件精神，遵循“科学性、规范性、客观性和公正性”的原则，对石家庄职业技术学院2024年整体支出情况实施了财政支出绩效自评价，形成本评价报告。</w:t>
      </w:r>
    </w:p>
    <w:p w14:paraId="6A13E7B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before="156" w:beforeLines="50" w:after="156" w:afterLines="50"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一、部门基本情况</w:t>
      </w:r>
    </w:p>
    <w:p w14:paraId="20CB001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before="156" w:beforeLines="50" w:after="156" w:afterLines="50" w:line="560" w:lineRule="exact"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（一）部门概况</w:t>
      </w:r>
    </w:p>
    <w:p w14:paraId="25B13D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640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1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部门职责</w:t>
      </w:r>
    </w:p>
    <w:p w14:paraId="6B7011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before="0" w:after="0" w:line="560" w:lineRule="exact"/>
        <w:ind w:firstLine="56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石家庄职业技术学院的主要职责是：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实施专科层次的高等职业技术教育，定位于融入社会发展和科技进步，培养具有良好职业精神和能力的高素质专业技术技能人才。</w:t>
      </w:r>
    </w:p>
    <w:p w14:paraId="34305C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2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机构设置及人员情况</w:t>
      </w:r>
    </w:p>
    <w:tbl>
      <w:tblPr>
        <w:tblStyle w:val="3"/>
        <w:tblW w:w="10620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58"/>
        <w:gridCol w:w="780"/>
        <w:gridCol w:w="1080"/>
        <w:gridCol w:w="1335"/>
        <w:gridCol w:w="735"/>
        <w:gridCol w:w="540"/>
        <w:gridCol w:w="675"/>
        <w:gridCol w:w="555"/>
        <w:gridCol w:w="705"/>
        <w:gridCol w:w="465"/>
        <w:gridCol w:w="661"/>
        <w:gridCol w:w="531"/>
      </w:tblGrid>
      <w:tr w14:paraId="7EDE999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  <w:tblHeader/>
          <w:jc w:val="center"/>
        </w:trPr>
        <w:tc>
          <w:tcPr>
            <w:tcW w:w="7028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A6FDBAD"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</w:p>
        </w:tc>
        <w:tc>
          <w:tcPr>
            <w:tcW w:w="359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01F93111"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单位：人（辆）</w:t>
            </w:r>
          </w:p>
        </w:tc>
      </w:tr>
      <w:tr w14:paraId="7E92A5A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  <w:tblHeader/>
          <w:jc w:val="center"/>
        </w:trPr>
        <w:tc>
          <w:tcPr>
            <w:tcW w:w="2558" w:type="dxa"/>
            <w:vMerge w:val="restart"/>
            <w:vAlign w:val="center"/>
          </w:tcPr>
          <w:p w14:paraId="4660C252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单位名称</w:t>
            </w:r>
          </w:p>
        </w:tc>
        <w:tc>
          <w:tcPr>
            <w:tcW w:w="780" w:type="dxa"/>
            <w:vMerge w:val="restart"/>
            <w:vAlign w:val="center"/>
          </w:tcPr>
          <w:p w14:paraId="1C8A4BDE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单位性质</w:t>
            </w:r>
          </w:p>
        </w:tc>
        <w:tc>
          <w:tcPr>
            <w:tcW w:w="1080" w:type="dxa"/>
            <w:vMerge w:val="restart"/>
            <w:vAlign w:val="center"/>
          </w:tcPr>
          <w:p w14:paraId="469523D2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单位规格</w:t>
            </w:r>
          </w:p>
        </w:tc>
        <w:tc>
          <w:tcPr>
            <w:tcW w:w="1335" w:type="dxa"/>
            <w:vMerge w:val="restart"/>
            <w:vAlign w:val="center"/>
          </w:tcPr>
          <w:p w14:paraId="5CD13AD9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经费保障形式</w:t>
            </w:r>
          </w:p>
        </w:tc>
        <w:tc>
          <w:tcPr>
            <w:tcW w:w="735" w:type="dxa"/>
            <w:vMerge w:val="restart"/>
            <w:vAlign w:val="center"/>
          </w:tcPr>
          <w:p w14:paraId="75256BBD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车辆实有数</w:t>
            </w:r>
          </w:p>
        </w:tc>
        <w:tc>
          <w:tcPr>
            <w:tcW w:w="1215" w:type="dxa"/>
            <w:gridSpan w:val="2"/>
            <w:vAlign w:val="center"/>
          </w:tcPr>
          <w:p w14:paraId="6F35FDD3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编制人数</w:t>
            </w:r>
          </w:p>
        </w:tc>
        <w:tc>
          <w:tcPr>
            <w:tcW w:w="1260" w:type="dxa"/>
            <w:gridSpan w:val="2"/>
            <w:vAlign w:val="center"/>
          </w:tcPr>
          <w:p w14:paraId="11367177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在职人数</w:t>
            </w:r>
          </w:p>
        </w:tc>
        <w:tc>
          <w:tcPr>
            <w:tcW w:w="1657" w:type="dxa"/>
            <w:gridSpan w:val="3"/>
            <w:vAlign w:val="center"/>
          </w:tcPr>
          <w:p w14:paraId="7562D889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离退人数</w:t>
            </w:r>
          </w:p>
        </w:tc>
      </w:tr>
      <w:tr w14:paraId="61C1301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5" w:hRule="atLeast"/>
          <w:tblHeader/>
          <w:jc w:val="center"/>
        </w:trPr>
        <w:tc>
          <w:tcPr>
            <w:tcW w:w="2558" w:type="dxa"/>
            <w:vMerge w:val="continue"/>
            <w:vAlign w:val="center"/>
          </w:tcPr>
          <w:p w14:paraId="440D8A1F">
            <w:pPr>
              <w:spacing w:line="300" w:lineRule="exact"/>
              <w:jc w:val="left"/>
              <w:outlineLvl w:val="1"/>
              <w:rPr>
                <w:rFonts w:eastAsia="方正仿宋_GBK"/>
                <w:sz w:val="28"/>
              </w:rPr>
            </w:pPr>
          </w:p>
        </w:tc>
        <w:tc>
          <w:tcPr>
            <w:tcW w:w="780" w:type="dxa"/>
            <w:vMerge w:val="continue"/>
            <w:vAlign w:val="center"/>
          </w:tcPr>
          <w:p w14:paraId="0517FA3E">
            <w:pPr>
              <w:spacing w:line="300" w:lineRule="exact"/>
              <w:jc w:val="left"/>
              <w:outlineLvl w:val="1"/>
              <w:rPr>
                <w:rFonts w:eastAsia="方正仿宋_GBK"/>
                <w:sz w:val="28"/>
              </w:rPr>
            </w:pPr>
          </w:p>
        </w:tc>
        <w:tc>
          <w:tcPr>
            <w:tcW w:w="1080" w:type="dxa"/>
            <w:vMerge w:val="continue"/>
            <w:vAlign w:val="center"/>
          </w:tcPr>
          <w:p w14:paraId="02B656C7">
            <w:pPr>
              <w:spacing w:line="300" w:lineRule="exact"/>
              <w:jc w:val="left"/>
              <w:outlineLvl w:val="1"/>
              <w:rPr>
                <w:rFonts w:eastAsia="方正仿宋_GBK"/>
                <w:sz w:val="28"/>
              </w:rPr>
            </w:pPr>
          </w:p>
        </w:tc>
        <w:tc>
          <w:tcPr>
            <w:tcW w:w="1335" w:type="dxa"/>
            <w:vMerge w:val="continue"/>
            <w:vAlign w:val="center"/>
          </w:tcPr>
          <w:p w14:paraId="3C48FD5B">
            <w:pPr>
              <w:spacing w:line="300" w:lineRule="exact"/>
              <w:jc w:val="left"/>
              <w:outlineLvl w:val="1"/>
              <w:rPr>
                <w:rFonts w:eastAsia="方正仿宋_GBK"/>
                <w:sz w:val="28"/>
              </w:rPr>
            </w:pPr>
          </w:p>
        </w:tc>
        <w:tc>
          <w:tcPr>
            <w:tcW w:w="735" w:type="dxa"/>
            <w:vMerge w:val="continue"/>
            <w:vAlign w:val="center"/>
          </w:tcPr>
          <w:p w14:paraId="2138FCDD">
            <w:pPr>
              <w:spacing w:line="300" w:lineRule="exact"/>
              <w:jc w:val="left"/>
              <w:outlineLvl w:val="1"/>
              <w:rPr>
                <w:rFonts w:eastAsia="方正仿宋_GBK"/>
                <w:sz w:val="28"/>
              </w:rPr>
            </w:pPr>
          </w:p>
        </w:tc>
        <w:tc>
          <w:tcPr>
            <w:tcW w:w="540" w:type="dxa"/>
            <w:vAlign w:val="center"/>
          </w:tcPr>
          <w:p w14:paraId="733A585E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行政</w:t>
            </w:r>
          </w:p>
        </w:tc>
        <w:tc>
          <w:tcPr>
            <w:tcW w:w="675" w:type="dxa"/>
            <w:vAlign w:val="center"/>
          </w:tcPr>
          <w:p w14:paraId="2B4E627B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事业</w:t>
            </w:r>
          </w:p>
        </w:tc>
        <w:tc>
          <w:tcPr>
            <w:tcW w:w="555" w:type="dxa"/>
            <w:vAlign w:val="center"/>
          </w:tcPr>
          <w:p w14:paraId="3B2B04F1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行政</w:t>
            </w:r>
          </w:p>
        </w:tc>
        <w:tc>
          <w:tcPr>
            <w:tcW w:w="705" w:type="dxa"/>
            <w:vAlign w:val="center"/>
          </w:tcPr>
          <w:p w14:paraId="47AB9A05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事业</w:t>
            </w:r>
          </w:p>
        </w:tc>
        <w:tc>
          <w:tcPr>
            <w:tcW w:w="465" w:type="dxa"/>
            <w:vAlign w:val="center"/>
          </w:tcPr>
          <w:p w14:paraId="44238C30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离休</w:t>
            </w:r>
          </w:p>
        </w:tc>
        <w:tc>
          <w:tcPr>
            <w:tcW w:w="661" w:type="dxa"/>
            <w:vAlign w:val="center"/>
          </w:tcPr>
          <w:p w14:paraId="77312512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退休</w:t>
            </w:r>
          </w:p>
        </w:tc>
        <w:tc>
          <w:tcPr>
            <w:tcW w:w="531" w:type="dxa"/>
            <w:vAlign w:val="center"/>
          </w:tcPr>
          <w:p w14:paraId="69A56A13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退职</w:t>
            </w:r>
          </w:p>
        </w:tc>
      </w:tr>
      <w:tr w14:paraId="17DD6A1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  <w:jc w:val="center"/>
        </w:trPr>
        <w:tc>
          <w:tcPr>
            <w:tcW w:w="2558" w:type="dxa"/>
            <w:vAlign w:val="center"/>
          </w:tcPr>
          <w:p w14:paraId="2C01EC4E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780" w:type="dxa"/>
            <w:vAlign w:val="center"/>
          </w:tcPr>
          <w:p w14:paraId="2A344554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1080" w:type="dxa"/>
            <w:vAlign w:val="center"/>
          </w:tcPr>
          <w:p w14:paraId="127F3E10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1335" w:type="dxa"/>
            <w:vAlign w:val="center"/>
          </w:tcPr>
          <w:p w14:paraId="6180CC1F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735" w:type="dxa"/>
            <w:vAlign w:val="center"/>
          </w:tcPr>
          <w:p w14:paraId="40598F6F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4</w:t>
            </w:r>
          </w:p>
        </w:tc>
        <w:tc>
          <w:tcPr>
            <w:tcW w:w="540" w:type="dxa"/>
            <w:vAlign w:val="center"/>
          </w:tcPr>
          <w:p w14:paraId="4AB9B4E7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675" w:type="dxa"/>
            <w:vAlign w:val="center"/>
          </w:tcPr>
          <w:p w14:paraId="57F351BE">
            <w:pPr>
              <w:spacing w:line="300" w:lineRule="exact"/>
              <w:jc w:val="center"/>
              <w:rPr>
                <w:rFonts w:hint="default" w:ascii="方正书宋_GBK" w:eastAsia="方正书宋_GBK"/>
                <w:b/>
                <w:lang w:val="en-US" w:eastAsia="zh-CN"/>
              </w:rPr>
            </w:pPr>
            <w:r>
              <w:rPr>
                <w:rFonts w:hint="eastAsia" w:ascii="方正书宋_GBK" w:eastAsia="方正书宋_GBK"/>
                <w:b/>
                <w:lang w:val="en-US" w:eastAsia="zh-CN"/>
              </w:rPr>
              <w:t>938</w:t>
            </w:r>
          </w:p>
        </w:tc>
        <w:tc>
          <w:tcPr>
            <w:tcW w:w="555" w:type="dxa"/>
            <w:vAlign w:val="center"/>
          </w:tcPr>
          <w:p w14:paraId="499FDC16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705" w:type="dxa"/>
            <w:vAlign w:val="center"/>
          </w:tcPr>
          <w:p w14:paraId="615D6F8F">
            <w:pPr>
              <w:spacing w:line="300" w:lineRule="exact"/>
              <w:jc w:val="center"/>
              <w:rPr>
                <w:rFonts w:hint="default" w:ascii="方正书宋_GBK" w:eastAsia="方正书宋_GBK"/>
                <w:b/>
                <w:lang w:val="en-US" w:eastAsia="zh-CN"/>
              </w:rPr>
            </w:pPr>
            <w:r>
              <w:rPr>
                <w:rFonts w:hint="eastAsia" w:ascii="方正书宋_GBK" w:eastAsia="方正书宋_GBK"/>
                <w:b/>
                <w:lang w:val="en-US" w:eastAsia="zh-CN"/>
              </w:rPr>
              <w:t>809</w:t>
            </w:r>
          </w:p>
        </w:tc>
        <w:tc>
          <w:tcPr>
            <w:tcW w:w="465" w:type="dxa"/>
            <w:vAlign w:val="center"/>
          </w:tcPr>
          <w:p w14:paraId="51594FEE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661" w:type="dxa"/>
            <w:vAlign w:val="center"/>
          </w:tcPr>
          <w:p w14:paraId="44F197B3">
            <w:pPr>
              <w:spacing w:line="300" w:lineRule="exact"/>
              <w:jc w:val="center"/>
              <w:rPr>
                <w:rFonts w:hint="default" w:ascii="方正书宋_GBK" w:eastAsia="方正书宋_GBK"/>
                <w:b/>
                <w:lang w:val="en-US" w:eastAsia="zh-CN"/>
              </w:rPr>
            </w:pPr>
            <w:r>
              <w:rPr>
                <w:rFonts w:hint="eastAsia" w:ascii="方正书宋_GBK" w:eastAsia="方正书宋_GBK"/>
                <w:b/>
                <w:lang w:val="en-US" w:eastAsia="zh-CN"/>
              </w:rPr>
              <w:t>212</w:t>
            </w:r>
          </w:p>
        </w:tc>
        <w:tc>
          <w:tcPr>
            <w:tcW w:w="531" w:type="dxa"/>
            <w:vAlign w:val="center"/>
          </w:tcPr>
          <w:p w14:paraId="77D2CD87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</w:tr>
      <w:tr w14:paraId="0BF71BB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85" w:hRule="atLeast"/>
          <w:jc w:val="center"/>
        </w:trPr>
        <w:tc>
          <w:tcPr>
            <w:tcW w:w="2558" w:type="dxa"/>
            <w:vAlign w:val="center"/>
          </w:tcPr>
          <w:p w14:paraId="3FA3C42E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  <w:lang w:eastAsia="zh-CN"/>
              </w:rPr>
              <w:t>石家庄职业技术学院</w:t>
            </w:r>
            <w:r>
              <w:rPr>
                <w:rFonts w:hint="eastAsia" w:ascii="方正书宋_GBK" w:eastAsia="方正书宋_GBK"/>
              </w:rPr>
              <w:t>本级</w:t>
            </w:r>
          </w:p>
        </w:tc>
        <w:tc>
          <w:tcPr>
            <w:tcW w:w="780" w:type="dxa"/>
            <w:vAlign w:val="center"/>
          </w:tcPr>
          <w:p w14:paraId="375915E3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事业</w:t>
            </w:r>
          </w:p>
        </w:tc>
        <w:tc>
          <w:tcPr>
            <w:tcW w:w="1080" w:type="dxa"/>
            <w:vAlign w:val="center"/>
          </w:tcPr>
          <w:p w14:paraId="395A1465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副厅（地）级</w:t>
            </w:r>
          </w:p>
        </w:tc>
        <w:tc>
          <w:tcPr>
            <w:tcW w:w="1335" w:type="dxa"/>
            <w:vAlign w:val="center"/>
          </w:tcPr>
          <w:p w14:paraId="3B329F83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财政性资金基本保证</w:t>
            </w:r>
          </w:p>
        </w:tc>
        <w:tc>
          <w:tcPr>
            <w:tcW w:w="735" w:type="dxa"/>
            <w:vAlign w:val="center"/>
          </w:tcPr>
          <w:p w14:paraId="4BFC121E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540" w:type="dxa"/>
            <w:vAlign w:val="center"/>
          </w:tcPr>
          <w:p w14:paraId="72079A39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675" w:type="dxa"/>
            <w:vAlign w:val="center"/>
          </w:tcPr>
          <w:p w14:paraId="43139FD1">
            <w:pPr>
              <w:spacing w:line="300" w:lineRule="exact"/>
              <w:jc w:val="center"/>
              <w:rPr>
                <w:rFonts w:hint="default" w:ascii="方正书宋_GBK" w:eastAsia="方正书宋_GBK"/>
                <w:lang w:val="en-US" w:eastAsia="zh-CN"/>
              </w:rPr>
            </w:pPr>
            <w:r>
              <w:rPr>
                <w:rFonts w:hint="eastAsia" w:ascii="方正书宋_GBK" w:eastAsia="方正书宋_GBK"/>
                <w:lang w:val="en-US" w:eastAsia="zh-CN"/>
              </w:rPr>
              <w:t>938</w:t>
            </w:r>
          </w:p>
        </w:tc>
        <w:tc>
          <w:tcPr>
            <w:tcW w:w="555" w:type="dxa"/>
            <w:vAlign w:val="center"/>
          </w:tcPr>
          <w:p w14:paraId="22B7D212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05" w:type="dxa"/>
            <w:vAlign w:val="center"/>
          </w:tcPr>
          <w:p w14:paraId="35CD7710">
            <w:pPr>
              <w:spacing w:line="300" w:lineRule="exact"/>
              <w:jc w:val="center"/>
              <w:rPr>
                <w:rFonts w:hint="default" w:ascii="方正书宋_GBK" w:eastAsia="方正书宋_GBK"/>
                <w:lang w:val="en-US" w:eastAsia="zh-CN"/>
              </w:rPr>
            </w:pPr>
            <w:r>
              <w:rPr>
                <w:rFonts w:hint="eastAsia" w:ascii="方正书宋_GBK" w:eastAsia="方正书宋_GBK"/>
                <w:lang w:val="en-US" w:eastAsia="zh-CN"/>
              </w:rPr>
              <w:t>809</w:t>
            </w:r>
          </w:p>
        </w:tc>
        <w:tc>
          <w:tcPr>
            <w:tcW w:w="465" w:type="dxa"/>
            <w:vAlign w:val="center"/>
          </w:tcPr>
          <w:p w14:paraId="79374586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661" w:type="dxa"/>
            <w:vAlign w:val="center"/>
          </w:tcPr>
          <w:p w14:paraId="5C228415">
            <w:pPr>
              <w:spacing w:line="300" w:lineRule="exact"/>
              <w:jc w:val="center"/>
              <w:rPr>
                <w:rFonts w:hint="default" w:ascii="方正书宋_GBK" w:eastAsia="方正书宋_GBK"/>
                <w:lang w:val="en-US" w:eastAsia="zh-CN"/>
              </w:rPr>
            </w:pPr>
            <w:r>
              <w:rPr>
                <w:rFonts w:hint="eastAsia" w:ascii="方正书宋_GBK" w:eastAsia="方正书宋_GBK"/>
                <w:lang w:val="en-US" w:eastAsia="zh-CN"/>
              </w:rPr>
              <w:t>212</w:t>
            </w:r>
          </w:p>
        </w:tc>
        <w:tc>
          <w:tcPr>
            <w:tcW w:w="531" w:type="dxa"/>
            <w:vAlign w:val="center"/>
          </w:tcPr>
          <w:p w14:paraId="5CDF80A8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</w:tbl>
    <w:p w14:paraId="77054483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spacing w:before="10" w:after="10" w:line="560" w:lineRule="exact"/>
        <w:ind w:firstLine="643" w:firstLineChars="200"/>
        <w:textAlignment w:val="auto"/>
        <w:outlineLvl w:val="2"/>
        <w:rPr>
          <w:rFonts w:hint="eastAsia" w:ascii="仿宋" w:hAnsi="仿宋" w:eastAsia="仿宋" w:cs="仿宋"/>
          <w:b/>
          <w:bCs/>
          <w:color w:val="000000"/>
          <w:sz w:val="32"/>
        </w:rPr>
      </w:pPr>
      <w:bookmarkStart w:id="1" w:name="_Toc_3_3_0000000016"/>
      <w:r>
        <w:rPr>
          <w:rFonts w:hint="eastAsia" w:ascii="仿宋" w:hAnsi="仿宋" w:eastAsia="仿宋" w:cs="仿宋"/>
          <w:b/>
          <w:bCs/>
          <w:color w:val="000000"/>
          <w:sz w:val="32"/>
          <w:lang w:val="en-US" w:eastAsia="zh-CN"/>
        </w:rPr>
        <w:t>3.</w:t>
      </w:r>
      <w:r>
        <w:rPr>
          <w:rFonts w:hint="eastAsia" w:ascii="仿宋" w:hAnsi="仿宋" w:eastAsia="仿宋" w:cs="仿宋"/>
          <w:b/>
          <w:bCs/>
          <w:color w:val="000000"/>
          <w:sz w:val="32"/>
        </w:rPr>
        <w:t>资产信息</w:t>
      </w:r>
      <w:bookmarkEnd w:id="1"/>
    </w:p>
    <w:p w14:paraId="3C48AF89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highlight w:val="yellow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石家庄职业技术学院（含所属单位）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2024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年末资产总额为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354585.193947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eastAsia="zh-CN"/>
        </w:rPr>
        <w:t>万元，其中流动资产共计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8752.965292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eastAsia="zh-CN"/>
        </w:rPr>
        <w:t>万元，非流动资产金额共计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345832.228655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万元，资产稳定性较强。</w:t>
      </w:r>
    </w:p>
    <w:p w14:paraId="1CB4B4ED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spacing w:before="10" w:after="10" w:line="560" w:lineRule="exact"/>
        <w:ind w:firstLine="643" w:firstLineChars="200"/>
        <w:textAlignment w:val="auto"/>
        <w:outlineLvl w:val="2"/>
        <w:rPr>
          <w:rFonts w:hint="eastAsia" w:ascii="仿宋" w:hAnsi="仿宋" w:eastAsia="仿宋" w:cs="仿宋"/>
          <w:b/>
          <w:bCs/>
          <w:color w:val="000000"/>
          <w:sz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（二）</w:t>
      </w:r>
      <w:r>
        <w:rPr>
          <w:rFonts w:hint="eastAsia" w:ascii="仿宋" w:hAnsi="仿宋" w:eastAsia="仿宋" w:cs="仿宋"/>
          <w:b/>
          <w:bCs/>
          <w:color w:val="000000"/>
          <w:sz w:val="32"/>
          <w:lang w:eastAsia="zh-CN"/>
        </w:rPr>
        <w:t>部门收支预决算情况</w:t>
      </w:r>
    </w:p>
    <w:p w14:paraId="7B211EAF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eastAsia="zh-CN"/>
        </w:rPr>
        <w:t>我院202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eastAsia="zh-CN"/>
        </w:rPr>
        <w:t>年预算收入为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val="en-US" w:eastAsia="zh-CN"/>
        </w:rPr>
        <w:t>35217.8084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eastAsia="zh-CN"/>
        </w:rPr>
        <w:t>万元，决算总收入是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33804.8555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eastAsia="zh-CN"/>
        </w:rPr>
        <w:t>万元。202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eastAsia="zh-CN"/>
        </w:rPr>
        <w:t>年预算支出是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val="en-US" w:eastAsia="zh-CN"/>
        </w:rPr>
        <w:t>35217.8084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eastAsia="zh-CN"/>
        </w:rPr>
        <w:t>万元，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决算总支出是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33558.1235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万元。实际收入与实际支出差异主要原因是课题等其他收入未全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部支出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。</w:t>
      </w:r>
    </w:p>
    <w:p w14:paraId="120E9BB0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其中，202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年调整后项目预算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14312.2483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万元，实际支出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13452.648095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万元，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财政拨款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剩余资金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444.208649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万元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未支出完，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其中87.591023万元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年底财政收回，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356.617626万元结转下年继续使用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671766FB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（三）部门整体支出绩效目标、指标</w:t>
      </w:r>
    </w:p>
    <w:p w14:paraId="0F8824F5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学院以全日制高等职业教育为主体，不断深化教育教学改革，提升教师科技研发能力，积极推进学院教育教学发展。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强化体系融合，推进职业教育、开放教育、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社区教育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三教协同发展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的办学格局，努力拓宽职业教育办学途径和服务领域。加强学生教育管理工作，提高学生综合素质。开展招生就业宣传工作，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扩大学院影响力。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积极落实国家奖助补政策，及时足额发放到位，确保困难学生顺利完成学业，受助学生满意度90%以上；以国家“双高计划”为导向，优化教育结构，加大教师培养和企业能工巧匠引进力度，促进高水平专业建设，推进学院跨越式发展。</w:t>
      </w:r>
    </w:p>
    <w:p w14:paraId="57F497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二、自评工作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 w14:paraId="008C8596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（一）自评的组织工作</w:t>
      </w:r>
    </w:p>
    <w:p w14:paraId="34FEE3AB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为了推进绩效自评工作健康有序开展，根据石家庄市财政局</w:t>
      </w:r>
      <w:r>
        <w:rPr>
          <w:rFonts w:hint="eastAsia" w:ascii="仿宋" w:hAnsi="仿宋" w:eastAsia="仿宋" w:cs="仿宋"/>
          <w:sz w:val="30"/>
          <w:szCs w:val="30"/>
        </w:rPr>
        <w:t>《关于开展202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5</w:t>
      </w:r>
      <w:r>
        <w:rPr>
          <w:rFonts w:hint="eastAsia" w:ascii="仿宋" w:hAnsi="仿宋" w:eastAsia="仿宋" w:cs="仿宋"/>
          <w:sz w:val="30"/>
          <w:szCs w:val="30"/>
        </w:rPr>
        <w:t>年绩效自评工作的通知》（石财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绩</w:t>
      </w:r>
      <w:r>
        <w:rPr>
          <w:rFonts w:hint="eastAsia" w:ascii="仿宋" w:hAnsi="仿宋" w:eastAsia="仿宋" w:cs="仿宋"/>
          <w:sz w:val="30"/>
          <w:szCs w:val="30"/>
        </w:rPr>
        <w:t>〔202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5</w:t>
      </w:r>
      <w:r>
        <w:rPr>
          <w:rFonts w:hint="eastAsia" w:ascii="仿宋" w:hAnsi="仿宋" w:eastAsia="仿宋" w:cs="仿宋"/>
          <w:sz w:val="30"/>
          <w:szCs w:val="30"/>
        </w:rPr>
        <w:t>〕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</w:t>
      </w:r>
      <w:r>
        <w:rPr>
          <w:rFonts w:hint="eastAsia" w:ascii="仿宋" w:hAnsi="仿宋" w:eastAsia="仿宋" w:cs="仿宋"/>
          <w:sz w:val="30"/>
          <w:szCs w:val="30"/>
        </w:rPr>
        <w:t>号）</w:t>
      </w:r>
      <w:r>
        <w:rPr>
          <w:rFonts w:hint="eastAsia" w:ascii="仿宋" w:hAnsi="仿宋" w:eastAsia="仿宋" w:cs="仿宋"/>
          <w:sz w:val="32"/>
          <w:szCs w:val="32"/>
        </w:rPr>
        <w:t>,按照全覆盖原则，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在</w:t>
      </w:r>
      <w:r>
        <w:rPr>
          <w:rFonts w:hint="eastAsia" w:ascii="仿宋" w:hAnsi="仿宋" w:eastAsia="仿宋" w:cs="仿宋"/>
          <w:sz w:val="32"/>
          <w:szCs w:val="32"/>
        </w:rPr>
        <w:t>绩效自评工作小组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领导下</w:t>
      </w:r>
      <w:r>
        <w:rPr>
          <w:rFonts w:hint="eastAsia" w:ascii="仿宋" w:hAnsi="仿宋" w:eastAsia="仿宋" w:cs="仿宋"/>
          <w:sz w:val="32"/>
          <w:szCs w:val="32"/>
        </w:rPr>
        <w:t>，</w:t>
      </w:r>
      <w:r>
        <w:rPr>
          <w:rFonts w:hint="eastAsia" w:ascii="仿宋_GB2312" w:eastAsia="仿宋_GB2312"/>
          <w:sz w:val="32"/>
          <w:szCs w:val="32"/>
        </w:rPr>
        <w:t>制定工作方案、评价方法和步骤时限等内容。</w:t>
      </w:r>
      <w:r>
        <w:rPr>
          <w:rFonts w:hint="eastAsia" w:ascii="仿宋" w:hAnsi="仿宋" w:eastAsia="仿宋" w:cs="仿宋"/>
          <w:sz w:val="32"/>
          <w:szCs w:val="32"/>
        </w:rPr>
        <w:t>学校自评工作组对照工作内容，分解各项目绩效自评工作至相关处室，明确各项目绩效自评牵头部门，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各部门对各自项目认真梳理，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总结成绩和不足，并提出改进方向，填报了</w:t>
      </w:r>
      <w:r>
        <w:rPr>
          <w:rFonts w:hint="eastAsia" w:ascii="仿宋" w:hAnsi="仿宋" w:eastAsia="仿宋" w:cs="仿宋"/>
          <w:sz w:val="30"/>
          <w:szCs w:val="30"/>
        </w:rPr>
        <w:t>《预算项目绩效自评表》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。</w:t>
      </w:r>
    </w:p>
    <w:p w14:paraId="56A8E5D4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ind w:firstLine="660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（二）自评的方法和过程</w:t>
      </w:r>
    </w:p>
    <w:p w14:paraId="77E471DB"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经过收集资料、询问调查、</w:t>
      </w:r>
      <w:r>
        <w:rPr>
          <w:rFonts w:hint="eastAsia" w:ascii="仿宋_GB2312" w:eastAsia="仿宋_GB2312"/>
          <w:sz w:val="32"/>
          <w:szCs w:val="32"/>
        </w:rPr>
        <w:t>整理</w:t>
      </w:r>
      <w:r>
        <w:rPr>
          <w:rFonts w:hint="eastAsia" w:ascii="仿宋_GB2312" w:eastAsia="仿宋_GB2312"/>
          <w:sz w:val="32"/>
          <w:szCs w:val="32"/>
          <w:lang w:eastAsia="zh-CN"/>
        </w:rPr>
        <w:t>资料和综合</w:t>
      </w:r>
      <w:r>
        <w:rPr>
          <w:rFonts w:hint="eastAsia" w:ascii="仿宋_GB2312" w:eastAsia="仿宋_GB2312"/>
          <w:sz w:val="32"/>
          <w:szCs w:val="32"/>
        </w:rPr>
        <w:t>分析</w:t>
      </w:r>
      <w:r>
        <w:rPr>
          <w:rFonts w:hint="eastAsia" w:ascii="仿宋_GB2312" w:eastAsia="仿宋_GB2312"/>
          <w:sz w:val="32"/>
          <w:szCs w:val="32"/>
          <w:lang w:eastAsia="zh-CN"/>
        </w:rPr>
        <w:t>等程序后</w:t>
      </w:r>
      <w:r>
        <w:rPr>
          <w:rFonts w:hint="eastAsia" w:ascii="仿宋_GB2312" w:eastAsia="仿宋_GB2312"/>
          <w:sz w:val="32"/>
          <w:szCs w:val="32"/>
        </w:rPr>
        <w:t>，</w:t>
      </w:r>
      <w:r>
        <w:rPr>
          <w:rFonts w:hint="eastAsia" w:ascii="仿宋_GB2312" w:eastAsia="仿宋_GB2312"/>
          <w:sz w:val="32"/>
          <w:szCs w:val="32"/>
          <w:lang w:eastAsia="zh-CN"/>
        </w:rPr>
        <w:t>评价小组</w:t>
      </w:r>
      <w:r>
        <w:rPr>
          <w:rFonts w:hint="eastAsia" w:ascii="仿宋" w:hAnsi="仿宋" w:eastAsia="仿宋" w:cs="仿宋"/>
          <w:sz w:val="32"/>
          <w:szCs w:val="32"/>
        </w:rPr>
        <w:t>作出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最终</w:t>
      </w:r>
      <w:r>
        <w:rPr>
          <w:rFonts w:hint="eastAsia" w:ascii="仿宋" w:hAnsi="仿宋" w:eastAsia="仿宋" w:cs="仿宋"/>
          <w:sz w:val="32"/>
          <w:szCs w:val="32"/>
        </w:rPr>
        <w:t>评价，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形成了本次绩效自评报告，</w:t>
      </w:r>
      <w:r>
        <w:rPr>
          <w:rFonts w:hint="eastAsia" w:ascii="仿宋" w:hAnsi="仿宋" w:eastAsia="仿宋" w:cs="仿宋"/>
          <w:sz w:val="32"/>
          <w:szCs w:val="32"/>
        </w:rPr>
        <w:t>评价结果科学规范、</w:t>
      </w:r>
      <w:r>
        <w:rPr>
          <w:rFonts w:hint="eastAsia" w:ascii="仿宋_GB2312" w:eastAsia="仿宋_GB2312"/>
          <w:sz w:val="32"/>
          <w:szCs w:val="32"/>
        </w:rPr>
        <w:t>客观公正。</w:t>
      </w:r>
    </w:p>
    <w:p w14:paraId="0468D65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00000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lang w:eastAsia="zh-CN"/>
        </w:rPr>
        <w:t>三、部门整体支出绩效目标实现情况及指标分析</w:t>
      </w:r>
    </w:p>
    <w:p w14:paraId="15B25A7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一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总体绩效目标完成情况</w:t>
      </w:r>
    </w:p>
    <w:p w14:paraId="774DEA3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坚持以习近平新时代中国特色社会主义思想为指导，全面贯彻落实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党的二十</w:t>
      </w:r>
      <w:r>
        <w:rPr>
          <w:rFonts w:hint="eastAsia" w:ascii="仿宋" w:hAnsi="仿宋" w:eastAsia="仿宋" w:cs="仿宋"/>
          <w:sz w:val="32"/>
          <w:szCs w:val="32"/>
        </w:rPr>
        <w:t>大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精神</w:t>
      </w:r>
      <w:bookmarkStart w:id="2" w:name="_GoBack"/>
      <w:bookmarkEnd w:id="2"/>
      <w:r>
        <w:rPr>
          <w:rFonts w:hint="eastAsia" w:ascii="仿宋" w:hAnsi="仿宋" w:eastAsia="仿宋" w:cs="仿宋"/>
          <w:sz w:val="32"/>
          <w:szCs w:val="32"/>
        </w:rPr>
        <w:t>，学院以全日制高等职业教育为主体，持续深化教育教学改革，教师科技研发能力正在稳步提升，积极推进学院教育教学发展。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强化体系融合，推进职业教育、</w:t>
      </w:r>
      <w:r>
        <w:rPr>
          <w:rFonts w:hint="eastAsia" w:ascii="仿宋" w:hAnsi="仿宋" w:eastAsia="仿宋" w:cs="仿宋"/>
          <w:sz w:val="32"/>
          <w:szCs w:val="32"/>
        </w:rPr>
        <w:t>开放教育、社区教育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三教协同发展</w:t>
      </w:r>
      <w:r>
        <w:rPr>
          <w:rFonts w:hint="eastAsia" w:ascii="仿宋" w:hAnsi="仿宋" w:eastAsia="仿宋" w:cs="仿宋"/>
          <w:sz w:val="32"/>
          <w:szCs w:val="32"/>
        </w:rPr>
        <w:t>的办学格局，努力拓宽职业教育办学途径和服务领域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  <w:lang w:eastAsia="zh-CN"/>
        </w:rPr>
        <w:t>打造社区教育示范点，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进一步</w:t>
      </w:r>
      <w:r>
        <w:rPr>
          <w:rFonts w:hint="eastAsia" w:ascii="仿宋_GB2312" w:eastAsia="仿宋_GB2312"/>
          <w:sz w:val="32"/>
          <w:szCs w:val="32"/>
          <w:lang w:eastAsia="zh-CN"/>
        </w:rPr>
        <w:t>提升社区教育服务理念。</w:t>
      </w:r>
      <w:r>
        <w:rPr>
          <w:rFonts w:hint="eastAsia" w:ascii="仿宋" w:hAnsi="仿宋" w:eastAsia="仿宋" w:cs="仿宋"/>
          <w:sz w:val="32"/>
          <w:szCs w:val="32"/>
        </w:rPr>
        <w:t>加强学生教育管理工作，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开展多样化活动，</w:t>
      </w:r>
      <w:r>
        <w:rPr>
          <w:rFonts w:hint="eastAsia" w:ascii="仿宋" w:hAnsi="仿宋" w:eastAsia="仿宋" w:cs="仿宋"/>
          <w:sz w:val="32"/>
          <w:szCs w:val="32"/>
        </w:rPr>
        <w:t>丰富学生的课余文化生活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积极落实国家奖助补政策，及时发放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学生资助</w:t>
      </w:r>
      <w:r>
        <w:rPr>
          <w:rFonts w:hint="eastAsia" w:ascii="仿宋" w:hAnsi="仿宋" w:eastAsia="仿宋" w:cs="仿宋"/>
          <w:sz w:val="32"/>
          <w:szCs w:val="32"/>
        </w:rPr>
        <w:t>金，确保困难学生顺利完成学</w:t>
      </w:r>
      <w:r>
        <w:rPr>
          <w:rFonts w:hint="eastAsia" w:ascii="仿宋_GB2312" w:eastAsia="仿宋_GB2312"/>
          <w:sz w:val="32"/>
          <w:szCs w:val="32"/>
          <w:lang w:eastAsia="zh-CN"/>
        </w:rPr>
        <w:t>业。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以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国家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“双高计划”作为引领学校发展的重要机遇</w:t>
      </w:r>
      <w:r>
        <w:rPr>
          <w:rFonts w:hint="eastAsia" w:ascii="仿宋" w:hAnsi="仿宋" w:eastAsia="仿宋" w:cs="仿宋"/>
          <w:sz w:val="32"/>
          <w:szCs w:val="32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积极推进教师培养和企业能工巧匠引进力度，进一步</w:t>
      </w:r>
      <w:r>
        <w:rPr>
          <w:rFonts w:hint="eastAsia" w:ascii="仿宋" w:hAnsi="仿宋" w:eastAsia="仿宋" w:cs="仿宋"/>
          <w:sz w:val="32"/>
          <w:szCs w:val="32"/>
        </w:rPr>
        <w:t>促进高水平建设发展。</w:t>
      </w:r>
    </w:p>
    <w:p w14:paraId="2C35CDA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本年度学院项目绩效目标完成情况良好，各项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工作开展较为顺利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，取得了预期的效果</w:t>
      </w:r>
      <w:r>
        <w:rPr>
          <w:rFonts w:hint="eastAsia" w:ascii="仿宋_GB2312" w:eastAsia="仿宋_GB2312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2024年，我院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“双高计划”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建设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顺利通过终期验收，评价结果为优秀。</w:t>
      </w:r>
      <w:r>
        <w:rPr>
          <w:rFonts w:hint="eastAsia" w:ascii="仿宋_GB2312" w:eastAsia="仿宋_GB2312"/>
          <w:sz w:val="32"/>
          <w:szCs w:val="32"/>
        </w:rPr>
        <w:t>教育教学、</w:t>
      </w:r>
      <w:r>
        <w:rPr>
          <w:rFonts w:hint="eastAsia" w:ascii="仿宋_GB2312" w:eastAsia="仿宋_GB2312"/>
          <w:sz w:val="32"/>
          <w:szCs w:val="32"/>
          <w:lang w:eastAsia="zh-CN"/>
        </w:rPr>
        <w:t>科技</w:t>
      </w:r>
      <w:r>
        <w:rPr>
          <w:rFonts w:hint="eastAsia" w:ascii="仿宋_GB2312" w:eastAsia="仿宋_GB2312"/>
          <w:sz w:val="32"/>
          <w:szCs w:val="32"/>
        </w:rPr>
        <w:t>研究、学生</w:t>
      </w:r>
      <w:r>
        <w:rPr>
          <w:rFonts w:hint="eastAsia" w:ascii="仿宋_GB2312" w:eastAsia="仿宋_GB2312"/>
          <w:sz w:val="32"/>
          <w:szCs w:val="32"/>
          <w:lang w:eastAsia="zh-CN"/>
        </w:rPr>
        <w:t>教育</w:t>
      </w:r>
      <w:r>
        <w:rPr>
          <w:rFonts w:hint="eastAsia" w:ascii="仿宋_GB2312" w:eastAsia="仿宋_GB2312"/>
          <w:sz w:val="32"/>
          <w:szCs w:val="32"/>
        </w:rPr>
        <w:t>、</w:t>
      </w:r>
      <w:r>
        <w:rPr>
          <w:rFonts w:hint="eastAsia" w:ascii="仿宋_GB2312" w:eastAsia="仿宋_GB2312"/>
          <w:sz w:val="32"/>
          <w:szCs w:val="32"/>
          <w:lang w:eastAsia="zh-CN"/>
        </w:rPr>
        <w:t>专业建设、</w:t>
      </w:r>
      <w:r>
        <w:rPr>
          <w:rFonts w:hint="eastAsia" w:ascii="仿宋_GB2312" w:eastAsia="仿宋_GB2312"/>
          <w:sz w:val="32"/>
          <w:szCs w:val="32"/>
        </w:rPr>
        <w:t>服务社会能力均有所提高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</w:rPr>
        <w:t>按照市委、市政府要求，我院新校区建设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eastAsia="zh-CN"/>
        </w:rPr>
        <w:t>项目进展顺利，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  <w:t>于2024年4月完成整体搬迁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</w:rPr>
        <w:t>。</w:t>
      </w:r>
    </w:p>
    <w:p w14:paraId="3CD222C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right="0" w:firstLine="643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二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分项绩效目标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实现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情况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及指标分析</w:t>
      </w:r>
    </w:p>
    <w:p w14:paraId="2964ED8A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积极推进学院教育教学工作发展</w:t>
      </w:r>
    </w:p>
    <w:p w14:paraId="1901A4DA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大力发展高等职业教育，全面提高教师教学水平，进一步开展应用性研究，提升教师教学科研能力，服务高职教育改革发展。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建设精品在线开放课程20门（其中国课4门、校级课16门）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教师教学能力比赛获奖7项；教师指导技能大赛获国奖6项、省奖87项。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科研项目研究达到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83项，学报出版6期，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面向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50余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家企业开展技术研发、技术服务。</w:t>
      </w:r>
    </w:p>
    <w:p w14:paraId="3D6E7639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spacing w:line="560" w:lineRule="exact"/>
        <w:ind w:firstLine="643" w:firstLineChars="200"/>
        <w:jc w:val="left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2.推进三教协同发展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的办学格局</w:t>
      </w:r>
    </w:p>
    <w:p w14:paraId="47D4A7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加强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开放大学</w:t>
      </w:r>
      <w:r>
        <w:rPr>
          <w:rFonts w:hint="eastAsia" w:ascii="仿宋" w:hAnsi="仿宋" w:eastAsia="仿宋" w:cs="仿宋"/>
          <w:sz w:val="32"/>
          <w:szCs w:val="32"/>
        </w:rPr>
        <w:t>成人教育、开放教育，扩大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开放大学</w:t>
      </w:r>
      <w:r>
        <w:rPr>
          <w:rFonts w:hint="eastAsia" w:ascii="仿宋" w:hAnsi="仿宋" w:eastAsia="仿宋" w:cs="仿宋"/>
          <w:sz w:val="32"/>
          <w:szCs w:val="32"/>
        </w:rPr>
        <w:t>招生规模。建设网络课程资源，提升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开放大学</w:t>
      </w:r>
      <w:r>
        <w:rPr>
          <w:rFonts w:hint="eastAsia" w:ascii="仿宋" w:hAnsi="仿宋" w:eastAsia="仿宋" w:cs="仿宋"/>
          <w:sz w:val="32"/>
          <w:szCs w:val="32"/>
        </w:rPr>
        <w:t>教学业务质量。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2024年，继续教育招生规模2166人，毕业4429人。各项教学检查全部合格，教学合格率为100%。</w:t>
      </w:r>
      <w:r>
        <w:rPr>
          <w:rFonts w:hint="eastAsia" w:ascii="仿宋" w:hAnsi="仿宋" w:eastAsia="仿宋" w:cs="仿宋"/>
          <w:sz w:val="32"/>
          <w:szCs w:val="32"/>
        </w:rPr>
        <w:t>完善优化社区教育，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提升社区教育服务理念。开设老年教学体验班6个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组织2024年市级全民终身学习活动周相关活动，</w:t>
      </w:r>
      <w:r>
        <w:rPr>
          <w:rFonts w:hint="eastAsia" w:ascii="仿宋" w:hAnsi="仿宋" w:eastAsia="仿宋" w:cs="仿宋"/>
          <w:sz w:val="32"/>
          <w:szCs w:val="32"/>
        </w:rPr>
        <w:t>全年社区教育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培训达五万余人次，助推石家庄市学习型城市建设。</w:t>
      </w:r>
    </w:p>
    <w:p w14:paraId="3BB77033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pacing w:line="560" w:lineRule="exact"/>
        <w:ind w:left="198" w:firstLine="643" w:firstLineChars="200"/>
        <w:jc w:val="left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3.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加强学生教育管理工作</w:t>
      </w:r>
    </w:p>
    <w:p w14:paraId="04CE9827"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1"/>
        <w:textAlignment w:val="auto"/>
        <w:rPr>
          <w:rFonts w:hint="eastAsia" w:ascii="仿宋_GB2312" w:hAnsi="Calibri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Calibri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做好学生教育管理工作，开展内容丰富的志愿活动、社会实践活动、思想教育活动，丰富学生的课余生活，提高学生的政治文化素养。全年组织开展各项学生活动45项。加大招生宣传力度，做好就业管理和服务工作，</w:t>
      </w:r>
      <w:r>
        <w:rPr>
          <w:rFonts w:hint="eastAsia" w:ascii="仿宋_GB2312" w:hAnsi="Calibri" w:eastAsia="仿宋_GB2312" w:cs="Times New Roman"/>
          <w:b w:val="0"/>
          <w:bCs w:val="0"/>
          <w:kern w:val="2"/>
          <w:sz w:val="32"/>
          <w:szCs w:val="32"/>
          <w:highlight w:val="none"/>
          <w:lang w:val="en-US" w:eastAsia="zh-CN" w:bidi="ar-SA"/>
        </w:rPr>
        <w:t>组织招聘会301次，</w:t>
      </w:r>
      <w:r>
        <w:rPr>
          <w:rFonts w:hint="eastAsia" w:ascii="仿宋_GB2312" w:hAnsi="Calibri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帮助学生积极就业，毕业生就业率高于90%，进一步扩大学院影响力。</w:t>
      </w:r>
    </w:p>
    <w:p w14:paraId="77183F00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4.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加大高校贫困学生资助力度</w:t>
      </w:r>
    </w:p>
    <w:p w14:paraId="3AFB4A41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高等学校各项国家资助政策按规定得到落实，帮助家庭经济困难学生顺利完成学业。根据冀教资助文件，助学金及时足额发放到位，发放人数与受助人数100%相符。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受助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满意度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100%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。</w:t>
      </w:r>
    </w:p>
    <w:p w14:paraId="7E8D5631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spacing w:line="560" w:lineRule="exact"/>
        <w:ind w:firstLine="643" w:firstLineChars="200"/>
        <w:jc w:val="left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5.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促进高水平专业建设发展</w:t>
      </w:r>
    </w:p>
    <w:p w14:paraId="2FEECF78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校内实训基地建设逐步完善，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购置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1000台（套）</w:t>
      </w:r>
      <w:r>
        <w:rPr>
          <w:rFonts w:hint="eastAsia" w:ascii="仿宋" w:hAnsi="仿宋" w:eastAsia="仿宋" w:cs="仿宋"/>
          <w:sz w:val="32"/>
          <w:szCs w:val="32"/>
        </w:rPr>
        <w:t>教学及实训设备，提升学校硬件水平，增强学生实际动手能力，建设国家级、省级职业教育教师教学创新团队各一支，建设在线课程及教学资源库数量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41</w:t>
      </w:r>
      <w:r>
        <w:rPr>
          <w:rFonts w:hint="eastAsia" w:ascii="仿宋" w:hAnsi="仿宋" w:eastAsia="仿宋" w:cs="仿宋"/>
          <w:sz w:val="32"/>
          <w:szCs w:val="32"/>
        </w:rPr>
        <w:t>项，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进一步</w:t>
      </w:r>
      <w:r>
        <w:rPr>
          <w:rFonts w:hint="eastAsia" w:ascii="仿宋" w:hAnsi="仿宋" w:eastAsia="仿宋" w:cs="仿宋"/>
          <w:sz w:val="32"/>
          <w:szCs w:val="32"/>
        </w:rPr>
        <w:t>提升教学能力以及整体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实力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 w14:paraId="2E2C1C9F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四、项目综合评价结论和评价等级</w:t>
      </w:r>
    </w:p>
    <w:p w14:paraId="06F2EC61"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根据项目执行情况和项目绩效情况，指标体系设定满分100分，得出综合评价结论和项目综合绩效评价等级。项目综合绩效评价分为4个等级：得分</w:t>
      </w:r>
      <w:r>
        <w:rPr>
          <w:rFonts w:ascii="仿宋_GB2312" w:eastAsia="仿宋_GB2312"/>
          <w:sz w:val="32"/>
          <w:szCs w:val="32"/>
        </w:rPr>
        <w:t>≥</w:t>
      </w:r>
      <w:r>
        <w:rPr>
          <w:rFonts w:hint="eastAsia" w:ascii="仿宋_GB2312" w:eastAsia="仿宋_GB2312"/>
          <w:sz w:val="32"/>
          <w:szCs w:val="32"/>
        </w:rPr>
        <w:t>85分为优秀；75</w:t>
      </w:r>
      <w:r>
        <w:rPr>
          <w:rFonts w:ascii="仿宋_GB2312" w:eastAsia="仿宋_GB2312"/>
          <w:sz w:val="32"/>
          <w:szCs w:val="32"/>
        </w:rPr>
        <w:t>≤</w:t>
      </w:r>
      <w:r>
        <w:rPr>
          <w:rFonts w:hint="eastAsia" w:ascii="仿宋_GB2312" w:eastAsia="仿宋_GB2312"/>
          <w:sz w:val="32"/>
          <w:szCs w:val="32"/>
        </w:rPr>
        <w:t>得分＜85分为良好；60</w:t>
      </w:r>
      <w:r>
        <w:rPr>
          <w:rFonts w:ascii="仿宋_GB2312" w:eastAsia="仿宋_GB2312"/>
          <w:sz w:val="32"/>
          <w:szCs w:val="32"/>
        </w:rPr>
        <w:t>≤</w:t>
      </w:r>
      <w:r>
        <w:rPr>
          <w:rFonts w:hint="eastAsia" w:ascii="仿宋_GB2312" w:eastAsia="仿宋_GB2312"/>
          <w:sz w:val="32"/>
          <w:szCs w:val="32"/>
        </w:rPr>
        <w:t>得分＜75分为一般；得分＜60分为较差。</w:t>
      </w:r>
    </w:p>
    <w:p w14:paraId="275C22AD"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我院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2024年整体支出绩效自评</w:t>
      </w:r>
      <w:r>
        <w:rPr>
          <w:rFonts w:ascii="仿宋_GB2312" w:eastAsia="仿宋_GB2312"/>
          <w:sz w:val="32"/>
          <w:szCs w:val="32"/>
        </w:rPr>
        <w:t>得分为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96</w:t>
      </w:r>
      <w:r>
        <w:rPr>
          <w:rFonts w:ascii="仿宋_GB2312" w:eastAsia="仿宋_GB2312"/>
          <w:sz w:val="32"/>
          <w:szCs w:val="32"/>
        </w:rPr>
        <w:t>分，</w:t>
      </w:r>
      <w:r>
        <w:rPr>
          <w:rFonts w:hint="eastAsia" w:ascii="仿宋" w:hAnsi="仿宋" w:eastAsia="仿宋" w:cs="仿宋"/>
          <w:sz w:val="32"/>
          <w:szCs w:val="32"/>
        </w:rPr>
        <w:t>综合绩效评价等级为优秀。</w:t>
      </w:r>
    </w:p>
    <w:p w14:paraId="752F81A6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655D989B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（一）项目存在的主要问题</w:t>
      </w:r>
    </w:p>
    <w:p w14:paraId="56AD59C9"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1.本年度学院专户资金紧张，专户资金需要保障学院正常运转、人员工资发放，还需支付专项债券利息，剩余专户资金不足以支付个别专户资金安排的项目，故造成个别专户项目无支出；</w:t>
      </w:r>
    </w:p>
    <w:p w14:paraId="4D7006B0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2.根据冀教财〔2016〕35号文件精神，建档立卡学生免费提供教科书按照同校、同年级统一使用教科书实际购买金额执行，而财政补助标准是教科书费250元/生/学期，所以实际支出经费与财政补助经费有偏差。</w:t>
      </w:r>
    </w:p>
    <w:p w14:paraId="06E5E518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3.招标组织程序长，偶发因素多，存在</w:t>
      </w:r>
      <w:r>
        <w:rPr>
          <w:rFonts w:hint="eastAsia" w:ascii="仿宋" w:hAnsi="仿宋" w:eastAsia="仿宋" w:cs="宋体"/>
          <w:kern w:val="0"/>
          <w:sz w:val="32"/>
          <w:szCs w:val="32"/>
        </w:rPr>
        <w:t>流标等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现象，个别项目预算执行进度受影响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。</w:t>
      </w:r>
    </w:p>
    <w:p w14:paraId="18180C49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default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4.个别采购项目因未达到验收标准，造成资金有剩余，结转下一年继续使用。</w:t>
      </w:r>
    </w:p>
    <w:p w14:paraId="403C98F1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ind w:firstLine="643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（二）针对问题提出具体的改进措施或建议</w:t>
      </w:r>
      <w:r>
        <w:rPr>
          <w:rFonts w:hint="eastAsia"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z w:val="32"/>
          <w:szCs w:val="32"/>
        </w:rPr>
        <w:t xml:space="preserve"> </w:t>
      </w:r>
    </w:p>
    <w:p w14:paraId="62315775"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1.</w:t>
      </w:r>
      <w:r>
        <w:rPr>
          <w:rFonts w:hint="default" w:ascii="仿宋" w:hAnsi="仿宋" w:eastAsia="仿宋"/>
          <w:sz w:val="32"/>
          <w:szCs w:val="32"/>
          <w:lang w:val="en-US" w:eastAsia="zh-CN"/>
        </w:rPr>
        <w:t>全面评估学院各项资金需求，优先保障学院正常运转和人员工资发放。结合项目轻重缓急，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合理调整</w:t>
      </w:r>
      <w:r>
        <w:rPr>
          <w:rFonts w:hint="default" w:ascii="仿宋" w:hAnsi="仿宋" w:eastAsia="仿宋"/>
          <w:sz w:val="32"/>
          <w:szCs w:val="32"/>
          <w:lang w:val="en-US" w:eastAsia="zh-CN"/>
        </w:rPr>
        <w:t>预算方案。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拓展资金来源渠道，加强</w:t>
      </w:r>
      <w:r>
        <w:rPr>
          <w:rFonts w:hint="default" w:ascii="仿宋" w:hAnsi="仿宋" w:eastAsia="仿宋"/>
          <w:sz w:val="32"/>
          <w:szCs w:val="32"/>
          <w:lang w:val="en-US" w:eastAsia="zh-CN"/>
        </w:rPr>
        <w:t>产学研合作、社会服务等活动，增加收入来源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。</w:t>
      </w:r>
      <w:r>
        <w:rPr>
          <w:rFonts w:hint="default" w:ascii="仿宋" w:hAnsi="仿宋" w:eastAsia="仿宋"/>
          <w:sz w:val="32"/>
          <w:szCs w:val="32"/>
          <w:lang w:val="en-US" w:eastAsia="zh-CN"/>
        </w:rPr>
        <w:t>此外，积极争取上级部门的资金支持，缓解专户资金压力。​</w:t>
      </w:r>
    </w:p>
    <w:p w14:paraId="5F9D955B"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Segoe UI" w:hAnsi="Segoe UI" w:eastAsia="宋体" w:cs="Segoe UI"/>
          <w:i w:val="0"/>
          <w:iCs w:val="0"/>
          <w:caps w:val="0"/>
          <w:spacing w:val="0"/>
          <w:sz w:val="24"/>
          <w:szCs w:val="24"/>
          <w:shd w:val="clear" w:fill="EFF0F1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/>
          <w:sz w:val="32"/>
          <w:szCs w:val="32"/>
        </w:rPr>
        <w:t>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项目资金应加大提前谋划力度，充分调研，做好项目规划和准备工作，加强项目的精细化管理，</w:t>
      </w:r>
      <w:r>
        <w:rPr>
          <w:rFonts w:hint="default" w:ascii="仿宋" w:hAnsi="仿宋" w:eastAsia="仿宋"/>
          <w:sz w:val="32"/>
          <w:szCs w:val="32"/>
          <w:lang w:val="en-US" w:eastAsia="zh-CN"/>
        </w:rPr>
        <w:t>针对流标等偶发因素，制定应急预案。在流标后，迅速分析原因，重新组织招标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，为资金保质保量、充分有效使用提供有力保障</w:t>
      </w:r>
      <w:r>
        <w:rPr>
          <w:rFonts w:hint="default" w:ascii="仿宋" w:hAnsi="仿宋" w:eastAsia="仿宋"/>
          <w:sz w:val="32"/>
          <w:szCs w:val="32"/>
          <w:lang w:val="en-US" w:eastAsia="zh-CN"/>
        </w:rPr>
        <w:t>。</w:t>
      </w:r>
    </w:p>
    <w:p w14:paraId="2FD65FBE"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3.修订和完善管理制度，加强过程管理，明确各部门在项目管理中的职责分工。加强部门间协同合作，保证项目顺利实施，提高项目管理效率。</w:t>
      </w:r>
    </w:p>
    <w:p w14:paraId="752FDAA7"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4.加强培训，</w:t>
      </w:r>
      <w:r>
        <w:rPr>
          <w:rFonts w:hint="eastAsia" w:ascii="仿宋" w:hAnsi="仿宋" w:eastAsia="仿宋"/>
          <w:sz w:val="32"/>
          <w:szCs w:val="32"/>
        </w:rPr>
        <w:t>提高业务水平和综合素质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增强绩效管理意识，提高资金使用效益，不断提升全院绩效管理水平</w:t>
      </w:r>
      <w:r>
        <w:rPr>
          <w:rFonts w:hint="eastAsia" w:ascii="仿宋" w:hAnsi="仿宋" w:eastAsia="仿宋"/>
          <w:sz w:val="32"/>
          <w:szCs w:val="32"/>
        </w:rPr>
        <w:t>。</w:t>
      </w:r>
    </w:p>
    <w:p w14:paraId="0DDF2D76"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0"/>
          <w:szCs w:val="30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我院通过开展预算项目绩效自评价工作，深刻认识到项目绩效评价工作的重要性、科学性和规范性。在今后工作中</w:t>
      </w:r>
      <w:r>
        <w:rPr>
          <w:rFonts w:hint="eastAsia" w:ascii="仿宋" w:hAnsi="仿宋" w:eastAsia="仿宋"/>
          <w:sz w:val="32"/>
          <w:szCs w:val="32"/>
          <w:lang w:eastAsia="zh-CN"/>
        </w:rPr>
        <w:t>，我们将加强与财政部门的紧密配合，开展好整体支出绩效管理工作，运用好绩效评价结果，不断提升预算管理水平。</w:t>
      </w:r>
    </w:p>
    <w:p w14:paraId="3CDD0B3E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ind w:firstLine="5120" w:firstLineChars="16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</w:p>
    <w:p w14:paraId="6CFA6B6B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ind w:firstLine="5120" w:firstLineChars="16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石家庄职业技术学院</w:t>
      </w:r>
    </w:p>
    <w:p w14:paraId="7425C468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ind w:firstLine="5440" w:firstLineChars="1700"/>
        <w:textAlignment w:val="auto"/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2025年3月26日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85851A0F-EDA2-41B2-8ABA-823FB31971C9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1346C435-B349-467C-AD8A-38A9463B8BB6}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3" w:fontKey="{597C3870-C9AF-4CA7-8C3D-EBA5B8B862B7}"/>
  </w:font>
  <w:font w:name="方正书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  <w:embedRegular r:id="rId4" w:fontKey="{B674A798-75C1-4A10-BCFC-773CF7D1E16C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5" w:fontKey="{CA311259-1410-4FE9-8F09-C7123E2C3860}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  <w:embedRegular r:id="rId6" w:fontKey="{CF0E8183-2372-4415-A991-0F66D4E77B63}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  <w:embedRegular r:id="rId7" w:fontKey="{2F071CAF-1858-49D0-A9EB-8D8CF6BF46AB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6110CE"/>
    <w:rsid w:val="00924969"/>
    <w:rsid w:val="013D6C91"/>
    <w:rsid w:val="01DF207E"/>
    <w:rsid w:val="01ED514B"/>
    <w:rsid w:val="022E6352"/>
    <w:rsid w:val="02B25A92"/>
    <w:rsid w:val="02B566E4"/>
    <w:rsid w:val="02E176A6"/>
    <w:rsid w:val="03265595"/>
    <w:rsid w:val="03886AC0"/>
    <w:rsid w:val="03A169A5"/>
    <w:rsid w:val="03FE194C"/>
    <w:rsid w:val="043D3D2C"/>
    <w:rsid w:val="04695A54"/>
    <w:rsid w:val="04BD18F3"/>
    <w:rsid w:val="050A67F4"/>
    <w:rsid w:val="05112566"/>
    <w:rsid w:val="056E0F0A"/>
    <w:rsid w:val="060B651B"/>
    <w:rsid w:val="068C2C12"/>
    <w:rsid w:val="06DD0ACF"/>
    <w:rsid w:val="0843005B"/>
    <w:rsid w:val="084F1B77"/>
    <w:rsid w:val="085823AF"/>
    <w:rsid w:val="08BA62A3"/>
    <w:rsid w:val="095526DB"/>
    <w:rsid w:val="09C4460E"/>
    <w:rsid w:val="0A642E54"/>
    <w:rsid w:val="0A65578A"/>
    <w:rsid w:val="0A8F222E"/>
    <w:rsid w:val="0AD90E35"/>
    <w:rsid w:val="0B4D32E9"/>
    <w:rsid w:val="0B8B573C"/>
    <w:rsid w:val="0C1A54B0"/>
    <w:rsid w:val="0C1D6F65"/>
    <w:rsid w:val="0D19328C"/>
    <w:rsid w:val="0D2A1C62"/>
    <w:rsid w:val="0DC65C81"/>
    <w:rsid w:val="0E01130C"/>
    <w:rsid w:val="0E421D04"/>
    <w:rsid w:val="0E9F2BD2"/>
    <w:rsid w:val="0EF22DCA"/>
    <w:rsid w:val="0F1468D2"/>
    <w:rsid w:val="0F2F08A6"/>
    <w:rsid w:val="0F6A741D"/>
    <w:rsid w:val="0F6B2585"/>
    <w:rsid w:val="0FC97621"/>
    <w:rsid w:val="10A16F69"/>
    <w:rsid w:val="10DB5141"/>
    <w:rsid w:val="119E70FB"/>
    <w:rsid w:val="122F453B"/>
    <w:rsid w:val="12482B79"/>
    <w:rsid w:val="12855F1F"/>
    <w:rsid w:val="12991B78"/>
    <w:rsid w:val="12B214DC"/>
    <w:rsid w:val="12B7674B"/>
    <w:rsid w:val="12ED467E"/>
    <w:rsid w:val="1328155A"/>
    <w:rsid w:val="134C57AD"/>
    <w:rsid w:val="137F780C"/>
    <w:rsid w:val="13B66D99"/>
    <w:rsid w:val="143675F1"/>
    <w:rsid w:val="144D6E7D"/>
    <w:rsid w:val="145E4234"/>
    <w:rsid w:val="146D4FD5"/>
    <w:rsid w:val="14B7534B"/>
    <w:rsid w:val="14BA2B64"/>
    <w:rsid w:val="151D1E4B"/>
    <w:rsid w:val="1541644A"/>
    <w:rsid w:val="16495FC9"/>
    <w:rsid w:val="165C431C"/>
    <w:rsid w:val="17451417"/>
    <w:rsid w:val="18833833"/>
    <w:rsid w:val="18920869"/>
    <w:rsid w:val="18B356B0"/>
    <w:rsid w:val="18DE19C4"/>
    <w:rsid w:val="18FF5975"/>
    <w:rsid w:val="19383A11"/>
    <w:rsid w:val="19735C3C"/>
    <w:rsid w:val="19776EEB"/>
    <w:rsid w:val="19C9564D"/>
    <w:rsid w:val="1A507E63"/>
    <w:rsid w:val="1A511962"/>
    <w:rsid w:val="1AB62F55"/>
    <w:rsid w:val="1B0D09A6"/>
    <w:rsid w:val="1BA3303C"/>
    <w:rsid w:val="1C063174"/>
    <w:rsid w:val="1C3332D6"/>
    <w:rsid w:val="1C3E6A0B"/>
    <w:rsid w:val="1C710857"/>
    <w:rsid w:val="1C79553D"/>
    <w:rsid w:val="1CEC25F4"/>
    <w:rsid w:val="1D336F42"/>
    <w:rsid w:val="1D875BD9"/>
    <w:rsid w:val="1DCD17FD"/>
    <w:rsid w:val="1E054FFF"/>
    <w:rsid w:val="1E354DE4"/>
    <w:rsid w:val="1F2B43EE"/>
    <w:rsid w:val="1F343B8E"/>
    <w:rsid w:val="203A04A3"/>
    <w:rsid w:val="20962646"/>
    <w:rsid w:val="20D858EE"/>
    <w:rsid w:val="20D92874"/>
    <w:rsid w:val="210D594A"/>
    <w:rsid w:val="2134742E"/>
    <w:rsid w:val="21D70B30"/>
    <w:rsid w:val="22861195"/>
    <w:rsid w:val="230C2359"/>
    <w:rsid w:val="231A5A76"/>
    <w:rsid w:val="23ED5495"/>
    <w:rsid w:val="24240652"/>
    <w:rsid w:val="249B6AA4"/>
    <w:rsid w:val="24B4178D"/>
    <w:rsid w:val="24BB42E3"/>
    <w:rsid w:val="2580027E"/>
    <w:rsid w:val="259543F4"/>
    <w:rsid w:val="25B57D8E"/>
    <w:rsid w:val="25C14D1B"/>
    <w:rsid w:val="263E252A"/>
    <w:rsid w:val="266162E2"/>
    <w:rsid w:val="27745ACE"/>
    <w:rsid w:val="27F027C1"/>
    <w:rsid w:val="28FD484F"/>
    <w:rsid w:val="290B1A13"/>
    <w:rsid w:val="293A065F"/>
    <w:rsid w:val="29764562"/>
    <w:rsid w:val="2AA82BAB"/>
    <w:rsid w:val="2B1A4B1B"/>
    <w:rsid w:val="2B6B5398"/>
    <w:rsid w:val="2B755B55"/>
    <w:rsid w:val="2BD70506"/>
    <w:rsid w:val="2C394C2A"/>
    <w:rsid w:val="2C7C0BB1"/>
    <w:rsid w:val="2C87046D"/>
    <w:rsid w:val="2CAD6154"/>
    <w:rsid w:val="2CB559DF"/>
    <w:rsid w:val="2D002AD8"/>
    <w:rsid w:val="2E326295"/>
    <w:rsid w:val="2E821C6F"/>
    <w:rsid w:val="2EC46FAF"/>
    <w:rsid w:val="2F164E62"/>
    <w:rsid w:val="31193B47"/>
    <w:rsid w:val="318D1546"/>
    <w:rsid w:val="32717C15"/>
    <w:rsid w:val="328457E4"/>
    <w:rsid w:val="329470ED"/>
    <w:rsid w:val="33355BD7"/>
    <w:rsid w:val="334268E1"/>
    <w:rsid w:val="338D05D3"/>
    <w:rsid w:val="33992EE1"/>
    <w:rsid w:val="33E66437"/>
    <w:rsid w:val="342B1C46"/>
    <w:rsid w:val="345D3322"/>
    <w:rsid w:val="34642F47"/>
    <w:rsid w:val="34EC640A"/>
    <w:rsid w:val="354A43FD"/>
    <w:rsid w:val="35676752"/>
    <w:rsid w:val="362871D5"/>
    <w:rsid w:val="364847D1"/>
    <w:rsid w:val="3690231F"/>
    <w:rsid w:val="36CA5912"/>
    <w:rsid w:val="36FA0481"/>
    <w:rsid w:val="373A0156"/>
    <w:rsid w:val="37972BF7"/>
    <w:rsid w:val="37A861E0"/>
    <w:rsid w:val="38676024"/>
    <w:rsid w:val="38A15C3F"/>
    <w:rsid w:val="391F0892"/>
    <w:rsid w:val="395E0BF9"/>
    <w:rsid w:val="398956EF"/>
    <w:rsid w:val="3A0C5FCB"/>
    <w:rsid w:val="3A8C47A9"/>
    <w:rsid w:val="3AE919F8"/>
    <w:rsid w:val="3B3D2944"/>
    <w:rsid w:val="3BC85AAE"/>
    <w:rsid w:val="3BD52DE9"/>
    <w:rsid w:val="3BF05B15"/>
    <w:rsid w:val="3C5E3DA1"/>
    <w:rsid w:val="3C685327"/>
    <w:rsid w:val="3C88442B"/>
    <w:rsid w:val="3D3366D9"/>
    <w:rsid w:val="3D61593B"/>
    <w:rsid w:val="3DE60D0D"/>
    <w:rsid w:val="3DEF72A9"/>
    <w:rsid w:val="3E76410D"/>
    <w:rsid w:val="3F596E5A"/>
    <w:rsid w:val="3FB22DA7"/>
    <w:rsid w:val="40037C52"/>
    <w:rsid w:val="413C576B"/>
    <w:rsid w:val="41CD0831"/>
    <w:rsid w:val="41E11F32"/>
    <w:rsid w:val="422B1F35"/>
    <w:rsid w:val="430169EC"/>
    <w:rsid w:val="43527B9C"/>
    <w:rsid w:val="435F4B8B"/>
    <w:rsid w:val="43AE1E95"/>
    <w:rsid w:val="43F43EF2"/>
    <w:rsid w:val="44B3758A"/>
    <w:rsid w:val="44EB4908"/>
    <w:rsid w:val="4508535D"/>
    <w:rsid w:val="459E23B2"/>
    <w:rsid w:val="46BC0730"/>
    <w:rsid w:val="46E634F3"/>
    <w:rsid w:val="491357EC"/>
    <w:rsid w:val="49384316"/>
    <w:rsid w:val="49753831"/>
    <w:rsid w:val="4984581E"/>
    <w:rsid w:val="498E7188"/>
    <w:rsid w:val="49916195"/>
    <w:rsid w:val="4AAB4F86"/>
    <w:rsid w:val="4B3E0902"/>
    <w:rsid w:val="4BA93006"/>
    <w:rsid w:val="4BB67402"/>
    <w:rsid w:val="4C001E9A"/>
    <w:rsid w:val="4C6633A8"/>
    <w:rsid w:val="4C715CFB"/>
    <w:rsid w:val="4CD64583"/>
    <w:rsid w:val="4D160512"/>
    <w:rsid w:val="4D580B78"/>
    <w:rsid w:val="4DEB320D"/>
    <w:rsid w:val="4DEB74DC"/>
    <w:rsid w:val="4DF5160A"/>
    <w:rsid w:val="4E8C017B"/>
    <w:rsid w:val="4EFC6208"/>
    <w:rsid w:val="4F230A52"/>
    <w:rsid w:val="4F3D69DF"/>
    <w:rsid w:val="4F45114D"/>
    <w:rsid w:val="504E24A8"/>
    <w:rsid w:val="507F23A2"/>
    <w:rsid w:val="50C34405"/>
    <w:rsid w:val="51437033"/>
    <w:rsid w:val="51691226"/>
    <w:rsid w:val="51EE7A96"/>
    <w:rsid w:val="521F2837"/>
    <w:rsid w:val="52D33A67"/>
    <w:rsid w:val="52F42212"/>
    <w:rsid w:val="53335BC7"/>
    <w:rsid w:val="53C3297F"/>
    <w:rsid w:val="540B116C"/>
    <w:rsid w:val="540C5E54"/>
    <w:rsid w:val="5425723E"/>
    <w:rsid w:val="54AC34C0"/>
    <w:rsid w:val="55151719"/>
    <w:rsid w:val="554C6FF3"/>
    <w:rsid w:val="55D62CE7"/>
    <w:rsid w:val="560814A1"/>
    <w:rsid w:val="5669042E"/>
    <w:rsid w:val="568D4830"/>
    <w:rsid w:val="5857651F"/>
    <w:rsid w:val="58583683"/>
    <w:rsid w:val="5895505D"/>
    <w:rsid w:val="58C96309"/>
    <w:rsid w:val="5914498B"/>
    <w:rsid w:val="5993429A"/>
    <w:rsid w:val="59F27B50"/>
    <w:rsid w:val="5A2B2362"/>
    <w:rsid w:val="5A2E5F48"/>
    <w:rsid w:val="5A8341B9"/>
    <w:rsid w:val="5ADC1E80"/>
    <w:rsid w:val="5AE42A9B"/>
    <w:rsid w:val="5B5C66D6"/>
    <w:rsid w:val="5BCC528A"/>
    <w:rsid w:val="5BE21F67"/>
    <w:rsid w:val="5BE6757A"/>
    <w:rsid w:val="5C31557E"/>
    <w:rsid w:val="5C3A00B1"/>
    <w:rsid w:val="5C763084"/>
    <w:rsid w:val="5C913C44"/>
    <w:rsid w:val="5D1E66EC"/>
    <w:rsid w:val="5D4E3CDC"/>
    <w:rsid w:val="5E027625"/>
    <w:rsid w:val="5E8D27FE"/>
    <w:rsid w:val="5EF54C72"/>
    <w:rsid w:val="5F0B72C0"/>
    <w:rsid w:val="5F983D12"/>
    <w:rsid w:val="5FF55C73"/>
    <w:rsid w:val="601A43EF"/>
    <w:rsid w:val="611842C2"/>
    <w:rsid w:val="62111544"/>
    <w:rsid w:val="62480EC0"/>
    <w:rsid w:val="62947054"/>
    <w:rsid w:val="62B33667"/>
    <w:rsid w:val="6341190E"/>
    <w:rsid w:val="63433E8C"/>
    <w:rsid w:val="64556F5E"/>
    <w:rsid w:val="64837ACB"/>
    <w:rsid w:val="655A3716"/>
    <w:rsid w:val="65651C47"/>
    <w:rsid w:val="660E0324"/>
    <w:rsid w:val="66113474"/>
    <w:rsid w:val="66831F5B"/>
    <w:rsid w:val="66ED01CC"/>
    <w:rsid w:val="66F11C4C"/>
    <w:rsid w:val="677D303D"/>
    <w:rsid w:val="67D85133"/>
    <w:rsid w:val="67DC0204"/>
    <w:rsid w:val="682446D6"/>
    <w:rsid w:val="687418A4"/>
    <w:rsid w:val="68C321C9"/>
    <w:rsid w:val="695B431F"/>
    <w:rsid w:val="69C21EF7"/>
    <w:rsid w:val="6A3D7354"/>
    <w:rsid w:val="6A4632D8"/>
    <w:rsid w:val="6A9B780A"/>
    <w:rsid w:val="6AF8793F"/>
    <w:rsid w:val="6B7A3C5E"/>
    <w:rsid w:val="6BC62371"/>
    <w:rsid w:val="6BDB1722"/>
    <w:rsid w:val="6BF46260"/>
    <w:rsid w:val="6C0E0C9F"/>
    <w:rsid w:val="6C1525FA"/>
    <w:rsid w:val="6C477F9A"/>
    <w:rsid w:val="6CC10AD1"/>
    <w:rsid w:val="6CE36AB7"/>
    <w:rsid w:val="6DAE3664"/>
    <w:rsid w:val="6E103A86"/>
    <w:rsid w:val="6E1050A6"/>
    <w:rsid w:val="6F0B0CC6"/>
    <w:rsid w:val="6F12563D"/>
    <w:rsid w:val="6F337362"/>
    <w:rsid w:val="6F3D7F95"/>
    <w:rsid w:val="6F6A73F2"/>
    <w:rsid w:val="6F821D53"/>
    <w:rsid w:val="6FAA01F4"/>
    <w:rsid w:val="6FD91669"/>
    <w:rsid w:val="70836CE3"/>
    <w:rsid w:val="709A605A"/>
    <w:rsid w:val="715560E2"/>
    <w:rsid w:val="71D462F8"/>
    <w:rsid w:val="724B228F"/>
    <w:rsid w:val="72C8648B"/>
    <w:rsid w:val="72CF15E0"/>
    <w:rsid w:val="72E91436"/>
    <w:rsid w:val="730272BA"/>
    <w:rsid w:val="74157883"/>
    <w:rsid w:val="74B8469D"/>
    <w:rsid w:val="74CE3EBB"/>
    <w:rsid w:val="74F227BC"/>
    <w:rsid w:val="753361E1"/>
    <w:rsid w:val="757A54F6"/>
    <w:rsid w:val="76177E16"/>
    <w:rsid w:val="76EF07CB"/>
    <w:rsid w:val="775F670A"/>
    <w:rsid w:val="778B35DA"/>
    <w:rsid w:val="787367B1"/>
    <w:rsid w:val="793C58A9"/>
    <w:rsid w:val="79470569"/>
    <w:rsid w:val="79702823"/>
    <w:rsid w:val="79B63A17"/>
    <w:rsid w:val="7A075B47"/>
    <w:rsid w:val="7A420F32"/>
    <w:rsid w:val="7A4A0744"/>
    <w:rsid w:val="7AEE4A62"/>
    <w:rsid w:val="7B493491"/>
    <w:rsid w:val="7BE82CD1"/>
    <w:rsid w:val="7C0E6296"/>
    <w:rsid w:val="7D0D692E"/>
    <w:rsid w:val="7D274CB8"/>
    <w:rsid w:val="7D794BBC"/>
    <w:rsid w:val="7D916C33"/>
    <w:rsid w:val="7E643F26"/>
    <w:rsid w:val="7EB34CBD"/>
    <w:rsid w:val="7F4011ED"/>
    <w:rsid w:val="7F7916A7"/>
    <w:rsid w:val="7FF758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FollowedHyperlink"/>
    <w:basedOn w:val="4"/>
    <w:qFormat/>
    <w:uiPriority w:val="0"/>
    <w:rPr>
      <w:color w:val="333333"/>
      <w:sz w:val="21"/>
      <w:szCs w:val="21"/>
      <w:u w:val="none"/>
    </w:rPr>
  </w:style>
  <w:style w:type="character" w:styleId="6">
    <w:name w:val="Hyperlink"/>
    <w:basedOn w:val="4"/>
    <w:qFormat/>
    <w:uiPriority w:val="0"/>
    <w:rPr>
      <w:color w:val="333333"/>
      <w:sz w:val="21"/>
      <w:szCs w:val="21"/>
      <w:u w:val="none"/>
    </w:rPr>
  </w:style>
  <w:style w:type="paragraph" w:customStyle="1" w:styleId="7">
    <w:name w:val="插入文本样式-插入部门职责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8">
    <w:name w:val="单元格样式1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9">
    <w:name w:val="单元格样式2"/>
    <w:basedOn w:val="1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0">
    <w:name w:val="单元格样式3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1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3135</Words>
  <Characters>3374</Characters>
  <Lines>0</Lines>
  <Paragraphs>0</Paragraphs>
  <TotalTime>35</TotalTime>
  <ScaleCrop>false</ScaleCrop>
  <LinksUpToDate>false</LinksUpToDate>
  <CharactersWithSpaces>3384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2022-03-26T09:05:00Z</dcterms:created>
  <dc:creator>Administrator</dc:creator>
  <cp:lastModifiedBy>13323011735</cp:lastModifiedBy>
  <cp:lastPrinted>2024-04-18T03:27:00Z</cp:lastPrinted>
  <dcterms:modified xsi:type="dcterms:W3CDTF">2025-04-28T07:54:40Z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82E11A9E20B24536AF6A6A263DB489EE</vt:lpwstr>
  </property>
  <property fmtid="{D5CDD505-2E9C-101B-9397-08002B2CF9AE}" pid="4" name="KSOTemplateDocerSaveRecord">
    <vt:lpwstr>eyJoZGlkIjoiZTNhMzhmNjU3NDU2YjNiYWExNDJlM2Y4YTNjMzYyNWIiLCJ1c2VySWQiOiIxNTUwMjQwMDk2In0=</vt:lpwstr>
  </property>
</Properties>
</file>