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BAF6AF">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4D2B0334">
      <w:pPr>
        <w:spacing w:line="560" w:lineRule="exact"/>
        <w:jc w:val="center"/>
        <w:rPr>
          <w:rFonts w:ascii="宋体" w:hAnsi="宋体" w:cs="宋体"/>
          <w:b/>
          <w:bCs/>
          <w:sz w:val="44"/>
          <w:szCs w:val="44"/>
        </w:rPr>
      </w:pPr>
    </w:p>
    <w:p w14:paraId="2C31EA67">
      <w:pPr>
        <w:spacing w:line="560" w:lineRule="exact"/>
        <w:jc w:val="center"/>
        <w:rPr>
          <w:rFonts w:ascii="宋体" w:hAnsi="宋体" w:cs="宋体"/>
          <w:b/>
          <w:bCs/>
          <w:sz w:val="44"/>
          <w:szCs w:val="44"/>
        </w:rPr>
      </w:pPr>
      <w:r>
        <w:rPr>
          <w:rFonts w:hint="eastAsia" w:ascii="宋体" w:hAnsi="宋体" w:cs="宋体"/>
          <w:b/>
          <w:bCs/>
          <w:sz w:val="44"/>
          <w:szCs w:val="44"/>
        </w:rPr>
        <w:t>河北正定师范高等专科学校</w:t>
      </w:r>
    </w:p>
    <w:p w14:paraId="4E0A188B">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5EF65348">
      <w:pPr>
        <w:spacing w:line="560" w:lineRule="exact"/>
        <w:jc w:val="center"/>
        <w:rPr>
          <w:rFonts w:ascii="华文楷体" w:eastAsia="华文楷体"/>
          <w:sz w:val="32"/>
          <w:szCs w:val="32"/>
        </w:rPr>
      </w:pPr>
    </w:p>
    <w:p w14:paraId="3C34877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贯彻落实市委市政府《关于全面落实预算绩效管理的实施意见》（石发﹝2019﹞8号）文件精神，遵循“科学性、规范性、客观性和公正性”的原则，对河北正定师范高等专科学校202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71B6896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A117AC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296471">
      <w:pPr>
        <w:keepNext w:val="0"/>
        <w:keepLines w:val="0"/>
        <w:pageBreakBefore w:val="0"/>
        <w:widowControl w:val="0"/>
        <w:kinsoku/>
        <w:wordWrap/>
        <w:overflowPunct/>
        <w:topLinePunct w:val="0"/>
        <w:autoSpaceDE/>
        <w:autoSpaceDN/>
        <w:bidi w:val="0"/>
        <w:adjustRightInd w:val="0"/>
        <w:snapToGrid w:val="0"/>
        <w:spacing w:before="313" w:beforeLines="100" w:line="360" w:lineRule="auto"/>
        <w:ind w:firstLine="643" w:firstLineChars="200"/>
        <w:textAlignment w:val="auto"/>
        <w:rPr>
          <w:rFonts w:ascii="仿宋_GB2312" w:eastAsia="仿宋_GB2312"/>
          <w:b/>
          <w:bCs/>
          <w:sz w:val="32"/>
          <w:szCs w:val="32"/>
        </w:rPr>
      </w:pPr>
      <w:r>
        <w:rPr>
          <w:rFonts w:hint="eastAsia" w:ascii="仿宋_GB2312" w:eastAsia="仿宋_GB2312"/>
          <w:b/>
          <w:bCs/>
          <w:sz w:val="32"/>
          <w:szCs w:val="32"/>
        </w:rPr>
        <w:t>1、部门职责</w:t>
      </w:r>
    </w:p>
    <w:p w14:paraId="78A994DB">
      <w:pPr>
        <w:keepNext w:val="0"/>
        <w:keepLines w:val="0"/>
        <w:pageBreakBefore w:val="0"/>
        <w:widowControl w:val="0"/>
        <w:kinsoku/>
        <w:wordWrap/>
        <w:overflowPunct/>
        <w:topLinePunct w:val="0"/>
        <w:autoSpaceDE/>
        <w:autoSpaceDN/>
        <w:bidi w:val="0"/>
        <w:adjustRightInd w:val="0"/>
        <w:snapToGrid w:val="0"/>
        <w:spacing w:after="157" w:afterLines="50" w:line="560" w:lineRule="exact"/>
        <w:ind w:firstLine="640" w:firstLineChars="200"/>
        <w:textAlignment w:val="auto"/>
        <w:rPr>
          <w:rFonts w:ascii="仿宋" w:hAnsi="仿宋" w:eastAsia="仿宋"/>
          <w:sz w:val="32"/>
          <w:szCs w:val="32"/>
        </w:rPr>
      </w:pPr>
      <w:r>
        <w:rPr>
          <w:rFonts w:ascii="仿宋" w:hAnsi="仿宋" w:eastAsia="仿宋"/>
          <w:sz w:val="32"/>
          <w:szCs w:val="32"/>
        </w:rPr>
        <w:t>河北正定师范高等专科学校是经教育部批准，石家庄市政府主办的一所全日制国办普通高等职业院校，面向全国招生，主要实施专科层次的高等职业技术教育，培养专业技术人才。</w:t>
      </w:r>
    </w:p>
    <w:tbl>
      <w:tblPr>
        <w:tblStyle w:val="4"/>
        <w:tblpPr w:leftFromText="180" w:rightFromText="180" w:vertAnchor="text" w:horzAnchor="page" w:tblpX="1651" w:tblpY="622"/>
        <w:tblOverlap w:val="never"/>
        <w:tblW w:w="941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3"/>
        <w:gridCol w:w="1241"/>
        <w:gridCol w:w="1028"/>
        <w:gridCol w:w="1306"/>
        <w:gridCol w:w="713"/>
        <w:gridCol w:w="337"/>
        <w:gridCol w:w="725"/>
        <w:gridCol w:w="345"/>
        <w:gridCol w:w="642"/>
        <w:gridCol w:w="350"/>
        <w:gridCol w:w="563"/>
        <w:gridCol w:w="326"/>
      </w:tblGrid>
      <w:tr w14:paraId="07CF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3" w:hRule="atLeast"/>
          <w:tblHeader/>
        </w:trPr>
        <w:tc>
          <w:tcPr>
            <w:tcW w:w="6468" w:type="dxa"/>
            <w:gridSpan w:val="6"/>
            <w:tcBorders>
              <w:top w:val="single" w:color="FFFFFF" w:sz="6" w:space="0"/>
              <w:left w:val="single" w:color="FFFFFF" w:sz="6" w:space="0"/>
              <w:right w:val="single" w:color="FFFFFF" w:sz="6" w:space="0"/>
            </w:tcBorders>
            <w:vAlign w:val="center"/>
          </w:tcPr>
          <w:p w14:paraId="709CEF7B">
            <w:pPr>
              <w:spacing w:line="300" w:lineRule="exact"/>
              <w:jc w:val="left"/>
              <w:rPr>
                <w:rFonts w:ascii="方正小标宋_GBK" w:eastAsia="方正小标宋_GBK"/>
                <w:sz w:val="24"/>
              </w:rPr>
            </w:pPr>
          </w:p>
        </w:tc>
        <w:tc>
          <w:tcPr>
            <w:tcW w:w="2951" w:type="dxa"/>
            <w:gridSpan w:val="6"/>
            <w:tcBorders>
              <w:top w:val="single" w:color="FFFFFF" w:sz="6" w:space="0"/>
              <w:left w:val="single" w:color="FFFFFF" w:sz="6" w:space="0"/>
              <w:right w:val="single" w:color="FFFFFF" w:sz="6" w:space="0"/>
            </w:tcBorders>
            <w:vAlign w:val="center"/>
          </w:tcPr>
          <w:p w14:paraId="3CA6486E">
            <w:pPr>
              <w:spacing w:line="300" w:lineRule="exact"/>
              <w:jc w:val="right"/>
              <w:rPr>
                <w:rFonts w:ascii="方正书宋_GBK" w:eastAsia="方正书宋_GBK"/>
                <w:sz w:val="24"/>
              </w:rPr>
            </w:pPr>
            <w:r>
              <w:rPr>
                <w:rFonts w:hint="eastAsia" w:ascii="方正书宋_GBK" w:eastAsia="方正书宋_GBK"/>
                <w:sz w:val="24"/>
              </w:rPr>
              <w:t>单位：人（辆）</w:t>
            </w:r>
          </w:p>
        </w:tc>
      </w:tr>
      <w:tr w14:paraId="7EFC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3" w:hRule="atLeast"/>
          <w:tblHeader/>
        </w:trPr>
        <w:tc>
          <w:tcPr>
            <w:tcW w:w="1843" w:type="dxa"/>
            <w:vMerge w:val="restart"/>
            <w:vAlign w:val="center"/>
          </w:tcPr>
          <w:p w14:paraId="4112413C">
            <w:pPr>
              <w:spacing w:line="300" w:lineRule="exact"/>
              <w:jc w:val="center"/>
              <w:rPr>
                <w:rFonts w:ascii="方正书宋_GBK" w:eastAsia="方正书宋_GBK"/>
                <w:b/>
              </w:rPr>
            </w:pPr>
            <w:r>
              <w:rPr>
                <w:rFonts w:hint="eastAsia" w:ascii="方正书宋_GBK" w:eastAsia="方正书宋_GBK"/>
                <w:b/>
              </w:rPr>
              <w:t>单位名称</w:t>
            </w:r>
          </w:p>
        </w:tc>
        <w:tc>
          <w:tcPr>
            <w:tcW w:w="1241" w:type="dxa"/>
            <w:vMerge w:val="restart"/>
            <w:vAlign w:val="center"/>
          </w:tcPr>
          <w:p w14:paraId="0A75F526">
            <w:pPr>
              <w:spacing w:line="300" w:lineRule="exact"/>
              <w:jc w:val="center"/>
              <w:rPr>
                <w:rFonts w:ascii="方正书宋_GBK" w:eastAsia="方正书宋_GBK"/>
                <w:b/>
              </w:rPr>
            </w:pPr>
            <w:r>
              <w:rPr>
                <w:rFonts w:hint="eastAsia" w:ascii="方正书宋_GBK" w:eastAsia="方正书宋_GBK"/>
                <w:b/>
              </w:rPr>
              <w:t>单位性质</w:t>
            </w:r>
          </w:p>
        </w:tc>
        <w:tc>
          <w:tcPr>
            <w:tcW w:w="1028" w:type="dxa"/>
            <w:vMerge w:val="restart"/>
            <w:vAlign w:val="center"/>
          </w:tcPr>
          <w:p w14:paraId="483D6C0A">
            <w:pPr>
              <w:spacing w:line="300" w:lineRule="exact"/>
              <w:jc w:val="center"/>
              <w:rPr>
                <w:rFonts w:ascii="方正书宋_GBK" w:eastAsia="方正书宋_GBK"/>
                <w:b/>
              </w:rPr>
            </w:pPr>
            <w:r>
              <w:rPr>
                <w:rFonts w:hint="eastAsia" w:ascii="方正书宋_GBK" w:eastAsia="方正书宋_GBK"/>
                <w:b/>
              </w:rPr>
              <w:t>单位规格</w:t>
            </w:r>
          </w:p>
        </w:tc>
        <w:tc>
          <w:tcPr>
            <w:tcW w:w="1306" w:type="dxa"/>
            <w:vMerge w:val="restart"/>
            <w:vAlign w:val="center"/>
          </w:tcPr>
          <w:p w14:paraId="3D683925">
            <w:pPr>
              <w:spacing w:line="300" w:lineRule="exact"/>
              <w:jc w:val="center"/>
              <w:rPr>
                <w:rFonts w:ascii="方正书宋_GBK" w:eastAsia="方正书宋_GBK"/>
                <w:b/>
              </w:rPr>
            </w:pPr>
            <w:r>
              <w:rPr>
                <w:rFonts w:hint="eastAsia" w:ascii="方正书宋_GBK" w:eastAsia="方正书宋_GBK"/>
                <w:b/>
              </w:rPr>
              <w:t>经费保障形式</w:t>
            </w:r>
          </w:p>
        </w:tc>
        <w:tc>
          <w:tcPr>
            <w:tcW w:w="713" w:type="dxa"/>
            <w:vMerge w:val="restart"/>
            <w:vAlign w:val="center"/>
          </w:tcPr>
          <w:p w14:paraId="1F5580CD">
            <w:pPr>
              <w:spacing w:line="300" w:lineRule="exact"/>
              <w:jc w:val="center"/>
              <w:rPr>
                <w:rFonts w:ascii="方正书宋_GBK" w:eastAsia="方正书宋_GBK"/>
                <w:b/>
              </w:rPr>
            </w:pPr>
            <w:r>
              <w:rPr>
                <w:rFonts w:hint="eastAsia" w:ascii="方正书宋_GBK" w:eastAsia="方正书宋_GBK"/>
                <w:b/>
              </w:rPr>
              <w:t>车辆实有数</w:t>
            </w:r>
          </w:p>
        </w:tc>
        <w:tc>
          <w:tcPr>
            <w:tcW w:w="1062" w:type="dxa"/>
            <w:gridSpan w:val="2"/>
            <w:vAlign w:val="center"/>
          </w:tcPr>
          <w:p w14:paraId="1D5000BF">
            <w:pPr>
              <w:spacing w:line="300" w:lineRule="exact"/>
              <w:jc w:val="center"/>
              <w:rPr>
                <w:rFonts w:ascii="方正书宋_GBK" w:eastAsia="方正书宋_GBK"/>
                <w:b/>
              </w:rPr>
            </w:pPr>
            <w:r>
              <w:rPr>
                <w:rFonts w:hint="eastAsia" w:ascii="方正书宋_GBK" w:eastAsia="方正书宋_GBK"/>
                <w:b/>
              </w:rPr>
              <w:t>编制人数</w:t>
            </w:r>
          </w:p>
        </w:tc>
        <w:tc>
          <w:tcPr>
            <w:tcW w:w="987" w:type="dxa"/>
            <w:gridSpan w:val="2"/>
            <w:vAlign w:val="center"/>
          </w:tcPr>
          <w:p w14:paraId="31FDA70F">
            <w:pPr>
              <w:spacing w:line="300" w:lineRule="exact"/>
              <w:jc w:val="center"/>
              <w:rPr>
                <w:rFonts w:ascii="方正书宋_GBK" w:eastAsia="方正书宋_GBK"/>
                <w:b/>
              </w:rPr>
            </w:pPr>
            <w:r>
              <w:rPr>
                <w:rFonts w:hint="eastAsia" w:ascii="方正书宋_GBK" w:eastAsia="方正书宋_GBK"/>
                <w:b/>
              </w:rPr>
              <w:t>在职人数</w:t>
            </w:r>
          </w:p>
        </w:tc>
        <w:tc>
          <w:tcPr>
            <w:tcW w:w="1239" w:type="dxa"/>
            <w:gridSpan w:val="3"/>
            <w:vAlign w:val="center"/>
          </w:tcPr>
          <w:p w14:paraId="654446AA">
            <w:pPr>
              <w:spacing w:line="300" w:lineRule="exact"/>
              <w:jc w:val="center"/>
              <w:rPr>
                <w:rFonts w:ascii="方正书宋_GBK" w:eastAsia="方正书宋_GBK"/>
                <w:b/>
              </w:rPr>
            </w:pPr>
            <w:r>
              <w:rPr>
                <w:rFonts w:hint="eastAsia" w:ascii="方正书宋_GBK" w:eastAsia="方正书宋_GBK"/>
                <w:b/>
              </w:rPr>
              <w:t>离退人数</w:t>
            </w:r>
          </w:p>
        </w:tc>
      </w:tr>
      <w:tr w14:paraId="2E07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1" w:hRule="atLeast"/>
          <w:tblHeader/>
        </w:trPr>
        <w:tc>
          <w:tcPr>
            <w:tcW w:w="1843" w:type="dxa"/>
            <w:vMerge w:val="continue"/>
            <w:vAlign w:val="center"/>
          </w:tcPr>
          <w:p w14:paraId="7A86E2BD">
            <w:pPr>
              <w:spacing w:line="300" w:lineRule="exact"/>
              <w:jc w:val="left"/>
              <w:outlineLvl w:val="1"/>
              <w:rPr>
                <w:rFonts w:eastAsia="方正仿宋_GBK"/>
                <w:sz w:val="28"/>
              </w:rPr>
            </w:pPr>
          </w:p>
        </w:tc>
        <w:tc>
          <w:tcPr>
            <w:tcW w:w="1241" w:type="dxa"/>
            <w:vMerge w:val="continue"/>
            <w:vAlign w:val="center"/>
          </w:tcPr>
          <w:p w14:paraId="09141607">
            <w:pPr>
              <w:spacing w:line="300" w:lineRule="exact"/>
              <w:jc w:val="left"/>
              <w:outlineLvl w:val="1"/>
              <w:rPr>
                <w:rFonts w:eastAsia="方正仿宋_GBK"/>
                <w:sz w:val="28"/>
              </w:rPr>
            </w:pPr>
          </w:p>
        </w:tc>
        <w:tc>
          <w:tcPr>
            <w:tcW w:w="1028" w:type="dxa"/>
            <w:vMerge w:val="continue"/>
            <w:vAlign w:val="center"/>
          </w:tcPr>
          <w:p w14:paraId="23745803">
            <w:pPr>
              <w:spacing w:line="300" w:lineRule="exact"/>
              <w:jc w:val="left"/>
              <w:outlineLvl w:val="1"/>
              <w:rPr>
                <w:rFonts w:eastAsia="方正仿宋_GBK"/>
                <w:sz w:val="28"/>
              </w:rPr>
            </w:pPr>
          </w:p>
        </w:tc>
        <w:tc>
          <w:tcPr>
            <w:tcW w:w="1306" w:type="dxa"/>
            <w:vMerge w:val="continue"/>
            <w:vAlign w:val="center"/>
          </w:tcPr>
          <w:p w14:paraId="5F662868">
            <w:pPr>
              <w:spacing w:line="300" w:lineRule="exact"/>
              <w:jc w:val="left"/>
              <w:outlineLvl w:val="1"/>
              <w:rPr>
                <w:rFonts w:eastAsia="方正仿宋_GBK"/>
                <w:sz w:val="28"/>
              </w:rPr>
            </w:pPr>
          </w:p>
        </w:tc>
        <w:tc>
          <w:tcPr>
            <w:tcW w:w="713" w:type="dxa"/>
            <w:vMerge w:val="continue"/>
            <w:vAlign w:val="center"/>
          </w:tcPr>
          <w:p w14:paraId="63842D04">
            <w:pPr>
              <w:spacing w:line="300" w:lineRule="exact"/>
              <w:jc w:val="left"/>
              <w:outlineLvl w:val="1"/>
              <w:rPr>
                <w:rFonts w:eastAsia="方正仿宋_GBK"/>
                <w:sz w:val="28"/>
              </w:rPr>
            </w:pPr>
          </w:p>
        </w:tc>
        <w:tc>
          <w:tcPr>
            <w:tcW w:w="337" w:type="dxa"/>
            <w:vAlign w:val="center"/>
          </w:tcPr>
          <w:p w14:paraId="71F2EEB3">
            <w:pPr>
              <w:spacing w:line="300" w:lineRule="exact"/>
              <w:jc w:val="center"/>
              <w:rPr>
                <w:rFonts w:ascii="方正书宋_GBK" w:eastAsia="方正书宋_GBK"/>
                <w:b/>
              </w:rPr>
            </w:pPr>
            <w:r>
              <w:rPr>
                <w:rFonts w:hint="eastAsia" w:ascii="方正书宋_GBK" w:eastAsia="方正书宋_GBK"/>
                <w:b/>
              </w:rPr>
              <w:t>行政</w:t>
            </w:r>
          </w:p>
        </w:tc>
        <w:tc>
          <w:tcPr>
            <w:tcW w:w="725" w:type="dxa"/>
            <w:vAlign w:val="center"/>
          </w:tcPr>
          <w:p w14:paraId="14684DA7">
            <w:pPr>
              <w:spacing w:line="300" w:lineRule="exact"/>
              <w:jc w:val="center"/>
              <w:rPr>
                <w:rFonts w:ascii="方正书宋_GBK" w:eastAsia="方正书宋_GBK"/>
                <w:b/>
              </w:rPr>
            </w:pPr>
            <w:r>
              <w:rPr>
                <w:rFonts w:hint="eastAsia" w:ascii="方正书宋_GBK" w:eastAsia="方正书宋_GBK"/>
                <w:b/>
              </w:rPr>
              <w:t>事业</w:t>
            </w:r>
          </w:p>
        </w:tc>
        <w:tc>
          <w:tcPr>
            <w:tcW w:w="345" w:type="dxa"/>
            <w:vAlign w:val="center"/>
          </w:tcPr>
          <w:p w14:paraId="1C91CDC6">
            <w:pPr>
              <w:spacing w:line="300" w:lineRule="exact"/>
              <w:jc w:val="center"/>
              <w:rPr>
                <w:rFonts w:ascii="方正书宋_GBK" w:eastAsia="方正书宋_GBK"/>
                <w:b/>
              </w:rPr>
            </w:pPr>
            <w:r>
              <w:rPr>
                <w:rFonts w:hint="eastAsia" w:ascii="方正书宋_GBK" w:eastAsia="方正书宋_GBK"/>
                <w:b/>
              </w:rPr>
              <w:t>行政</w:t>
            </w:r>
          </w:p>
        </w:tc>
        <w:tc>
          <w:tcPr>
            <w:tcW w:w="642" w:type="dxa"/>
            <w:vAlign w:val="center"/>
          </w:tcPr>
          <w:p w14:paraId="21FD840A">
            <w:pPr>
              <w:spacing w:line="300" w:lineRule="exact"/>
              <w:jc w:val="center"/>
              <w:rPr>
                <w:rFonts w:ascii="方正书宋_GBK" w:eastAsia="方正书宋_GBK"/>
                <w:b/>
              </w:rPr>
            </w:pPr>
            <w:r>
              <w:rPr>
                <w:rFonts w:hint="eastAsia" w:ascii="方正书宋_GBK" w:eastAsia="方正书宋_GBK"/>
                <w:b/>
              </w:rPr>
              <w:t>事业</w:t>
            </w:r>
          </w:p>
        </w:tc>
        <w:tc>
          <w:tcPr>
            <w:tcW w:w="350" w:type="dxa"/>
            <w:vAlign w:val="center"/>
          </w:tcPr>
          <w:p w14:paraId="6165E019">
            <w:pPr>
              <w:spacing w:line="300" w:lineRule="exact"/>
              <w:jc w:val="center"/>
              <w:rPr>
                <w:rFonts w:ascii="方正书宋_GBK" w:eastAsia="方正书宋_GBK"/>
                <w:b/>
              </w:rPr>
            </w:pPr>
            <w:r>
              <w:rPr>
                <w:rFonts w:hint="eastAsia" w:ascii="方正书宋_GBK" w:eastAsia="方正书宋_GBK"/>
                <w:b/>
              </w:rPr>
              <w:t>离休</w:t>
            </w:r>
          </w:p>
        </w:tc>
        <w:tc>
          <w:tcPr>
            <w:tcW w:w="563" w:type="dxa"/>
            <w:vAlign w:val="center"/>
          </w:tcPr>
          <w:p w14:paraId="3FCB1D26">
            <w:pPr>
              <w:spacing w:line="300" w:lineRule="exact"/>
              <w:jc w:val="center"/>
              <w:rPr>
                <w:rFonts w:ascii="方正书宋_GBK" w:eastAsia="方正书宋_GBK"/>
                <w:b/>
              </w:rPr>
            </w:pPr>
            <w:r>
              <w:rPr>
                <w:rFonts w:hint="eastAsia" w:ascii="方正书宋_GBK" w:eastAsia="方正书宋_GBK"/>
                <w:b/>
              </w:rPr>
              <w:t>退休</w:t>
            </w:r>
          </w:p>
        </w:tc>
        <w:tc>
          <w:tcPr>
            <w:tcW w:w="326" w:type="dxa"/>
            <w:vAlign w:val="center"/>
          </w:tcPr>
          <w:p w14:paraId="340742E9">
            <w:pPr>
              <w:spacing w:line="300" w:lineRule="exact"/>
              <w:jc w:val="center"/>
              <w:rPr>
                <w:rFonts w:ascii="方正书宋_GBK" w:eastAsia="方正书宋_GBK"/>
                <w:b/>
              </w:rPr>
            </w:pPr>
            <w:r>
              <w:rPr>
                <w:rFonts w:hint="eastAsia" w:ascii="方正书宋_GBK" w:eastAsia="方正书宋_GBK"/>
                <w:b/>
              </w:rPr>
              <w:t>退职</w:t>
            </w:r>
          </w:p>
        </w:tc>
      </w:tr>
      <w:tr w14:paraId="356C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3" w:hRule="atLeast"/>
        </w:trPr>
        <w:tc>
          <w:tcPr>
            <w:tcW w:w="1843" w:type="dxa"/>
            <w:vAlign w:val="center"/>
          </w:tcPr>
          <w:p w14:paraId="078B30E2">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241" w:type="dxa"/>
            <w:vAlign w:val="center"/>
          </w:tcPr>
          <w:p w14:paraId="1FB6A385">
            <w:pPr>
              <w:spacing w:line="300" w:lineRule="exact"/>
              <w:jc w:val="center"/>
              <w:rPr>
                <w:rFonts w:ascii="方正书宋_GBK" w:eastAsia="方正书宋_GBK"/>
                <w:b/>
              </w:rPr>
            </w:pPr>
          </w:p>
        </w:tc>
        <w:tc>
          <w:tcPr>
            <w:tcW w:w="1028" w:type="dxa"/>
            <w:vAlign w:val="center"/>
          </w:tcPr>
          <w:p w14:paraId="1833DC38">
            <w:pPr>
              <w:spacing w:line="300" w:lineRule="exact"/>
              <w:jc w:val="center"/>
              <w:rPr>
                <w:rFonts w:ascii="方正书宋_GBK" w:eastAsia="方正书宋_GBK"/>
                <w:b/>
              </w:rPr>
            </w:pPr>
          </w:p>
        </w:tc>
        <w:tc>
          <w:tcPr>
            <w:tcW w:w="1306" w:type="dxa"/>
            <w:vAlign w:val="center"/>
          </w:tcPr>
          <w:p w14:paraId="191E4AD4">
            <w:pPr>
              <w:spacing w:line="300" w:lineRule="exact"/>
              <w:jc w:val="center"/>
              <w:rPr>
                <w:rFonts w:ascii="方正书宋_GBK" w:eastAsia="方正书宋_GBK"/>
                <w:b/>
              </w:rPr>
            </w:pPr>
          </w:p>
        </w:tc>
        <w:tc>
          <w:tcPr>
            <w:tcW w:w="713" w:type="dxa"/>
            <w:vAlign w:val="center"/>
          </w:tcPr>
          <w:p w14:paraId="5C278358">
            <w:pPr>
              <w:spacing w:line="300" w:lineRule="exact"/>
              <w:jc w:val="center"/>
              <w:rPr>
                <w:rFonts w:hint="eastAsia" w:ascii="方正书宋_GBK" w:eastAsia="方正书宋_GBK"/>
                <w:b/>
                <w:lang w:eastAsia="zh-CN"/>
              </w:rPr>
            </w:pPr>
            <w:r>
              <w:rPr>
                <w:rFonts w:hint="eastAsia" w:ascii="方正书宋_GBK" w:eastAsia="方正书宋_GBK"/>
                <w:b/>
                <w:lang w:val="en-US" w:eastAsia="zh-CN"/>
              </w:rPr>
              <w:t>3</w:t>
            </w:r>
          </w:p>
        </w:tc>
        <w:tc>
          <w:tcPr>
            <w:tcW w:w="337" w:type="dxa"/>
            <w:vAlign w:val="center"/>
          </w:tcPr>
          <w:p w14:paraId="63B76329">
            <w:pPr>
              <w:spacing w:line="300" w:lineRule="exact"/>
              <w:jc w:val="center"/>
              <w:rPr>
                <w:rFonts w:ascii="方正书宋_GBK" w:eastAsia="方正书宋_GBK"/>
                <w:b/>
              </w:rPr>
            </w:pPr>
          </w:p>
        </w:tc>
        <w:tc>
          <w:tcPr>
            <w:tcW w:w="725" w:type="dxa"/>
            <w:vAlign w:val="center"/>
          </w:tcPr>
          <w:p w14:paraId="41D3F543">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400</w:t>
            </w:r>
            <w:bookmarkStart w:id="1" w:name="_GoBack"/>
            <w:bookmarkEnd w:id="1"/>
          </w:p>
        </w:tc>
        <w:tc>
          <w:tcPr>
            <w:tcW w:w="345" w:type="dxa"/>
            <w:vAlign w:val="center"/>
          </w:tcPr>
          <w:p w14:paraId="3DE3BCEC">
            <w:pPr>
              <w:spacing w:line="300" w:lineRule="exact"/>
              <w:jc w:val="center"/>
              <w:rPr>
                <w:rFonts w:ascii="方正书宋_GBK" w:eastAsia="方正书宋_GBK"/>
                <w:b/>
              </w:rPr>
            </w:pPr>
          </w:p>
        </w:tc>
        <w:tc>
          <w:tcPr>
            <w:tcW w:w="642" w:type="dxa"/>
            <w:vAlign w:val="center"/>
          </w:tcPr>
          <w:p w14:paraId="69F0C993">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318</w:t>
            </w:r>
          </w:p>
        </w:tc>
        <w:tc>
          <w:tcPr>
            <w:tcW w:w="350" w:type="dxa"/>
            <w:vAlign w:val="center"/>
          </w:tcPr>
          <w:p w14:paraId="207A6443">
            <w:pPr>
              <w:spacing w:line="300" w:lineRule="exact"/>
              <w:jc w:val="center"/>
              <w:rPr>
                <w:rFonts w:ascii="方正书宋_GBK" w:eastAsia="方正书宋_GBK"/>
                <w:b/>
              </w:rPr>
            </w:pPr>
          </w:p>
        </w:tc>
        <w:tc>
          <w:tcPr>
            <w:tcW w:w="563" w:type="dxa"/>
            <w:vAlign w:val="center"/>
          </w:tcPr>
          <w:p w14:paraId="5EB10ACB">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81</w:t>
            </w:r>
          </w:p>
        </w:tc>
        <w:tc>
          <w:tcPr>
            <w:tcW w:w="326" w:type="dxa"/>
            <w:vAlign w:val="center"/>
          </w:tcPr>
          <w:p w14:paraId="3AC89EB8">
            <w:pPr>
              <w:spacing w:line="300" w:lineRule="exact"/>
              <w:jc w:val="center"/>
              <w:rPr>
                <w:rFonts w:ascii="方正书宋_GBK" w:eastAsia="方正书宋_GBK"/>
                <w:b/>
              </w:rPr>
            </w:pPr>
          </w:p>
        </w:tc>
      </w:tr>
      <w:tr w14:paraId="5422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6" w:hRule="atLeast"/>
        </w:trPr>
        <w:tc>
          <w:tcPr>
            <w:tcW w:w="1843" w:type="dxa"/>
            <w:vAlign w:val="center"/>
          </w:tcPr>
          <w:p w14:paraId="40FD3BC2">
            <w:pPr>
              <w:spacing w:line="300" w:lineRule="exact"/>
              <w:jc w:val="left"/>
              <w:rPr>
                <w:rFonts w:ascii="方正书宋_GBK" w:eastAsia="方正书宋_GBK"/>
              </w:rPr>
            </w:pPr>
            <w:r>
              <w:rPr>
                <w:rFonts w:hint="eastAsia" w:ascii="方正书宋_GBK" w:eastAsia="方正书宋_GBK"/>
              </w:rPr>
              <w:t>河北正定师范高等专科学校本级</w:t>
            </w:r>
          </w:p>
        </w:tc>
        <w:tc>
          <w:tcPr>
            <w:tcW w:w="1241" w:type="dxa"/>
            <w:vAlign w:val="center"/>
          </w:tcPr>
          <w:p w14:paraId="27C51D64">
            <w:pPr>
              <w:spacing w:line="300" w:lineRule="exact"/>
              <w:jc w:val="center"/>
              <w:rPr>
                <w:rFonts w:ascii="方正书宋_GBK" w:eastAsia="方正书宋_GBK"/>
              </w:rPr>
            </w:pPr>
            <w:r>
              <w:rPr>
                <w:rFonts w:hint="eastAsia" w:ascii="方正书宋_GBK" w:eastAsia="方正书宋_GBK"/>
              </w:rPr>
              <w:t>事业</w:t>
            </w:r>
          </w:p>
        </w:tc>
        <w:tc>
          <w:tcPr>
            <w:tcW w:w="1028" w:type="dxa"/>
            <w:vAlign w:val="center"/>
          </w:tcPr>
          <w:p w14:paraId="411AE865">
            <w:pPr>
              <w:spacing w:line="300" w:lineRule="exact"/>
              <w:jc w:val="center"/>
              <w:rPr>
                <w:rFonts w:ascii="方正书宋_GBK" w:eastAsia="方正书宋_GBK"/>
              </w:rPr>
            </w:pPr>
            <w:r>
              <w:rPr>
                <w:rFonts w:hint="eastAsia" w:ascii="方正书宋_GBK" w:eastAsia="方正书宋_GBK"/>
              </w:rPr>
              <w:t>副厅（地）级</w:t>
            </w:r>
          </w:p>
        </w:tc>
        <w:tc>
          <w:tcPr>
            <w:tcW w:w="1306" w:type="dxa"/>
            <w:vAlign w:val="center"/>
          </w:tcPr>
          <w:p w14:paraId="63275B3C">
            <w:pPr>
              <w:spacing w:line="300" w:lineRule="exact"/>
              <w:jc w:val="center"/>
              <w:rPr>
                <w:rFonts w:ascii="方正书宋_GBK" w:eastAsia="方正书宋_GBK"/>
              </w:rPr>
            </w:pPr>
            <w:r>
              <w:rPr>
                <w:rFonts w:hint="eastAsia" w:ascii="方正书宋_GBK" w:eastAsia="方正书宋_GBK"/>
              </w:rPr>
              <w:t>财政性资金基本保证</w:t>
            </w:r>
          </w:p>
        </w:tc>
        <w:tc>
          <w:tcPr>
            <w:tcW w:w="713" w:type="dxa"/>
            <w:vAlign w:val="center"/>
          </w:tcPr>
          <w:p w14:paraId="7655E073">
            <w:pPr>
              <w:spacing w:line="300" w:lineRule="exact"/>
              <w:jc w:val="center"/>
              <w:rPr>
                <w:rFonts w:hint="eastAsia" w:ascii="方正书宋_GBK" w:eastAsia="方正书宋_GBK"/>
                <w:lang w:eastAsia="zh-CN"/>
              </w:rPr>
            </w:pPr>
            <w:r>
              <w:rPr>
                <w:rFonts w:hint="eastAsia" w:ascii="方正书宋_GBK" w:eastAsia="方正书宋_GBK"/>
                <w:lang w:val="en-US" w:eastAsia="zh-CN"/>
              </w:rPr>
              <w:t>3</w:t>
            </w:r>
          </w:p>
        </w:tc>
        <w:tc>
          <w:tcPr>
            <w:tcW w:w="337" w:type="dxa"/>
            <w:vAlign w:val="center"/>
          </w:tcPr>
          <w:p w14:paraId="14BED942">
            <w:pPr>
              <w:spacing w:line="300" w:lineRule="exact"/>
              <w:jc w:val="center"/>
              <w:rPr>
                <w:rFonts w:ascii="方正书宋_GBK" w:eastAsia="方正书宋_GBK"/>
              </w:rPr>
            </w:pPr>
          </w:p>
        </w:tc>
        <w:tc>
          <w:tcPr>
            <w:tcW w:w="725" w:type="dxa"/>
            <w:vAlign w:val="center"/>
          </w:tcPr>
          <w:p w14:paraId="0E58D27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400</w:t>
            </w:r>
          </w:p>
        </w:tc>
        <w:tc>
          <w:tcPr>
            <w:tcW w:w="345" w:type="dxa"/>
            <w:vAlign w:val="center"/>
          </w:tcPr>
          <w:p w14:paraId="22AD2DA5">
            <w:pPr>
              <w:spacing w:line="300" w:lineRule="exact"/>
              <w:jc w:val="center"/>
              <w:rPr>
                <w:rFonts w:ascii="方正书宋_GBK" w:eastAsia="方正书宋_GBK"/>
              </w:rPr>
            </w:pPr>
          </w:p>
        </w:tc>
        <w:tc>
          <w:tcPr>
            <w:tcW w:w="642" w:type="dxa"/>
            <w:vAlign w:val="center"/>
          </w:tcPr>
          <w:p w14:paraId="2D1FDFEC">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318</w:t>
            </w:r>
          </w:p>
        </w:tc>
        <w:tc>
          <w:tcPr>
            <w:tcW w:w="350" w:type="dxa"/>
            <w:vAlign w:val="center"/>
          </w:tcPr>
          <w:p w14:paraId="156B2B19">
            <w:pPr>
              <w:spacing w:line="300" w:lineRule="exact"/>
              <w:jc w:val="center"/>
              <w:rPr>
                <w:rFonts w:ascii="方正书宋_GBK" w:eastAsia="方正书宋_GBK"/>
              </w:rPr>
            </w:pPr>
          </w:p>
        </w:tc>
        <w:tc>
          <w:tcPr>
            <w:tcW w:w="563" w:type="dxa"/>
            <w:vAlign w:val="center"/>
          </w:tcPr>
          <w:p w14:paraId="79B8212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81</w:t>
            </w:r>
          </w:p>
        </w:tc>
        <w:tc>
          <w:tcPr>
            <w:tcW w:w="326" w:type="dxa"/>
            <w:vAlign w:val="center"/>
          </w:tcPr>
          <w:p w14:paraId="4923D743">
            <w:pPr>
              <w:spacing w:line="300" w:lineRule="exact"/>
              <w:jc w:val="center"/>
              <w:rPr>
                <w:rFonts w:ascii="方正书宋_GBK" w:eastAsia="方正书宋_GBK"/>
              </w:rPr>
            </w:pPr>
          </w:p>
        </w:tc>
      </w:tr>
    </w:tbl>
    <w:p w14:paraId="77990CCD">
      <w:pPr>
        <w:adjustRightInd w:val="0"/>
        <w:snapToGrid w:val="0"/>
        <w:spacing w:line="360" w:lineRule="auto"/>
        <w:ind w:firstLine="643" w:firstLineChars="200"/>
        <w:rPr>
          <w:rFonts w:ascii="仿宋_GB2312" w:eastAsia="仿宋_GB2312"/>
          <w:b/>
          <w:bCs/>
          <w:sz w:val="32"/>
          <w:szCs w:val="32"/>
        </w:rPr>
      </w:pPr>
      <w:r>
        <w:rPr>
          <w:rFonts w:hint="eastAsia" w:ascii="仿宋_GB2312" w:eastAsia="仿宋_GB2312"/>
          <w:b/>
          <w:bCs/>
          <w:sz w:val="32"/>
          <w:szCs w:val="32"/>
        </w:rPr>
        <w:t>2、机构设置及人员情况：</w:t>
      </w:r>
    </w:p>
    <w:p w14:paraId="118CFB0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3、</w:t>
      </w:r>
      <w:bookmarkStart w:id="0" w:name="_Toc_3_3_0000000016"/>
      <w:r>
        <w:rPr>
          <w:rFonts w:hint="eastAsia" w:ascii="仿宋_GB2312" w:eastAsia="仿宋_GB2312"/>
          <w:b/>
          <w:bCs/>
          <w:sz w:val="32"/>
          <w:szCs w:val="32"/>
        </w:rPr>
        <w:t>资产信息</w:t>
      </w:r>
      <w:bookmarkEnd w:id="0"/>
    </w:p>
    <w:p w14:paraId="17569B54">
      <w:pPr>
        <w:adjustRightInd w:val="0"/>
        <w:snapToGrid w:val="0"/>
        <w:spacing w:line="360" w:lineRule="auto"/>
        <w:ind w:firstLine="640" w:firstLineChars="200"/>
      </w:pPr>
      <w:r>
        <w:rPr>
          <w:rFonts w:ascii="仿宋_GB2312" w:eastAsia="仿宋_GB2312"/>
          <w:sz w:val="32"/>
          <w:szCs w:val="32"/>
        </w:rPr>
        <w:t>河北正定师范高等专科学校（含所属单位）年末</w:t>
      </w:r>
      <w:r>
        <w:rPr>
          <w:rFonts w:hint="eastAsia" w:ascii="仿宋_GB2312" w:eastAsia="仿宋_GB2312"/>
          <w:sz w:val="32"/>
          <w:szCs w:val="32"/>
        </w:rPr>
        <w:t>资产总额为</w:t>
      </w:r>
      <w:r>
        <w:rPr>
          <w:rFonts w:hint="eastAsia" w:ascii="仿宋_GB2312" w:eastAsia="仿宋_GB2312"/>
          <w:sz w:val="32"/>
          <w:szCs w:val="32"/>
          <w:lang w:val="en-US" w:eastAsia="zh-CN"/>
        </w:rPr>
        <w:t>15476.79</w:t>
      </w:r>
      <w:r>
        <w:rPr>
          <w:rFonts w:hint="eastAsia" w:ascii="仿宋_GB2312" w:eastAsia="仿宋_GB2312"/>
          <w:sz w:val="32"/>
          <w:szCs w:val="32"/>
        </w:rPr>
        <w:t>万元，其中流动资产共计</w:t>
      </w:r>
      <w:r>
        <w:rPr>
          <w:rFonts w:hint="eastAsia" w:ascii="仿宋_GB2312" w:eastAsia="仿宋_GB2312"/>
          <w:sz w:val="32"/>
          <w:szCs w:val="32"/>
          <w:lang w:val="en-US" w:eastAsia="zh-CN"/>
        </w:rPr>
        <w:t>769.67</w:t>
      </w:r>
      <w:r>
        <w:rPr>
          <w:rFonts w:hint="eastAsia" w:ascii="仿宋_GB2312" w:eastAsia="仿宋_GB2312"/>
          <w:sz w:val="32"/>
          <w:szCs w:val="32"/>
        </w:rPr>
        <w:t>万元，非流动</w:t>
      </w:r>
      <w:r>
        <w:rPr>
          <w:rFonts w:ascii="仿宋_GB2312" w:eastAsia="仿宋_GB2312"/>
          <w:sz w:val="32"/>
          <w:szCs w:val="32"/>
        </w:rPr>
        <w:t>资产金额</w:t>
      </w:r>
      <w:r>
        <w:rPr>
          <w:rFonts w:hint="eastAsia" w:ascii="仿宋_GB2312" w:eastAsia="仿宋_GB2312"/>
          <w:sz w:val="32"/>
          <w:szCs w:val="32"/>
        </w:rPr>
        <w:t>共计</w:t>
      </w:r>
      <w:r>
        <w:rPr>
          <w:rFonts w:hint="eastAsia" w:ascii="仿宋_GB2312" w:eastAsia="仿宋_GB2312"/>
          <w:sz w:val="32"/>
          <w:szCs w:val="32"/>
          <w:lang w:val="en-US" w:eastAsia="zh-CN"/>
        </w:rPr>
        <w:t>14707.12</w:t>
      </w:r>
      <w:r>
        <w:rPr>
          <w:rFonts w:ascii="仿宋_GB2312" w:eastAsia="仿宋_GB2312"/>
          <w:sz w:val="32"/>
          <w:szCs w:val="32"/>
        </w:rPr>
        <w:t>万元</w:t>
      </w:r>
      <w:r>
        <w:rPr>
          <w:rFonts w:hint="eastAsia" w:ascii="仿宋_GB2312" w:eastAsia="仿宋_GB2312"/>
          <w:sz w:val="32"/>
          <w:szCs w:val="32"/>
        </w:rPr>
        <w:t>，资产稳定性较强。</w:t>
      </w:r>
    </w:p>
    <w:p w14:paraId="61CF7601">
      <w:pPr>
        <w:numPr>
          <w:ilvl w:val="0"/>
          <w:numId w:val="1"/>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1DB46AB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我校202</w:t>
      </w:r>
      <w:r>
        <w:rPr>
          <w:rFonts w:hint="eastAsia" w:ascii="仿宋" w:hAnsi="仿宋" w:eastAsia="仿宋"/>
          <w:sz w:val="32"/>
          <w:szCs w:val="32"/>
          <w:lang w:val="en-US" w:eastAsia="zh-CN"/>
        </w:rPr>
        <w:t>4</w:t>
      </w:r>
      <w:r>
        <w:rPr>
          <w:rFonts w:hint="eastAsia" w:ascii="仿宋" w:hAnsi="仿宋" w:eastAsia="仿宋"/>
          <w:sz w:val="32"/>
          <w:szCs w:val="32"/>
        </w:rPr>
        <w:t>年收入调整预算数为</w:t>
      </w:r>
      <w:r>
        <w:rPr>
          <w:rFonts w:hint="eastAsia" w:ascii="仿宋" w:hAnsi="仿宋" w:eastAsia="仿宋"/>
          <w:sz w:val="32"/>
          <w:szCs w:val="32"/>
          <w:lang w:val="en-US" w:eastAsia="zh-CN"/>
        </w:rPr>
        <w:t>15636.714359</w:t>
      </w:r>
      <w:r>
        <w:rPr>
          <w:rFonts w:hint="eastAsia" w:ascii="仿宋" w:hAnsi="仿宋" w:eastAsia="仿宋"/>
          <w:sz w:val="32"/>
          <w:szCs w:val="32"/>
        </w:rPr>
        <w:t>万元，收入决算数为</w:t>
      </w:r>
      <w:r>
        <w:rPr>
          <w:rFonts w:hint="eastAsia" w:ascii="仿宋" w:hAnsi="仿宋" w:eastAsia="仿宋"/>
          <w:sz w:val="32"/>
          <w:szCs w:val="32"/>
          <w:lang w:val="en-US" w:eastAsia="zh-CN"/>
        </w:rPr>
        <w:t>14591.482867</w:t>
      </w:r>
      <w:r>
        <w:rPr>
          <w:rFonts w:hint="eastAsia" w:ascii="仿宋" w:hAnsi="仿宋" w:eastAsia="仿宋"/>
          <w:sz w:val="32"/>
          <w:szCs w:val="32"/>
        </w:rPr>
        <w:t>万元。202</w:t>
      </w:r>
      <w:r>
        <w:rPr>
          <w:rFonts w:hint="eastAsia" w:ascii="仿宋" w:hAnsi="仿宋" w:eastAsia="仿宋"/>
          <w:sz w:val="32"/>
          <w:szCs w:val="32"/>
          <w:lang w:val="en-US" w:eastAsia="zh-CN"/>
        </w:rPr>
        <w:t>4</w:t>
      </w:r>
      <w:r>
        <w:rPr>
          <w:rFonts w:hint="eastAsia" w:ascii="仿宋" w:hAnsi="仿宋" w:eastAsia="仿宋"/>
          <w:sz w:val="32"/>
          <w:szCs w:val="32"/>
        </w:rPr>
        <w:t>年支出调整预算数为</w:t>
      </w:r>
      <w:r>
        <w:rPr>
          <w:rFonts w:hint="eastAsia" w:ascii="仿宋" w:hAnsi="仿宋" w:eastAsia="仿宋"/>
          <w:sz w:val="32"/>
          <w:szCs w:val="32"/>
          <w:lang w:val="en-US" w:eastAsia="zh-CN"/>
        </w:rPr>
        <w:t>15636.714359</w:t>
      </w:r>
      <w:r>
        <w:rPr>
          <w:rFonts w:hint="eastAsia" w:ascii="仿宋" w:hAnsi="仿宋" w:eastAsia="仿宋"/>
          <w:sz w:val="32"/>
          <w:szCs w:val="32"/>
        </w:rPr>
        <w:t>万元，支出决算数是</w:t>
      </w:r>
      <w:r>
        <w:rPr>
          <w:rFonts w:hint="eastAsia" w:ascii="仿宋" w:hAnsi="仿宋" w:eastAsia="仿宋"/>
          <w:sz w:val="32"/>
          <w:szCs w:val="32"/>
          <w:lang w:val="en-US" w:eastAsia="zh-CN"/>
        </w:rPr>
        <w:t>14591.482867</w:t>
      </w:r>
      <w:r>
        <w:rPr>
          <w:rFonts w:hint="eastAsia" w:ascii="仿宋" w:hAnsi="仿宋" w:eastAsia="仿宋"/>
          <w:sz w:val="32"/>
          <w:szCs w:val="32"/>
        </w:rPr>
        <w:t>万元。决算收入与决算支出平衡，无结转。</w:t>
      </w:r>
    </w:p>
    <w:p w14:paraId="7BAF1BC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其中202</w:t>
      </w:r>
      <w:r>
        <w:rPr>
          <w:rFonts w:hint="eastAsia" w:ascii="仿宋" w:hAnsi="仿宋" w:eastAsia="仿宋"/>
          <w:sz w:val="32"/>
          <w:szCs w:val="32"/>
          <w:lang w:val="en-US" w:eastAsia="zh-CN"/>
        </w:rPr>
        <w:t>4</w:t>
      </w:r>
      <w:r>
        <w:rPr>
          <w:rFonts w:hint="eastAsia" w:ascii="仿宋" w:hAnsi="仿宋" w:eastAsia="仿宋"/>
          <w:sz w:val="32"/>
          <w:szCs w:val="32"/>
        </w:rPr>
        <w:t>年项目支出预算收入是</w:t>
      </w:r>
      <w:r>
        <w:rPr>
          <w:rFonts w:hint="eastAsia" w:ascii="仿宋" w:hAnsi="仿宋" w:eastAsia="仿宋"/>
          <w:sz w:val="32"/>
          <w:szCs w:val="32"/>
          <w:lang w:val="en-US" w:eastAsia="zh-CN"/>
        </w:rPr>
        <w:t>7507.992</w:t>
      </w:r>
      <w:r>
        <w:rPr>
          <w:rFonts w:hint="eastAsia" w:ascii="仿宋" w:hAnsi="仿宋" w:eastAsia="仿宋"/>
          <w:sz w:val="32"/>
          <w:szCs w:val="32"/>
        </w:rPr>
        <w:t>万元，决算支出是</w:t>
      </w:r>
      <w:r>
        <w:rPr>
          <w:rFonts w:hint="eastAsia" w:ascii="仿宋" w:hAnsi="仿宋" w:eastAsia="仿宋"/>
          <w:sz w:val="32"/>
          <w:szCs w:val="32"/>
          <w:lang w:val="en-US" w:eastAsia="zh-CN"/>
        </w:rPr>
        <w:t>6713.168424</w:t>
      </w:r>
      <w:r>
        <w:rPr>
          <w:rFonts w:hint="eastAsia" w:ascii="仿宋" w:hAnsi="仿宋" w:eastAsia="仿宋"/>
          <w:sz w:val="32"/>
          <w:szCs w:val="32"/>
        </w:rPr>
        <w:t>万元，原因是涉及部分项目款未花完，年底收回部分款项。</w:t>
      </w:r>
    </w:p>
    <w:p w14:paraId="5010461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673E1AF">
      <w:pPr>
        <w:keepNext w:val="0"/>
        <w:keepLines w:val="0"/>
        <w:pageBreakBefore w:val="0"/>
        <w:widowControl w:val="0"/>
        <w:kinsoku/>
        <w:wordWrap/>
        <w:overflowPunct/>
        <w:topLinePunct w:val="0"/>
        <w:autoSpaceDE/>
        <w:autoSpaceDN/>
        <w:bidi w:val="0"/>
        <w:adjustRightInd w:val="0"/>
        <w:snapToGrid w:val="0"/>
        <w:spacing w:before="157" w:beforeLines="50"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学校坚持立德树人根本任务，立足服务区域基础教育和地方经济社会发展，以加强党的建设为保障，以师资队伍建设为关键，以提高人才培养质量为目标，秉持“换道超车、错位发展、顺势而为”的办学理念，推动学院实现转型跨越发展，目标是将学院建成全国知名、区域一流、具有鲜明师范特色的综合性高水平学校。</w:t>
      </w:r>
    </w:p>
    <w:p w14:paraId="1E8C3A5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年进一步提高录取率及生源质量，提升就业率和就业质量；推进课程建设，加强实践教学资源统筹使用，提高精品资源建设水平，进一步推进院级精品在线开放课程建设与应用</w:t>
      </w:r>
      <w:r>
        <w:rPr>
          <w:rFonts w:hint="eastAsia" w:ascii="仿宋" w:hAnsi="仿宋" w:eastAsia="仿宋"/>
          <w:sz w:val="32"/>
          <w:szCs w:val="32"/>
          <w:lang w:eastAsia="zh-CN"/>
        </w:rPr>
        <w:t>，</w:t>
      </w:r>
      <w:r>
        <w:rPr>
          <w:rFonts w:hint="eastAsia" w:ascii="仿宋" w:hAnsi="仿宋" w:eastAsia="仿宋"/>
          <w:sz w:val="32"/>
          <w:szCs w:val="32"/>
        </w:rPr>
        <w:t>推进省级立项项目的建设；凝练提升省级教育教学成果，完成202</w:t>
      </w:r>
      <w:r>
        <w:rPr>
          <w:rFonts w:hint="eastAsia" w:ascii="仿宋" w:hAnsi="仿宋" w:eastAsia="仿宋"/>
          <w:sz w:val="32"/>
          <w:szCs w:val="32"/>
          <w:lang w:val="en-US" w:eastAsia="zh-CN"/>
        </w:rPr>
        <w:t>4</w:t>
      </w:r>
      <w:r>
        <w:rPr>
          <w:rFonts w:hint="eastAsia" w:ascii="仿宋" w:hAnsi="仿宋" w:eastAsia="仿宋"/>
          <w:sz w:val="32"/>
          <w:szCs w:val="32"/>
        </w:rPr>
        <w:t>年度“省级教学成果奖”评选，完成职业教育质量年度报告1份；积极搭建平台，做好教科研成果的选拔和培育；改善办学条件，逐步扩大培养规模；加强成人继续教育社会培训和工作, 提升社会服务能力。</w:t>
      </w:r>
    </w:p>
    <w:p w14:paraId="4702E5F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8F810B5">
      <w:pPr>
        <w:keepNext w:val="0"/>
        <w:keepLines w:val="0"/>
        <w:pageBreakBefore w:val="0"/>
        <w:widowControl w:val="0"/>
        <w:kinsoku/>
        <w:wordWrap/>
        <w:overflowPunct/>
        <w:topLinePunct w:val="0"/>
        <w:autoSpaceDE/>
        <w:autoSpaceDN/>
        <w:bidi w:val="0"/>
        <w:adjustRightInd/>
        <w:snapToGrid/>
        <w:spacing w:before="313" w:beforeLines="100"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4E84E7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按照市财政局工作通知要求，我校及时</w:t>
      </w:r>
      <w:r>
        <w:rPr>
          <w:rFonts w:hint="eastAsia" w:ascii="仿宋" w:hAnsi="仿宋" w:eastAsia="仿宋"/>
          <w:sz w:val="32"/>
          <w:szCs w:val="32"/>
          <w:lang w:val="en-US" w:eastAsia="zh-CN"/>
        </w:rPr>
        <w:t>开展绩效自评工作</w:t>
      </w:r>
      <w:r>
        <w:rPr>
          <w:rFonts w:hint="eastAsia" w:ascii="仿宋" w:hAnsi="仿宋" w:eastAsia="仿宋"/>
          <w:sz w:val="32"/>
          <w:szCs w:val="32"/>
        </w:rPr>
        <w:t>，制定工作方案、评价方法和步骤时限等内容。</w:t>
      </w:r>
    </w:p>
    <w:p w14:paraId="2F2B7F6F">
      <w:pPr>
        <w:keepNext w:val="0"/>
        <w:keepLines w:val="0"/>
        <w:pageBreakBefore w:val="0"/>
        <w:widowControl w:val="0"/>
        <w:numPr>
          <w:ilvl w:val="0"/>
          <w:numId w:val="2"/>
        </w:numPr>
        <w:kinsoku/>
        <w:wordWrap/>
        <w:overflowPunct/>
        <w:topLinePunct w:val="0"/>
        <w:autoSpaceDE/>
        <w:autoSpaceDN/>
        <w:bidi w:val="0"/>
        <w:adjustRightInd/>
        <w:snapToGrid/>
        <w:spacing w:before="313" w:beforeLines="100" w:line="560" w:lineRule="exact"/>
        <w:ind w:left="420" w:leftChars="0" w:firstLineChars="0"/>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50F768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学校自评工作组对照工作内容，分解各项目绩效自评工作至相关科室，明确各项目绩效自评牵头科室和负责人，及时收集、归纳、整理项目评价资料，认真梳理填报各项目《预算项目绩效自评表》，总结成绩和不足，为今后进一步提高预算项目资金使用效率提供经验。</w:t>
      </w:r>
    </w:p>
    <w:p w14:paraId="3643215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我校严格按照部门预算安排及资金分配拨付情况完成各项目资金支出。按期完成日常财务管理，顺利通过上级专项监督检查及审计部门审查。</w:t>
      </w:r>
    </w:p>
    <w:p w14:paraId="62C7601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51DD8F5">
      <w:pPr>
        <w:keepNext w:val="0"/>
        <w:keepLines w:val="0"/>
        <w:pageBreakBefore w:val="0"/>
        <w:widowControl w:val="0"/>
        <w:numPr>
          <w:ilvl w:val="0"/>
          <w:numId w:val="3"/>
        </w:numPr>
        <w:kinsoku/>
        <w:wordWrap/>
        <w:overflowPunct/>
        <w:topLinePunct w:val="0"/>
        <w:autoSpaceDE/>
        <w:autoSpaceDN/>
        <w:bidi w:val="0"/>
        <w:adjustRightInd/>
        <w:snapToGrid/>
        <w:spacing w:before="157" w:beforeLines="50"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288571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本年度学校项目绩效目标完成情况良好，各项职能履行的很好，取得了预期的效果。教育教学、科</w:t>
      </w:r>
      <w:r>
        <w:rPr>
          <w:rFonts w:hint="eastAsia" w:ascii="仿宋" w:hAnsi="仿宋" w:eastAsia="仿宋"/>
          <w:sz w:val="32"/>
          <w:szCs w:val="32"/>
          <w:lang w:val="en-US" w:eastAsia="zh-CN"/>
        </w:rPr>
        <w:t>研成果</w:t>
      </w:r>
      <w:r>
        <w:rPr>
          <w:rFonts w:hint="eastAsia" w:ascii="仿宋" w:hAnsi="仿宋" w:eastAsia="仿宋"/>
          <w:sz w:val="32"/>
          <w:szCs w:val="32"/>
        </w:rPr>
        <w:t>、学生培养、服务社会的能力均有所提高。</w:t>
      </w:r>
    </w:p>
    <w:p w14:paraId="18762B4E">
      <w:pPr>
        <w:keepNext w:val="0"/>
        <w:keepLines w:val="0"/>
        <w:pageBreakBefore w:val="0"/>
        <w:widowControl w:val="0"/>
        <w:kinsoku/>
        <w:wordWrap/>
        <w:overflowPunct/>
        <w:topLinePunct w:val="0"/>
        <w:autoSpaceDE/>
        <w:autoSpaceDN/>
        <w:bidi w:val="0"/>
        <w:adjustRightInd/>
        <w:snapToGrid/>
        <w:spacing w:before="157" w:beforeLines="50"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5532510">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ascii="仿宋" w:hAnsi="仿宋" w:eastAsia="仿宋" w:cs="黑体"/>
          <w:b/>
          <w:bCs/>
          <w:sz w:val="32"/>
          <w:szCs w:val="32"/>
        </w:rPr>
      </w:pPr>
      <w:r>
        <w:rPr>
          <w:rFonts w:hint="eastAsia" w:ascii="仿宋" w:hAnsi="仿宋" w:eastAsia="仿宋" w:cs="黑体"/>
          <w:b/>
          <w:bCs/>
          <w:sz w:val="32"/>
          <w:szCs w:val="32"/>
        </w:rPr>
        <w:t>1</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提高录取率及生源质量，提升就业率和就业质量</w:t>
      </w:r>
    </w:p>
    <w:p w14:paraId="3DB0B8C8">
      <w:pPr>
        <w:pStyle w:val="7"/>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黑体"/>
          <w:b/>
          <w:bCs/>
          <w:sz w:val="32"/>
          <w:szCs w:val="32"/>
        </w:rPr>
      </w:pPr>
      <w:r>
        <w:rPr>
          <w:rFonts w:hint="eastAsia" w:ascii="仿宋" w:hAnsi="仿宋" w:eastAsia="仿宋"/>
          <w:sz w:val="32"/>
          <w:szCs w:val="32"/>
        </w:rPr>
        <w:t>2024年完成了普通全日制（三年制）2500个招生计划，实际录取100%，转段录取中高职“3+2”贯通培养学生63人，实际报到</w:t>
      </w:r>
      <w:r>
        <w:rPr>
          <w:rFonts w:hint="eastAsia" w:ascii="仿宋" w:hAnsi="仿宋" w:eastAsia="仿宋"/>
          <w:sz w:val="32"/>
          <w:szCs w:val="32"/>
          <w:lang w:val="en-US" w:eastAsia="zh-CN"/>
        </w:rPr>
        <w:t>2500</w:t>
      </w:r>
      <w:r>
        <w:rPr>
          <w:rFonts w:hint="eastAsia" w:ascii="仿宋" w:hAnsi="仿宋" w:eastAsia="仿宋"/>
          <w:sz w:val="32"/>
          <w:szCs w:val="32"/>
        </w:rPr>
        <w:t>人，新生报到率</w:t>
      </w:r>
      <w:r>
        <w:rPr>
          <w:rFonts w:hint="eastAsia" w:ascii="仿宋" w:hAnsi="仿宋" w:eastAsia="仿宋"/>
          <w:sz w:val="32"/>
          <w:szCs w:val="32"/>
          <w:lang w:val="en-US" w:eastAsia="zh-CN"/>
        </w:rPr>
        <w:t>97.54</w:t>
      </w:r>
      <w:r>
        <w:rPr>
          <w:rFonts w:hint="eastAsia" w:ascii="仿宋" w:hAnsi="仿宋" w:eastAsia="仿宋"/>
          <w:sz w:val="32"/>
          <w:szCs w:val="32"/>
        </w:rPr>
        <w:t>%。2024年平均就业率达90.76%。</w:t>
      </w:r>
    </w:p>
    <w:p w14:paraId="39B0C057">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cs="黑体"/>
          <w:b/>
          <w:bCs/>
          <w:sz w:val="32"/>
          <w:szCs w:val="32"/>
        </w:rPr>
        <w:t>2</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推进课程建设，加强实践教学资源统筹使用，提高精品资源建设水平</w:t>
      </w:r>
    </w:p>
    <w:p w14:paraId="5A51ACCA">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sz w:val="32"/>
          <w:szCs w:val="32"/>
        </w:rPr>
      </w:pPr>
      <w:r>
        <w:rPr>
          <w:rFonts w:hint="eastAsia" w:ascii="仿宋" w:hAnsi="仿宋" w:eastAsia="仿宋"/>
          <w:sz w:val="32"/>
          <w:szCs w:val="32"/>
        </w:rPr>
        <w:t>进一步推进院级精品在线开放课程建设与应用；推进省级立项项目的建设。</w:t>
      </w:r>
    </w:p>
    <w:p w14:paraId="2E8F6D25">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sz w:val="32"/>
          <w:szCs w:val="32"/>
        </w:rPr>
      </w:pPr>
      <w:r>
        <w:rPr>
          <w:rFonts w:hint="eastAsia" w:ascii="仿宋" w:hAnsi="仿宋" w:eastAsia="仿宋"/>
          <w:sz w:val="32"/>
          <w:szCs w:val="32"/>
        </w:rPr>
        <w:t>本年度选派教师参加各种会议培训321人次，组织6个团队参加河北省教师教学能力大赛。支持教学单位印制各种教学相关文件、材料，组织专业年审活动，12门在线开放精品课程资源已基本建设完成，6本校企双元开发教材已公开出版，其中1本获评河北省规划教材。</w:t>
      </w:r>
    </w:p>
    <w:p w14:paraId="7944510F">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ascii="仿宋" w:hAnsi="仿宋" w:eastAsia="仿宋" w:cs="黑体"/>
          <w:b/>
          <w:bCs/>
          <w:sz w:val="32"/>
          <w:szCs w:val="32"/>
        </w:rPr>
      </w:pPr>
      <w:r>
        <w:rPr>
          <w:rFonts w:hint="eastAsia" w:ascii="仿宋" w:hAnsi="仿宋" w:eastAsia="仿宋" w:cs="黑体"/>
          <w:b/>
          <w:bCs/>
          <w:sz w:val="32"/>
          <w:szCs w:val="32"/>
        </w:rPr>
        <w:t>3</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凝练提升省级教育教学成果</w:t>
      </w:r>
    </w:p>
    <w:p w14:paraId="511138D4">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sz w:val="32"/>
          <w:szCs w:val="32"/>
        </w:rPr>
      </w:pPr>
      <w:r>
        <w:rPr>
          <w:rFonts w:hint="eastAsia" w:ascii="仿宋" w:hAnsi="仿宋" w:eastAsia="仿宋"/>
          <w:sz w:val="32"/>
          <w:szCs w:val="32"/>
        </w:rPr>
        <w:t>2024年完成省级课题立项13项，市级课题立项23项，均为校外课题。2024年教科研培训与学术交流6次，举办教学能力比赛、新入职教师过关课等评比4次。教科研项目培育与支持5项。</w:t>
      </w:r>
    </w:p>
    <w:p w14:paraId="60320818">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ascii="仿宋" w:hAnsi="仿宋" w:eastAsia="仿宋" w:cs="黑体"/>
          <w:b/>
          <w:bCs/>
          <w:sz w:val="32"/>
          <w:szCs w:val="32"/>
        </w:rPr>
      </w:pPr>
      <w:r>
        <w:rPr>
          <w:rFonts w:hint="eastAsia" w:ascii="仿宋" w:hAnsi="仿宋" w:eastAsia="仿宋" w:cs="黑体"/>
          <w:b/>
          <w:bCs/>
          <w:sz w:val="32"/>
          <w:szCs w:val="32"/>
        </w:rPr>
        <w:t>4</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积极搭建平台，做好教科研成果的选拔和培育</w:t>
      </w:r>
      <w:r>
        <w:rPr>
          <w:rFonts w:hint="eastAsia" w:ascii="仿宋" w:hAnsi="仿宋" w:eastAsia="仿宋" w:cs="黑体"/>
          <w:b/>
          <w:bCs/>
          <w:sz w:val="32"/>
          <w:szCs w:val="32"/>
          <w:lang w:eastAsia="zh-CN"/>
        </w:rPr>
        <w:t>，</w:t>
      </w:r>
      <w:r>
        <w:rPr>
          <w:rFonts w:hint="eastAsia" w:ascii="仿宋" w:hAnsi="仿宋" w:eastAsia="仿宋" w:cs="黑体"/>
          <w:b/>
          <w:bCs/>
          <w:sz w:val="32"/>
          <w:szCs w:val="32"/>
        </w:rPr>
        <w:t>完成教学能力大赛的选拔和推荐工作。</w:t>
      </w:r>
    </w:p>
    <w:p w14:paraId="410EA763">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sz w:val="32"/>
          <w:szCs w:val="32"/>
        </w:rPr>
      </w:pPr>
      <w:r>
        <w:rPr>
          <w:rFonts w:hint="eastAsia" w:ascii="仿宋" w:hAnsi="仿宋" w:eastAsia="仿宋"/>
          <w:sz w:val="32"/>
          <w:szCs w:val="32"/>
        </w:rPr>
        <w:t>依据河北省教育厅《关于公布2024年河北省职业校校技能大赛教学能力比赛结果的通知》要求，组织参加2024年度省级教学能力比赛，共推荐6个作品且全部获奖。其中，二等奖4项，三等奖2项。我校“校级、省级、国家级”三级教学能力比赛机制已经形成。</w:t>
      </w:r>
    </w:p>
    <w:p w14:paraId="384F0E43">
      <w:pPr>
        <w:pStyle w:val="7"/>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sz w:val="32"/>
          <w:szCs w:val="32"/>
        </w:rPr>
      </w:pPr>
      <w:r>
        <w:rPr>
          <w:rFonts w:hint="eastAsia" w:ascii="仿宋" w:hAnsi="仿宋" w:eastAsia="仿宋"/>
          <w:sz w:val="32"/>
          <w:szCs w:val="32"/>
        </w:rPr>
        <w:t>本年度我校教师申报省市级课题88项，立36项，结22项。课题质量和申报级别有明显提高。发布2024年度校级课题指南并完成校级课题的征集工作。</w:t>
      </w:r>
    </w:p>
    <w:p w14:paraId="005DD43D">
      <w:pPr>
        <w:pStyle w:val="7"/>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ind w:left="720" w:leftChars="0"/>
        <w:textAlignment w:val="auto"/>
        <w:rPr>
          <w:rFonts w:ascii="仿宋" w:hAnsi="仿宋" w:eastAsia="仿宋" w:cs="黑体"/>
          <w:b/>
          <w:bCs/>
          <w:sz w:val="32"/>
          <w:szCs w:val="32"/>
        </w:rPr>
      </w:pPr>
      <w:r>
        <w:rPr>
          <w:rFonts w:hint="eastAsia" w:ascii="仿宋" w:hAnsi="仿宋" w:eastAsia="仿宋" w:cs="黑体"/>
          <w:b/>
          <w:bCs/>
          <w:sz w:val="32"/>
          <w:szCs w:val="32"/>
          <w:lang w:val="en-US" w:eastAsia="zh-CN"/>
        </w:rPr>
        <w:t>5.</w:t>
      </w:r>
      <w:r>
        <w:rPr>
          <w:rFonts w:hint="eastAsia" w:ascii="仿宋" w:hAnsi="仿宋" w:eastAsia="仿宋" w:cs="黑体"/>
          <w:b/>
          <w:bCs/>
          <w:sz w:val="32"/>
          <w:szCs w:val="32"/>
        </w:rPr>
        <w:t>改善办学条件，逐步扩大培养规模</w:t>
      </w:r>
    </w:p>
    <w:p w14:paraId="1119F78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w:t>
      </w:r>
      <w:r>
        <w:rPr>
          <w:rFonts w:hint="default" w:ascii="仿宋_GB2312" w:hAnsi="仿宋_GB2312" w:eastAsia="仿宋_GB2312" w:cs="仿宋_GB2312"/>
          <w:kern w:val="2"/>
          <w:sz w:val="32"/>
          <w:szCs w:val="32"/>
          <w:lang w:val="en-US" w:eastAsia="zh-CN" w:bidi="ar-SA"/>
        </w:rPr>
        <w:t>4</w:t>
      </w:r>
      <w:r>
        <w:rPr>
          <w:rFonts w:hint="eastAsia" w:ascii="仿宋_GB2312" w:hAnsi="仿宋_GB2312" w:eastAsia="仿宋_GB2312" w:cs="仿宋_GB2312"/>
          <w:kern w:val="2"/>
          <w:sz w:val="32"/>
          <w:szCs w:val="32"/>
          <w:lang w:val="en-US" w:eastAsia="zh-CN" w:bidi="ar-SA"/>
        </w:rPr>
        <w:t>年，建设了校园能源智能管控系统二期，全面实现校园水电能源的信息化、精细化管理</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对校园线路进行了改造，将所有楼宇飞线入地，彻底解决了校园线路不规范问题</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将所有能升级的门锁全部升级为智能门锁，结合我校全量数据平台等软件系统，实现了“线上一码通，线下一卡通”</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新装四六级听力考试设备21套，满足了四六级考试工作需要</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新增专业录音设备，满足了专业录音需求</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根据我校网络安全实际情况，将我校总出口防火墙升级成为下一代防火墙，确保了网络的安全运行</w:t>
      </w:r>
      <w:r>
        <w:rPr>
          <w:rFonts w:hint="default" w:ascii="仿宋_GB2312" w:hAnsi="仿宋_GB2312" w:eastAsia="仿宋_GB2312" w:cs="仿宋_GB2312"/>
          <w:kern w:val="2"/>
          <w:sz w:val="32"/>
          <w:szCs w:val="32"/>
          <w:lang w:val="en-US" w:eastAsia="zh-CN" w:bidi="ar-SA"/>
        </w:rPr>
        <w:t>;</w:t>
      </w:r>
      <w:r>
        <w:rPr>
          <w:rFonts w:hint="eastAsia" w:ascii="仿宋" w:hAnsi="仿宋" w:eastAsia="仿宋" w:cs="仿宋"/>
          <w:kern w:val="2"/>
          <w:sz w:val="32"/>
          <w:szCs w:val="32"/>
          <w:lang w:val="en-US" w:eastAsia="zh-CN" w:bidi="ar-SA"/>
        </w:rPr>
        <w:t>完成了培训住宿设备提升工作，对笃行1号楼设备、环境进行了全面提升，满足了继续教育中心的培训住宿设备需求</w:t>
      </w:r>
      <w:r>
        <w:rPr>
          <w:rFonts w:hint="default"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完成了培训教学设备提升工作，完成了一二报告厅桌椅、各个教学楼LED灯、多媒体设备建设，满足了培训和教学工作需求</w:t>
      </w:r>
      <w:r>
        <w:rPr>
          <w:rFonts w:hint="default"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对礼堂环境进行提升，更新了礼堂一楼陈旧空调，将礼堂二楼天花板更换为防水天花板解决天花板夏季受潮脱落问题</w:t>
      </w:r>
      <w:r>
        <w:rPr>
          <w:rFonts w:hint="default" w:ascii="仿宋" w:hAnsi="仿宋" w:eastAsia="仿宋" w:cs="仿宋"/>
          <w:kern w:val="2"/>
          <w:sz w:val="32"/>
          <w:szCs w:val="32"/>
          <w:lang w:val="en-US" w:eastAsia="zh-CN" w:bidi="ar-SA"/>
        </w:rPr>
        <w:t>;</w:t>
      </w:r>
      <w:r>
        <w:rPr>
          <w:rFonts w:hint="eastAsia" w:ascii="仿宋" w:hAnsi="仿宋" w:eastAsia="仿宋" w:cs="仿宋"/>
          <w:iCs/>
          <w:sz w:val="32"/>
          <w:szCs w:val="32"/>
          <w:lang w:val="en-US" w:eastAsia="zh-CN"/>
        </w:rPr>
        <w:t>为图书馆扩充了智慧图书馆设备，满足了图书馆的工作需要</w:t>
      </w:r>
      <w:r>
        <w:rPr>
          <w:rFonts w:hint="default" w:ascii="仿宋" w:hAnsi="仿宋" w:eastAsia="仿宋" w:cs="仿宋"/>
          <w:iCs/>
          <w:sz w:val="32"/>
          <w:szCs w:val="32"/>
          <w:lang w:val="en-US" w:eastAsia="zh-CN"/>
        </w:rPr>
        <w:t>;</w:t>
      </w:r>
      <w:r>
        <w:rPr>
          <w:rFonts w:hint="eastAsia" w:ascii="仿宋" w:hAnsi="仿宋" w:eastAsia="仿宋" w:cs="仿宋"/>
          <w:iCs/>
          <w:sz w:val="32"/>
          <w:szCs w:val="32"/>
          <w:lang w:val="en-US" w:eastAsia="zh-CN"/>
        </w:rPr>
        <w:t>升级了广播站音响设备，解决了广播站音响设备存在的问题，满足了校园广播的需要。</w:t>
      </w:r>
    </w:p>
    <w:p w14:paraId="7AA5A8BC">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 w:hAnsi="仿宋" w:eastAsia="仿宋" w:cs="仿宋"/>
          <w:iCs/>
          <w:sz w:val="32"/>
          <w:szCs w:val="32"/>
          <w:lang w:val="en-US" w:eastAsia="zh-CN"/>
        </w:rPr>
        <w:t>建设了网络教学培训平台二期，满足了继续教育中心等相关部门的网络教学、管理等相关工作需求</w:t>
      </w:r>
      <w:r>
        <w:rPr>
          <w:rFonts w:hint="default" w:ascii="仿宋" w:hAnsi="仿宋" w:eastAsia="仿宋" w:cs="仿宋"/>
          <w:iCs/>
          <w:sz w:val="32"/>
          <w:szCs w:val="32"/>
          <w:lang w:val="en-US" w:eastAsia="zh-CN"/>
        </w:rPr>
        <w:t>;</w:t>
      </w:r>
      <w:r>
        <w:rPr>
          <w:rFonts w:hint="eastAsia" w:ascii="仿宋" w:hAnsi="仿宋" w:eastAsia="仿宋" w:cs="仿宋"/>
          <w:i w:val="0"/>
          <w:iCs w:val="0"/>
          <w:color w:val="000000"/>
          <w:kern w:val="0"/>
          <w:sz w:val="32"/>
          <w:szCs w:val="32"/>
          <w:u w:val="none"/>
          <w:lang w:val="en-US" w:eastAsia="zh-CN" w:bidi="ar"/>
        </w:rPr>
        <w:t>建设了思政课实践教学平台二期，</w:t>
      </w:r>
      <w:r>
        <w:rPr>
          <w:rFonts w:hint="eastAsia" w:ascii="仿宋" w:hAnsi="仿宋" w:eastAsia="仿宋" w:cs="仿宋"/>
          <w:iCs/>
          <w:sz w:val="32"/>
          <w:szCs w:val="32"/>
          <w:lang w:val="en-US" w:eastAsia="zh-CN"/>
        </w:rPr>
        <w:t>满足了马院</w:t>
      </w:r>
      <w:r>
        <w:rPr>
          <w:rFonts w:hint="eastAsia" w:ascii="仿宋" w:hAnsi="仿宋" w:eastAsia="仿宋" w:cs="仿宋"/>
          <w:i w:val="0"/>
          <w:iCs w:val="0"/>
          <w:color w:val="000000"/>
          <w:kern w:val="0"/>
          <w:sz w:val="32"/>
          <w:szCs w:val="32"/>
          <w:u w:val="none"/>
          <w:lang w:val="en-US" w:eastAsia="zh-CN" w:bidi="ar"/>
        </w:rPr>
        <w:t>思政课线上教学、培训的使用需求</w:t>
      </w:r>
      <w:r>
        <w:rPr>
          <w:rFonts w:hint="default" w:ascii="仿宋" w:hAnsi="仿宋" w:eastAsia="仿宋" w:cs="仿宋"/>
          <w:i w:val="0"/>
          <w:iCs w:val="0"/>
          <w:color w:val="000000"/>
          <w:kern w:val="0"/>
          <w:sz w:val="32"/>
          <w:szCs w:val="32"/>
          <w:u w:val="none"/>
          <w:lang w:val="en-US" w:eastAsia="zh-CN" w:bidi="ar"/>
        </w:rPr>
        <w:t>;</w:t>
      </w:r>
      <w:r>
        <w:rPr>
          <w:rFonts w:hint="eastAsia" w:ascii="仿宋_GB2312" w:hAnsi="仿宋_GB2312" w:eastAsia="仿宋_GB2312" w:cs="仿宋_GB2312"/>
          <w:kern w:val="2"/>
          <w:sz w:val="32"/>
          <w:szCs w:val="32"/>
          <w:lang w:val="en-US" w:eastAsia="zh-CN" w:bidi="ar-SA"/>
        </w:rPr>
        <w:t>建设了教务系统二期，进一步扩展完善了教务系统功能，更好的满足了教务管理需求</w:t>
      </w:r>
      <w:r>
        <w:rPr>
          <w:rFonts w:hint="default" w:ascii="仿宋_GB2312" w:hAnsi="仿宋_GB2312" w:eastAsia="仿宋_GB2312" w:cs="仿宋_GB2312"/>
          <w:kern w:val="2"/>
          <w:sz w:val="32"/>
          <w:szCs w:val="32"/>
          <w:lang w:val="en-US" w:eastAsia="zh-CN" w:bidi="ar-SA"/>
        </w:rPr>
        <w:t>;</w:t>
      </w:r>
      <w:r>
        <w:rPr>
          <w:rFonts w:hint="eastAsia" w:ascii="仿宋" w:hAnsi="仿宋" w:eastAsia="仿宋" w:cs="仿宋"/>
          <w:kern w:val="2"/>
          <w:sz w:val="32"/>
          <w:szCs w:val="32"/>
          <w:lang w:val="en-US" w:eastAsia="zh-CN" w:bidi="ar-SA"/>
        </w:rPr>
        <w:t>建设了</w:t>
      </w:r>
      <w:r>
        <w:rPr>
          <w:rFonts w:hint="eastAsia" w:ascii="仿宋" w:hAnsi="仿宋" w:eastAsia="仿宋" w:cs="仿宋"/>
          <w:i w:val="0"/>
          <w:iCs w:val="0"/>
          <w:color w:val="000000"/>
          <w:kern w:val="0"/>
          <w:sz w:val="32"/>
          <w:szCs w:val="32"/>
          <w:u w:val="none"/>
          <w:lang w:val="en-US" w:eastAsia="zh-CN" w:bidi="ar"/>
        </w:rPr>
        <w:t>就业跟踪系统二期，</w:t>
      </w:r>
      <w:r>
        <w:rPr>
          <w:rFonts w:hint="eastAsia" w:ascii="仿宋" w:hAnsi="仿宋" w:eastAsia="仿宋" w:cs="仿宋"/>
          <w:iCs/>
          <w:sz w:val="32"/>
          <w:szCs w:val="32"/>
          <w:lang w:val="en-US" w:eastAsia="zh-CN"/>
        </w:rPr>
        <w:t>满足了顶岗实习、就业跟踪等相关工作的使用需求</w:t>
      </w:r>
      <w:r>
        <w:rPr>
          <w:rFonts w:hint="default" w:ascii="仿宋" w:hAnsi="仿宋" w:eastAsia="仿宋" w:cs="仿宋"/>
          <w:iCs/>
          <w:sz w:val="32"/>
          <w:szCs w:val="32"/>
          <w:lang w:val="en-US" w:eastAsia="zh-CN"/>
        </w:rPr>
        <w:t>;</w:t>
      </w:r>
      <w:r>
        <w:rPr>
          <w:rFonts w:hint="eastAsia" w:ascii="仿宋_GB2312" w:hAnsi="仿宋_GB2312" w:eastAsia="仿宋_GB2312" w:cs="仿宋_GB2312"/>
          <w:kern w:val="2"/>
          <w:sz w:val="32"/>
          <w:szCs w:val="32"/>
          <w:lang w:val="en-US" w:eastAsia="zh-CN" w:bidi="ar-SA"/>
        </w:rPr>
        <w:t>升级了财务软件，满足了财务科的使用需求</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对全量平台与各应用系统的互联互通进行了完善，优化完善了各信息系统的相关功能，使各信息系统能更好的发挥作用。</w:t>
      </w:r>
    </w:p>
    <w:p w14:paraId="38CAD7B3">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3" w:firstLineChars="200"/>
        <w:textAlignment w:val="auto"/>
        <w:rPr>
          <w:rFonts w:ascii="仿宋" w:hAnsi="仿宋" w:eastAsia="仿宋"/>
          <w:b/>
          <w:bCs/>
          <w:sz w:val="32"/>
          <w:szCs w:val="32"/>
        </w:rPr>
      </w:pPr>
      <w:r>
        <w:rPr>
          <w:rFonts w:hint="eastAsia" w:ascii="仿宋" w:hAnsi="仿宋" w:eastAsia="仿宋"/>
          <w:b/>
          <w:bCs/>
          <w:sz w:val="32"/>
          <w:szCs w:val="32"/>
        </w:rPr>
        <w:t>6</w:t>
      </w:r>
      <w:r>
        <w:rPr>
          <w:rFonts w:hint="eastAsia" w:ascii="仿宋" w:hAnsi="仿宋" w:eastAsia="仿宋"/>
          <w:b/>
          <w:bCs/>
          <w:sz w:val="32"/>
          <w:szCs w:val="32"/>
          <w:lang w:val="en-US" w:eastAsia="zh-CN"/>
        </w:rPr>
        <w:t>.</w:t>
      </w:r>
      <w:r>
        <w:rPr>
          <w:rFonts w:hint="eastAsia" w:ascii="仿宋" w:hAnsi="仿宋" w:eastAsia="仿宋"/>
          <w:b/>
          <w:bCs/>
          <w:sz w:val="32"/>
          <w:szCs w:val="32"/>
        </w:rPr>
        <w:t>加强成人继续教育社会培训和工作, 提升社会服务能力</w:t>
      </w:r>
    </w:p>
    <w:p w14:paraId="3856407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举办“国培计划”河北省国培计划中小学幼儿园重点领域骨干教师培训项目、市级幼儿园骨干教师省内能力提升培训项目、县级幼儿园骨干教师省内能力提升培训项目，共培训学员1620名。举办石家庄市局直教育系统2024年新发展党员、发展对象培训班，培训学员63人。举办河北省退役军人培训就业中心退役士兵职业教育和技能培训班，培训学员34人。举办河北省2024年度职业院校教师素质提高计划国家级培训--中职课程实施能力提升（课程思政教育能力提升）项目，培训学员150人。</w:t>
      </w:r>
    </w:p>
    <w:p w14:paraId="1F7561D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国培计划”—中西部骨干项目,是教育部、财政部统筹规划和指导，中央财政专项支持的中小学幼儿园教师国家级培训计划，重点支持农村义务教育学校、幼儿园骨干教师、校园长和培训者深度培训，旨在通过示范引领和整体提升，为基础教育改革发展培养高端引领人才，为乡村振兴和农村教育改革发展提供坚强师资支撑。</w:t>
      </w:r>
    </w:p>
    <w:p w14:paraId="74291E4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石家庄市局直教育系统2024年新发展党员、发展对象培训班旨在深入学习贯彻党的二十大精神，扎实做好党纪学习教育相关工作，严把发展党员入口关、质量关，进一步加强对2023年新发展党员和2024年党员发展对象培养教育，全面做好新形势下党员发展工作。</w:t>
      </w:r>
    </w:p>
    <w:p w14:paraId="27E70A5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河北省退役军人培训就业中心退役士兵职业教育和技能培训班旨在进一步提高退役士兵的职业技能，帮助他们顺利实现从军营到职场的转变，提高就业竞争力，促进其稳定就业。</w:t>
      </w:r>
    </w:p>
    <w:p w14:paraId="53D647A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河北省职业院校教师素质提高计划国家级培训项目旨在提升职业院校教师的专业水平和教学能力，涵盖国家级和省级培训项目。河北省2024年度职业院校教师素质提高计划国家级培训共设五大类14个项目类别98个项目，涵盖三教改革研修、名师名校长培育、校企双向交流、必修项目、创新项目等。</w:t>
      </w:r>
    </w:p>
    <w:p w14:paraId="45A0A85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5D031F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根据部门职责定位和各项工作履职情况进行综合评价，我校预算项目综合绩效评价得分9</w:t>
      </w:r>
      <w:r>
        <w:rPr>
          <w:rFonts w:hint="eastAsia" w:ascii="仿宋" w:hAnsi="仿宋" w:eastAsia="仿宋"/>
          <w:sz w:val="32"/>
          <w:szCs w:val="32"/>
          <w:lang w:val="en-US" w:eastAsia="zh-CN"/>
        </w:rPr>
        <w:t>6</w:t>
      </w:r>
      <w:r>
        <w:rPr>
          <w:rFonts w:hint="eastAsia" w:ascii="仿宋" w:hAnsi="仿宋" w:eastAsia="仿宋"/>
          <w:sz w:val="32"/>
          <w:szCs w:val="32"/>
        </w:rPr>
        <w:t>分，等级为优秀。预算支出项目的预期绩效目标基本完成。</w:t>
      </w:r>
    </w:p>
    <w:p w14:paraId="6203589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F27C8F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588D1226">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我校在202</w:t>
      </w:r>
      <w:r>
        <w:rPr>
          <w:rFonts w:hint="eastAsia" w:ascii="仿宋" w:hAnsi="仿宋" w:eastAsia="仿宋"/>
          <w:sz w:val="32"/>
          <w:szCs w:val="32"/>
          <w:lang w:val="en-US" w:eastAsia="zh-CN"/>
        </w:rPr>
        <w:t>4</w:t>
      </w:r>
      <w:r>
        <w:rPr>
          <w:rFonts w:hint="eastAsia" w:ascii="仿宋" w:hAnsi="仿宋" w:eastAsia="仿宋"/>
          <w:sz w:val="32"/>
          <w:szCs w:val="32"/>
        </w:rPr>
        <w:t>年预算执行过程中</w:t>
      </w:r>
      <w:r>
        <w:rPr>
          <w:rFonts w:hint="eastAsia" w:ascii="仿宋" w:hAnsi="仿宋" w:eastAsia="仿宋"/>
          <w:sz w:val="32"/>
          <w:szCs w:val="32"/>
          <w:lang w:eastAsia="zh-CN"/>
        </w:rPr>
        <w:t>，</w:t>
      </w:r>
      <w:r>
        <w:rPr>
          <w:rFonts w:hint="eastAsia" w:ascii="仿宋" w:hAnsi="仿宋" w:eastAsia="仿宋"/>
          <w:sz w:val="32"/>
          <w:szCs w:val="32"/>
          <w:lang w:val="en-US" w:eastAsia="zh-CN"/>
        </w:rPr>
        <w:t>项目预算执行率达到99%及以上的项目共计16个，最低预算执行率41.61%，该项目为公务用车租赁费，执行率低原因是在2024年我单位平台租赁公车交回，</w:t>
      </w:r>
      <w:r>
        <w:rPr>
          <w:rFonts w:hint="eastAsia" w:ascii="仿宋" w:hAnsi="仿宋" w:eastAsia="仿宋"/>
          <w:sz w:val="32"/>
          <w:szCs w:val="32"/>
        </w:rPr>
        <w:t>故该项资金未完全支付</w:t>
      </w:r>
      <w:r>
        <w:rPr>
          <w:rFonts w:hint="eastAsia" w:ascii="仿宋" w:hAnsi="仿宋" w:eastAsia="仿宋"/>
          <w:sz w:val="32"/>
          <w:szCs w:val="32"/>
          <w:lang w:eastAsia="zh-CN"/>
        </w:rPr>
        <w:t>，</w:t>
      </w:r>
      <w:r>
        <w:rPr>
          <w:rFonts w:hint="eastAsia" w:ascii="仿宋" w:hAnsi="仿宋" w:eastAsia="仿宋"/>
          <w:sz w:val="32"/>
          <w:szCs w:val="32"/>
          <w:lang w:val="en-US" w:eastAsia="zh-CN"/>
        </w:rPr>
        <w:t>年末已交回财政。</w:t>
      </w:r>
    </w:p>
    <w:p w14:paraId="5B0F77A1">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sz w:val="32"/>
          <w:szCs w:val="32"/>
        </w:rPr>
      </w:pPr>
      <w:r>
        <w:rPr>
          <w:rFonts w:hint="eastAsia" w:ascii="楷体" w:hAnsi="楷体" w:eastAsia="楷体"/>
          <w:bCs/>
          <w:sz w:val="32"/>
          <w:szCs w:val="32"/>
        </w:rPr>
        <w:t>（二）针对问题提出具体的改进措施或建议</w:t>
      </w:r>
    </w:p>
    <w:p w14:paraId="4F1DB2E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通过对</w:t>
      </w:r>
      <w:r>
        <w:rPr>
          <w:rFonts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度各预算项目绩效自评结果对比倒查年初绩效目标设定质量情况，学校有些项目在设置绩效评价指标方面有欠缺，例如绩效目标设定方面目标指标填报方面，指标名称未使用指标化语言，缺少目标值设置等；绩效指标过于宽泛，界定过于模糊，指标目标值不清晰或不量化，今后在指标分解方面需要再细化。</w:t>
      </w:r>
    </w:p>
    <w:p w14:paraId="6614596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学</w:t>
      </w:r>
      <w:r>
        <w:rPr>
          <w:rFonts w:hint="eastAsia" w:ascii="仿宋" w:hAnsi="仿宋" w:eastAsia="仿宋"/>
          <w:sz w:val="32"/>
          <w:szCs w:val="32"/>
          <w:lang w:val="en-US" w:eastAsia="zh-CN"/>
        </w:rPr>
        <w:t>校</w:t>
      </w:r>
      <w:r>
        <w:rPr>
          <w:rFonts w:hint="eastAsia" w:ascii="仿宋" w:hAnsi="仿宋" w:eastAsia="仿宋"/>
          <w:sz w:val="32"/>
          <w:szCs w:val="32"/>
        </w:rPr>
        <w:t>通过开展预算项目绩效自评价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14:paraId="458F7690">
      <w:pPr>
        <w:adjustRightInd w:val="0"/>
        <w:snapToGrid w:val="0"/>
        <w:spacing w:line="560" w:lineRule="exact"/>
        <w:ind w:firstLine="640" w:firstLineChars="200"/>
        <w:rPr>
          <w:rFonts w:ascii="仿宋" w:hAnsi="仿宋" w:eastAsia="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EB97E">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F1B75D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420" w:firstLine="0"/>
      </w:pPr>
      <w:rPr>
        <w:rFonts w:hint="eastAsia"/>
      </w:rPr>
    </w:lvl>
  </w:abstractNum>
  <w:abstractNum w:abstractNumId="1">
    <w:nsid w:val="59D0CF0B"/>
    <w:multiLevelType w:val="singleLevel"/>
    <w:tmpl w:val="59D0CF0B"/>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BlODAwMzlkOTBmNTY5ODA5Mjc3YWJlNjA0ZmYyMGYifQ=="/>
  </w:docVars>
  <w:rsids>
    <w:rsidRoot w:val="0EBD2122"/>
    <w:rsid w:val="000166FF"/>
    <w:rsid w:val="000327D2"/>
    <w:rsid w:val="00045555"/>
    <w:rsid w:val="00082546"/>
    <w:rsid w:val="000A2D21"/>
    <w:rsid w:val="000B0260"/>
    <w:rsid w:val="00113744"/>
    <w:rsid w:val="00171FDB"/>
    <w:rsid w:val="001720BC"/>
    <w:rsid w:val="00172D97"/>
    <w:rsid w:val="001816C4"/>
    <w:rsid w:val="001B6476"/>
    <w:rsid w:val="001E185D"/>
    <w:rsid w:val="00207852"/>
    <w:rsid w:val="00221766"/>
    <w:rsid w:val="00221B44"/>
    <w:rsid w:val="00235787"/>
    <w:rsid w:val="00243F2E"/>
    <w:rsid w:val="00250626"/>
    <w:rsid w:val="002B0987"/>
    <w:rsid w:val="002F1055"/>
    <w:rsid w:val="002F138D"/>
    <w:rsid w:val="002F7214"/>
    <w:rsid w:val="00311823"/>
    <w:rsid w:val="00331813"/>
    <w:rsid w:val="003503C9"/>
    <w:rsid w:val="0038069D"/>
    <w:rsid w:val="00414210"/>
    <w:rsid w:val="0045776C"/>
    <w:rsid w:val="00524908"/>
    <w:rsid w:val="005574FC"/>
    <w:rsid w:val="00560344"/>
    <w:rsid w:val="00571729"/>
    <w:rsid w:val="005803D8"/>
    <w:rsid w:val="00590119"/>
    <w:rsid w:val="005A6913"/>
    <w:rsid w:val="005E0200"/>
    <w:rsid w:val="005F207F"/>
    <w:rsid w:val="00631834"/>
    <w:rsid w:val="006B37EF"/>
    <w:rsid w:val="006B6D1F"/>
    <w:rsid w:val="006D153E"/>
    <w:rsid w:val="006E6810"/>
    <w:rsid w:val="006F0AE5"/>
    <w:rsid w:val="006F6BAF"/>
    <w:rsid w:val="00710207"/>
    <w:rsid w:val="007228DC"/>
    <w:rsid w:val="0072565D"/>
    <w:rsid w:val="00741774"/>
    <w:rsid w:val="00772057"/>
    <w:rsid w:val="00774584"/>
    <w:rsid w:val="007824D0"/>
    <w:rsid w:val="007A08E4"/>
    <w:rsid w:val="007C6DD8"/>
    <w:rsid w:val="007D2FAC"/>
    <w:rsid w:val="007E6C1F"/>
    <w:rsid w:val="00815EF5"/>
    <w:rsid w:val="00870620"/>
    <w:rsid w:val="008B7506"/>
    <w:rsid w:val="008E4E25"/>
    <w:rsid w:val="008E53B6"/>
    <w:rsid w:val="009113EA"/>
    <w:rsid w:val="00916926"/>
    <w:rsid w:val="00923F4E"/>
    <w:rsid w:val="00956A93"/>
    <w:rsid w:val="00961636"/>
    <w:rsid w:val="009B6A67"/>
    <w:rsid w:val="009C6E6E"/>
    <w:rsid w:val="009E575C"/>
    <w:rsid w:val="00A13FA8"/>
    <w:rsid w:val="00A156F9"/>
    <w:rsid w:val="00A30478"/>
    <w:rsid w:val="00A3335C"/>
    <w:rsid w:val="00A4450E"/>
    <w:rsid w:val="00A45B9E"/>
    <w:rsid w:val="00A53DC4"/>
    <w:rsid w:val="00A779DE"/>
    <w:rsid w:val="00A83D22"/>
    <w:rsid w:val="00A95E1C"/>
    <w:rsid w:val="00AD3723"/>
    <w:rsid w:val="00AE4E5E"/>
    <w:rsid w:val="00AF167E"/>
    <w:rsid w:val="00AF566A"/>
    <w:rsid w:val="00B1175A"/>
    <w:rsid w:val="00B203D8"/>
    <w:rsid w:val="00B35A5E"/>
    <w:rsid w:val="00B41384"/>
    <w:rsid w:val="00B449B5"/>
    <w:rsid w:val="00B46FD3"/>
    <w:rsid w:val="00B478EA"/>
    <w:rsid w:val="00B6553A"/>
    <w:rsid w:val="00BB2573"/>
    <w:rsid w:val="00BC6576"/>
    <w:rsid w:val="00BF4F8B"/>
    <w:rsid w:val="00CD4865"/>
    <w:rsid w:val="00CE06BA"/>
    <w:rsid w:val="00CE5188"/>
    <w:rsid w:val="00D635FC"/>
    <w:rsid w:val="00D66534"/>
    <w:rsid w:val="00D926AA"/>
    <w:rsid w:val="00DA2BA7"/>
    <w:rsid w:val="00DB3890"/>
    <w:rsid w:val="00DD2633"/>
    <w:rsid w:val="00DF5FC9"/>
    <w:rsid w:val="00E013DC"/>
    <w:rsid w:val="00E3213F"/>
    <w:rsid w:val="00EA52FF"/>
    <w:rsid w:val="00EB68F0"/>
    <w:rsid w:val="00EC40DC"/>
    <w:rsid w:val="00F32E08"/>
    <w:rsid w:val="00F441CC"/>
    <w:rsid w:val="00F45BC2"/>
    <w:rsid w:val="00FE4904"/>
    <w:rsid w:val="00FF3FCA"/>
    <w:rsid w:val="00FF5D14"/>
    <w:rsid w:val="01675739"/>
    <w:rsid w:val="016F0A91"/>
    <w:rsid w:val="01AF6C93"/>
    <w:rsid w:val="01B104CA"/>
    <w:rsid w:val="01C54B55"/>
    <w:rsid w:val="01D628BE"/>
    <w:rsid w:val="02106AB0"/>
    <w:rsid w:val="023A2E4D"/>
    <w:rsid w:val="025739FF"/>
    <w:rsid w:val="02B43A28"/>
    <w:rsid w:val="02D84414"/>
    <w:rsid w:val="03800D34"/>
    <w:rsid w:val="03AA7B5F"/>
    <w:rsid w:val="03F9217A"/>
    <w:rsid w:val="04243DB5"/>
    <w:rsid w:val="0438160E"/>
    <w:rsid w:val="0466617C"/>
    <w:rsid w:val="04697A1A"/>
    <w:rsid w:val="046F331E"/>
    <w:rsid w:val="047563BF"/>
    <w:rsid w:val="049820AD"/>
    <w:rsid w:val="04D05CEB"/>
    <w:rsid w:val="04D07A99"/>
    <w:rsid w:val="04E15802"/>
    <w:rsid w:val="051C2CDE"/>
    <w:rsid w:val="052A53FB"/>
    <w:rsid w:val="05340028"/>
    <w:rsid w:val="058F34B0"/>
    <w:rsid w:val="06135E8F"/>
    <w:rsid w:val="06AB3F8A"/>
    <w:rsid w:val="072145DC"/>
    <w:rsid w:val="07260B56"/>
    <w:rsid w:val="077B0190"/>
    <w:rsid w:val="077C5CB6"/>
    <w:rsid w:val="078B414B"/>
    <w:rsid w:val="07956271"/>
    <w:rsid w:val="07DD49A7"/>
    <w:rsid w:val="07E31891"/>
    <w:rsid w:val="0817224F"/>
    <w:rsid w:val="08386081"/>
    <w:rsid w:val="084F5179"/>
    <w:rsid w:val="085409E1"/>
    <w:rsid w:val="0854453D"/>
    <w:rsid w:val="08626C5A"/>
    <w:rsid w:val="08F024B8"/>
    <w:rsid w:val="08F63846"/>
    <w:rsid w:val="0900752E"/>
    <w:rsid w:val="09721397"/>
    <w:rsid w:val="09954E0D"/>
    <w:rsid w:val="09A137B2"/>
    <w:rsid w:val="0A256191"/>
    <w:rsid w:val="0AA90B70"/>
    <w:rsid w:val="0ABA0FCF"/>
    <w:rsid w:val="0AE0030A"/>
    <w:rsid w:val="0AF73FD1"/>
    <w:rsid w:val="0B161F7E"/>
    <w:rsid w:val="0B8B471A"/>
    <w:rsid w:val="0BB63BED"/>
    <w:rsid w:val="0CB63A18"/>
    <w:rsid w:val="0CEF2A86"/>
    <w:rsid w:val="0D4032E2"/>
    <w:rsid w:val="0D5A43A4"/>
    <w:rsid w:val="0D7A4A46"/>
    <w:rsid w:val="0DC161D1"/>
    <w:rsid w:val="0DDD6D83"/>
    <w:rsid w:val="0DEB76F2"/>
    <w:rsid w:val="0DEE2D3E"/>
    <w:rsid w:val="0E1C3D4F"/>
    <w:rsid w:val="0E42322F"/>
    <w:rsid w:val="0E43752E"/>
    <w:rsid w:val="0E664FCA"/>
    <w:rsid w:val="0E686F94"/>
    <w:rsid w:val="0EB97A43"/>
    <w:rsid w:val="0EBD2122"/>
    <w:rsid w:val="0F214EAE"/>
    <w:rsid w:val="0F515C7A"/>
    <w:rsid w:val="0FDA17CC"/>
    <w:rsid w:val="11205904"/>
    <w:rsid w:val="11B71E6A"/>
    <w:rsid w:val="11C444E1"/>
    <w:rsid w:val="11C73FD2"/>
    <w:rsid w:val="1226519C"/>
    <w:rsid w:val="12486EC1"/>
    <w:rsid w:val="125A4E46"/>
    <w:rsid w:val="12900868"/>
    <w:rsid w:val="12B96010"/>
    <w:rsid w:val="12E3308D"/>
    <w:rsid w:val="12E81B6E"/>
    <w:rsid w:val="13031039"/>
    <w:rsid w:val="13053004"/>
    <w:rsid w:val="13054DB2"/>
    <w:rsid w:val="132F5608"/>
    <w:rsid w:val="135B2C24"/>
    <w:rsid w:val="13685340"/>
    <w:rsid w:val="1396715A"/>
    <w:rsid w:val="13D529D6"/>
    <w:rsid w:val="14341BE1"/>
    <w:rsid w:val="14506500"/>
    <w:rsid w:val="145A112D"/>
    <w:rsid w:val="146975C2"/>
    <w:rsid w:val="147C72F5"/>
    <w:rsid w:val="148B12E6"/>
    <w:rsid w:val="14F21366"/>
    <w:rsid w:val="159643E7"/>
    <w:rsid w:val="15E50ECA"/>
    <w:rsid w:val="15FF3D3A"/>
    <w:rsid w:val="16E318AE"/>
    <w:rsid w:val="17367C2F"/>
    <w:rsid w:val="17424826"/>
    <w:rsid w:val="1752433D"/>
    <w:rsid w:val="17683B61"/>
    <w:rsid w:val="176E561B"/>
    <w:rsid w:val="178A7F7B"/>
    <w:rsid w:val="178D5376"/>
    <w:rsid w:val="17EC02EE"/>
    <w:rsid w:val="17F17FFA"/>
    <w:rsid w:val="17FF2717"/>
    <w:rsid w:val="18155A97"/>
    <w:rsid w:val="18185587"/>
    <w:rsid w:val="181D0DEF"/>
    <w:rsid w:val="187D53EA"/>
    <w:rsid w:val="192F0DDA"/>
    <w:rsid w:val="193F08F1"/>
    <w:rsid w:val="196A0064"/>
    <w:rsid w:val="19742C91"/>
    <w:rsid w:val="1981715C"/>
    <w:rsid w:val="198A4263"/>
    <w:rsid w:val="19D92AF4"/>
    <w:rsid w:val="19EE2A43"/>
    <w:rsid w:val="1A045DC3"/>
    <w:rsid w:val="1A09162B"/>
    <w:rsid w:val="1A162614"/>
    <w:rsid w:val="1A1E49AB"/>
    <w:rsid w:val="1A312930"/>
    <w:rsid w:val="1A606D71"/>
    <w:rsid w:val="1A9F5AEC"/>
    <w:rsid w:val="1AAF0063"/>
    <w:rsid w:val="1AB64BE3"/>
    <w:rsid w:val="1B46240B"/>
    <w:rsid w:val="1B4B5C73"/>
    <w:rsid w:val="1B7F1479"/>
    <w:rsid w:val="1BB455C7"/>
    <w:rsid w:val="1BE140DE"/>
    <w:rsid w:val="1BEE6D2B"/>
    <w:rsid w:val="1C3B5CE8"/>
    <w:rsid w:val="1C817B9F"/>
    <w:rsid w:val="1CB6536F"/>
    <w:rsid w:val="1CF10155"/>
    <w:rsid w:val="1D244E85"/>
    <w:rsid w:val="1D2F75FB"/>
    <w:rsid w:val="1D3F35B6"/>
    <w:rsid w:val="1D7A45EE"/>
    <w:rsid w:val="1E5D3CF4"/>
    <w:rsid w:val="1E674B72"/>
    <w:rsid w:val="1EB678A8"/>
    <w:rsid w:val="1EFD1033"/>
    <w:rsid w:val="1F226CEB"/>
    <w:rsid w:val="1F3031B6"/>
    <w:rsid w:val="1F552C1D"/>
    <w:rsid w:val="1F576995"/>
    <w:rsid w:val="1F615A66"/>
    <w:rsid w:val="1FBB33C8"/>
    <w:rsid w:val="203171E6"/>
    <w:rsid w:val="20586E69"/>
    <w:rsid w:val="208D63E6"/>
    <w:rsid w:val="20B50658"/>
    <w:rsid w:val="20DB35F6"/>
    <w:rsid w:val="210668C5"/>
    <w:rsid w:val="214473ED"/>
    <w:rsid w:val="21470C8B"/>
    <w:rsid w:val="21681D2D"/>
    <w:rsid w:val="216B6728"/>
    <w:rsid w:val="219D08AB"/>
    <w:rsid w:val="21A47E8B"/>
    <w:rsid w:val="21E14C3C"/>
    <w:rsid w:val="21E169EA"/>
    <w:rsid w:val="21FC7CC7"/>
    <w:rsid w:val="22140B6D"/>
    <w:rsid w:val="2234120F"/>
    <w:rsid w:val="223B07F0"/>
    <w:rsid w:val="228F4698"/>
    <w:rsid w:val="22910410"/>
    <w:rsid w:val="22EE7610"/>
    <w:rsid w:val="23A67EEB"/>
    <w:rsid w:val="23D5432C"/>
    <w:rsid w:val="23F70746"/>
    <w:rsid w:val="243C25FD"/>
    <w:rsid w:val="24637B8A"/>
    <w:rsid w:val="248C197D"/>
    <w:rsid w:val="24A24B56"/>
    <w:rsid w:val="24D171E9"/>
    <w:rsid w:val="25165919"/>
    <w:rsid w:val="25201F1F"/>
    <w:rsid w:val="252959AF"/>
    <w:rsid w:val="25583467"/>
    <w:rsid w:val="25641E0C"/>
    <w:rsid w:val="264D6D44"/>
    <w:rsid w:val="26BC17D3"/>
    <w:rsid w:val="26E8081A"/>
    <w:rsid w:val="27005B64"/>
    <w:rsid w:val="270A253F"/>
    <w:rsid w:val="270D0281"/>
    <w:rsid w:val="27280C17"/>
    <w:rsid w:val="277A6671"/>
    <w:rsid w:val="27E92A9C"/>
    <w:rsid w:val="27FC457D"/>
    <w:rsid w:val="27FD02F5"/>
    <w:rsid w:val="289C3E6E"/>
    <w:rsid w:val="28B906C0"/>
    <w:rsid w:val="292D35B7"/>
    <w:rsid w:val="299E4519"/>
    <w:rsid w:val="29CE1F49"/>
    <w:rsid w:val="2A6D3510"/>
    <w:rsid w:val="2B125E66"/>
    <w:rsid w:val="2B634913"/>
    <w:rsid w:val="2B7B1C5D"/>
    <w:rsid w:val="2B852ADC"/>
    <w:rsid w:val="2B8C5C18"/>
    <w:rsid w:val="2C321EF9"/>
    <w:rsid w:val="2C970D19"/>
    <w:rsid w:val="2C98683F"/>
    <w:rsid w:val="2D8A43D9"/>
    <w:rsid w:val="2E0917A2"/>
    <w:rsid w:val="2E344345"/>
    <w:rsid w:val="2E4722CA"/>
    <w:rsid w:val="2E516CA5"/>
    <w:rsid w:val="2E6C3ADF"/>
    <w:rsid w:val="2E876B6B"/>
    <w:rsid w:val="2EAA08FD"/>
    <w:rsid w:val="2EB77450"/>
    <w:rsid w:val="2EB86D24"/>
    <w:rsid w:val="2EF20488"/>
    <w:rsid w:val="2F5729E1"/>
    <w:rsid w:val="2F634EE2"/>
    <w:rsid w:val="2F7013AD"/>
    <w:rsid w:val="2F7B222C"/>
    <w:rsid w:val="2F963509"/>
    <w:rsid w:val="303348B4"/>
    <w:rsid w:val="30696528"/>
    <w:rsid w:val="306B6744"/>
    <w:rsid w:val="3086532C"/>
    <w:rsid w:val="30EC0F07"/>
    <w:rsid w:val="30F32296"/>
    <w:rsid w:val="31BD2FCF"/>
    <w:rsid w:val="31D56F89"/>
    <w:rsid w:val="31E63BA8"/>
    <w:rsid w:val="31FE0EF2"/>
    <w:rsid w:val="321B7CF6"/>
    <w:rsid w:val="32244DFC"/>
    <w:rsid w:val="328C29A2"/>
    <w:rsid w:val="32BD6FFF"/>
    <w:rsid w:val="32BF0681"/>
    <w:rsid w:val="32DD4FAB"/>
    <w:rsid w:val="32EE71B8"/>
    <w:rsid w:val="333F5C66"/>
    <w:rsid w:val="335C6818"/>
    <w:rsid w:val="3361798A"/>
    <w:rsid w:val="336851BD"/>
    <w:rsid w:val="3369683F"/>
    <w:rsid w:val="33A15FD9"/>
    <w:rsid w:val="33C5616B"/>
    <w:rsid w:val="33EB6CFF"/>
    <w:rsid w:val="3402116D"/>
    <w:rsid w:val="34727975"/>
    <w:rsid w:val="34784F8C"/>
    <w:rsid w:val="34A22009"/>
    <w:rsid w:val="354457B6"/>
    <w:rsid w:val="3566572C"/>
    <w:rsid w:val="35957DBF"/>
    <w:rsid w:val="35A12947"/>
    <w:rsid w:val="35BC70FA"/>
    <w:rsid w:val="362F1FC2"/>
    <w:rsid w:val="36681030"/>
    <w:rsid w:val="368D6CE8"/>
    <w:rsid w:val="36A24542"/>
    <w:rsid w:val="37144D14"/>
    <w:rsid w:val="371F3DE4"/>
    <w:rsid w:val="37387040"/>
    <w:rsid w:val="375810A4"/>
    <w:rsid w:val="377063EE"/>
    <w:rsid w:val="377D0B0B"/>
    <w:rsid w:val="37E1109A"/>
    <w:rsid w:val="383C2774"/>
    <w:rsid w:val="38997BC6"/>
    <w:rsid w:val="389D1465"/>
    <w:rsid w:val="38AC78FA"/>
    <w:rsid w:val="390A4620"/>
    <w:rsid w:val="392B4CC2"/>
    <w:rsid w:val="3942025E"/>
    <w:rsid w:val="3971469F"/>
    <w:rsid w:val="399565E0"/>
    <w:rsid w:val="3A575643"/>
    <w:rsid w:val="3AB605BC"/>
    <w:rsid w:val="3B625C0A"/>
    <w:rsid w:val="3B90705F"/>
    <w:rsid w:val="3BA743A8"/>
    <w:rsid w:val="3BCC2061"/>
    <w:rsid w:val="3BFD046C"/>
    <w:rsid w:val="3C3245BA"/>
    <w:rsid w:val="3C8D359E"/>
    <w:rsid w:val="3CCF005B"/>
    <w:rsid w:val="3CEC4769"/>
    <w:rsid w:val="3CEE1963"/>
    <w:rsid w:val="3CF03B2D"/>
    <w:rsid w:val="3D0715A3"/>
    <w:rsid w:val="3DA05553"/>
    <w:rsid w:val="3E047890"/>
    <w:rsid w:val="3E126451"/>
    <w:rsid w:val="3EEF22EE"/>
    <w:rsid w:val="3F2226C4"/>
    <w:rsid w:val="3F544847"/>
    <w:rsid w:val="3F95733A"/>
    <w:rsid w:val="3FD02D5B"/>
    <w:rsid w:val="3FFA719D"/>
    <w:rsid w:val="40061FE5"/>
    <w:rsid w:val="40AF61D9"/>
    <w:rsid w:val="40BE641C"/>
    <w:rsid w:val="40E816EB"/>
    <w:rsid w:val="40F260C6"/>
    <w:rsid w:val="41436921"/>
    <w:rsid w:val="41886A2A"/>
    <w:rsid w:val="41943621"/>
    <w:rsid w:val="42255C34"/>
    <w:rsid w:val="425608D6"/>
    <w:rsid w:val="425C5EED"/>
    <w:rsid w:val="425F778B"/>
    <w:rsid w:val="43095949"/>
    <w:rsid w:val="439671DC"/>
    <w:rsid w:val="43A0005B"/>
    <w:rsid w:val="43AD2778"/>
    <w:rsid w:val="43B356AC"/>
    <w:rsid w:val="444C3D3F"/>
    <w:rsid w:val="446F7A2D"/>
    <w:rsid w:val="447C0AC8"/>
    <w:rsid w:val="447D214A"/>
    <w:rsid w:val="44A818BD"/>
    <w:rsid w:val="44B55D88"/>
    <w:rsid w:val="44D73F50"/>
    <w:rsid w:val="44DC50C3"/>
    <w:rsid w:val="44DE708D"/>
    <w:rsid w:val="44FC7513"/>
    <w:rsid w:val="450F36EA"/>
    <w:rsid w:val="451C1963"/>
    <w:rsid w:val="45921C25"/>
    <w:rsid w:val="459E3CDB"/>
    <w:rsid w:val="45F428E0"/>
    <w:rsid w:val="4629258A"/>
    <w:rsid w:val="463762D1"/>
    <w:rsid w:val="464473C4"/>
    <w:rsid w:val="468123C6"/>
    <w:rsid w:val="46BA7686"/>
    <w:rsid w:val="46E97F6B"/>
    <w:rsid w:val="471A45C8"/>
    <w:rsid w:val="471F3237"/>
    <w:rsid w:val="47653A95"/>
    <w:rsid w:val="478D08F6"/>
    <w:rsid w:val="47A83982"/>
    <w:rsid w:val="47AB5220"/>
    <w:rsid w:val="47CA1B4A"/>
    <w:rsid w:val="47EF335F"/>
    <w:rsid w:val="48233009"/>
    <w:rsid w:val="48857523"/>
    <w:rsid w:val="488717E9"/>
    <w:rsid w:val="48A203D1"/>
    <w:rsid w:val="4AEF1862"/>
    <w:rsid w:val="4B1355B6"/>
    <w:rsid w:val="4B475260"/>
    <w:rsid w:val="4BE331DB"/>
    <w:rsid w:val="4C365A00"/>
    <w:rsid w:val="4C6836E0"/>
    <w:rsid w:val="4C7277D3"/>
    <w:rsid w:val="4C9C27FE"/>
    <w:rsid w:val="4CEC60BF"/>
    <w:rsid w:val="4D31441A"/>
    <w:rsid w:val="4D901140"/>
    <w:rsid w:val="4DB52955"/>
    <w:rsid w:val="4DE834C0"/>
    <w:rsid w:val="4E127DA7"/>
    <w:rsid w:val="4E265601"/>
    <w:rsid w:val="4E3E0BCD"/>
    <w:rsid w:val="4E8011B5"/>
    <w:rsid w:val="4E8A5B90"/>
    <w:rsid w:val="4EBE7F2F"/>
    <w:rsid w:val="4EC05A55"/>
    <w:rsid w:val="4F111E0D"/>
    <w:rsid w:val="4F1B712F"/>
    <w:rsid w:val="4F2A2ECF"/>
    <w:rsid w:val="4F3A5808"/>
    <w:rsid w:val="4F7F321A"/>
    <w:rsid w:val="4F886120"/>
    <w:rsid w:val="4FBD3D43"/>
    <w:rsid w:val="500B0F52"/>
    <w:rsid w:val="50A70C7B"/>
    <w:rsid w:val="50C51101"/>
    <w:rsid w:val="50E57CD8"/>
    <w:rsid w:val="50E61077"/>
    <w:rsid w:val="50F934A0"/>
    <w:rsid w:val="510A2FB8"/>
    <w:rsid w:val="510D2AA8"/>
    <w:rsid w:val="512260B4"/>
    <w:rsid w:val="5144296E"/>
    <w:rsid w:val="51BC0756"/>
    <w:rsid w:val="521560B8"/>
    <w:rsid w:val="523A167B"/>
    <w:rsid w:val="526F3A1A"/>
    <w:rsid w:val="52BD6ACB"/>
    <w:rsid w:val="52E00474"/>
    <w:rsid w:val="52F91536"/>
    <w:rsid w:val="53057EDB"/>
    <w:rsid w:val="53703F6E"/>
    <w:rsid w:val="541C372E"/>
    <w:rsid w:val="54C53DC5"/>
    <w:rsid w:val="54F00716"/>
    <w:rsid w:val="55537534"/>
    <w:rsid w:val="55B67488"/>
    <w:rsid w:val="55C45E2B"/>
    <w:rsid w:val="55D532B1"/>
    <w:rsid w:val="561A74F1"/>
    <w:rsid w:val="562E14F6"/>
    <w:rsid w:val="563C1E65"/>
    <w:rsid w:val="566118CC"/>
    <w:rsid w:val="567F1D52"/>
    <w:rsid w:val="568B4B9B"/>
    <w:rsid w:val="569357FD"/>
    <w:rsid w:val="56A63783"/>
    <w:rsid w:val="56B063AF"/>
    <w:rsid w:val="56FA587C"/>
    <w:rsid w:val="57C06AC6"/>
    <w:rsid w:val="5813309A"/>
    <w:rsid w:val="583F79EB"/>
    <w:rsid w:val="58584F50"/>
    <w:rsid w:val="58900246"/>
    <w:rsid w:val="58906498"/>
    <w:rsid w:val="58A41F44"/>
    <w:rsid w:val="58EC3954"/>
    <w:rsid w:val="58ED7447"/>
    <w:rsid w:val="590D7AE9"/>
    <w:rsid w:val="59401C6C"/>
    <w:rsid w:val="596B480F"/>
    <w:rsid w:val="59710078"/>
    <w:rsid w:val="59723DF0"/>
    <w:rsid w:val="597244E8"/>
    <w:rsid w:val="59CF4D9E"/>
    <w:rsid w:val="5A143065"/>
    <w:rsid w:val="5A146C55"/>
    <w:rsid w:val="5A1D5B0A"/>
    <w:rsid w:val="5A673229"/>
    <w:rsid w:val="5B0647F0"/>
    <w:rsid w:val="5CCC3817"/>
    <w:rsid w:val="5CD03307"/>
    <w:rsid w:val="5CFE45D1"/>
    <w:rsid w:val="5D885990"/>
    <w:rsid w:val="5DA14CA4"/>
    <w:rsid w:val="5DBA7B13"/>
    <w:rsid w:val="5E0D2339"/>
    <w:rsid w:val="5E2C27BF"/>
    <w:rsid w:val="5E521BBD"/>
    <w:rsid w:val="5EB71C30"/>
    <w:rsid w:val="5ED66BCF"/>
    <w:rsid w:val="5F221E14"/>
    <w:rsid w:val="5F3B6A32"/>
    <w:rsid w:val="601C4AB5"/>
    <w:rsid w:val="604F4E8B"/>
    <w:rsid w:val="60E03D35"/>
    <w:rsid w:val="613F0A5C"/>
    <w:rsid w:val="619743F4"/>
    <w:rsid w:val="619C4100"/>
    <w:rsid w:val="61A92379"/>
    <w:rsid w:val="626A7D5A"/>
    <w:rsid w:val="62A72D5C"/>
    <w:rsid w:val="62AA0157"/>
    <w:rsid w:val="62D022B3"/>
    <w:rsid w:val="632C3261"/>
    <w:rsid w:val="634E142A"/>
    <w:rsid w:val="6353259C"/>
    <w:rsid w:val="63715118"/>
    <w:rsid w:val="6383194F"/>
    <w:rsid w:val="6390559E"/>
    <w:rsid w:val="63B55005"/>
    <w:rsid w:val="643B7C00"/>
    <w:rsid w:val="646507D9"/>
    <w:rsid w:val="649966D5"/>
    <w:rsid w:val="64CA0F84"/>
    <w:rsid w:val="64CC2606"/>
    <w:rsid w:val="650A312E"/>
    <w:rsid w:val="65B25CA0"/>
    <w:rsid w:val="65F8567D"/>
    <w:rsid w:val="66061B48"/>
    <w:rsid w:val="667C005C"/>
    <w:rsid w:val="6683763C"/>
    <w:rsid w:val="66A575B3"/>
    <w:rsid w:val="66AC6B93"/>
    <w:rsid w:val="66AF0CE5"/>
    <w:rsid w:val="66FB3677"/>
    <w:rsid w:val="6736645D"/>
    <w:rsid w:val="68692862"/>
    <w:rsid w:val="68AF4719"/>
    <w:rsid w:val="68BF306D"/>
    <w:rsid w:val="68D93544"/>
    <w:rsid w:val="6905258B"/>
    <w:rsid w:val="693B0367"/>
    <w:rsid w:val="69D34437"/>
    <w:rsid w:val="69E76134"/>
    <w:rsid w:val="6A0740E0"/>
    <w:rsid w:val="6A0E546F"/>
    <w:rsid w:val="6A6E5F0E"/>
    <w:rsid w:val="6AAB7162"/>
    <w:rsid w:val="6AC537CF"/>
    <w:rsid w:val="6B0F76F1"/>
    <w:rsid w:val="6B2F1B41"/>
    <w:rsid w:val="6C5C0714"/>
    <w:rsid w:val="6C6D0B73"/>
    <w:rsid w:val="6C9C1458"/>
    <w:rsid w:val="6D0668D1"/>
    <w:rsid w:val="6D0843F7"/>
    <w:rsid w:val="6D1C3B0F"/>
    <w:rsid w:val="6D413DAD"/>
    <w:rsid w:val="6D561607"/>
    <w:rsid w:val="6D611D5A"/>
    <w:rsid w:val="6D8617C0"/>
    <w:rsid w:val="6DB14A8F"/>
    <w:rsid w:val="6DD10C8D"/>
    <w:rsid w:val="6DF80910"/>
    <w:rsid w:val="6E5B14A6"/>
    <w:rsid w:val="6EA2087C"/>
    <w:rsid w:val="6EBA3E17"/>
    <w:rsid w:val="6F9208F0"/>
    <w:rsid w:val="6FD74555"/>
    <w:rsid w:val="6FF670D1"/>
    <w:rsid w:val="701557A9"/>
    <w:rsid w:val="703A6FBE"/>
    <w:rsid w:val="705931BC"/>
    <w:rsid w:val="705B6F34"/>
    <w:rsid w:val="705D08A7"/>
    <w:rsid w:val="70622071"/>
    <w:rsid w:val="708E2E66"/>
    <w:rsid w:val="709A3F00"/>
    <w:rsid w:val="711B255E"/>
    <w:rsid w:val="713559D7"/>
    <w:rsid w:val="714874B8"/>
    <w:rsid w:val="714F4CEB"/>
    <w:rsid w:val="718C1A9B"/>
    <w:rsid w:val="72031631"/>
    <w:rsid w:val="720F142F"/>
    <w:rsid w:val="724845BB"/>
    <w:rsid w:val="724F4877"/>
    <w:rsid w:val="729055BB"/>
    <w:rsid w:val="72A42E14"/>
    <w:rsid w:val="72DC25AE"/>
    <w:rsid w:val="72E01973"/>
    <w:rsid w:val="72E15E16"/>
    <w:rsid w:val="72F24FF2"/>
    <w:rsid w:val="730438B3"/>
    <w:rsid w:val="731D6723"/>
    <w:rsid w:val="733E6DC5"/>
    <w:rsid w:val="737F73DD"/>
    <w:rsid w:val="73A97986"/>
    <w:rsid w:val="73AB01D2"/>
    <w:rsid w:val="73E159A2"/>
    <w:rsid w:val="73F41B79"/>
    <w:rsid w:val="74253AE1"/>
    <w:rsid w:val="743B1556"/>
    <w:rsid w:val="74654825"/>
    <w:rsid w:val="74714F78"/>
    <w:rsid w:val="748E3FCA"/>
    <w:rsid w:val="74AB66DC"/>
    <w:rsid w:val="74C01A5C"/>
    <w:rsid w:val="74D80B53"/>
    <w:rsid w:val="74F00593"/>
    <w:rsid w:val="74F6547D"/>
    <w:rsid w:val="750A2CD7"/>
    <w:rsid w:val="750D1BC6"/>
    <w:rsid w:val="75882579"/>
    <w:rsid w:val="75A61868"/>
    <w:rsid w:val="76393874"/>
    <w:rsid w:val="763A3BE8"/>
    <w:rsid w:val="76A72ED3"/>
    <w:rsid w:val="76E934EC"/>
    <w:rsid w:val="77161E07"/>
    <w:rsid w:val="77D71596"/>
    <w:rsid w:val="77E617D9"/>
    <w:rsid w:val="77F04406"/>
    <w:rsid w:val="78085BF3"/>
    <w:rsid w:val="78650950"/>
    <w:rsid w:val="78767001"/>
    <w:rsid w:val="78941235"/>
    <w:rsid w:val="78B96EEE"/>
    <w:rsid w:val="78CE2999"/>
    <w:rsid w:val="790F6B0E"/>
    <w:rsid w:val="79336CA0"/>
    <w:rsid w:val="79752E15"/>
    <w:rsid w:val="799314ED"/>
    <w:rsid w:val="79A11E5C"/>
    <w:rsid w:val="79F521A7"/>
    <w:rsid w:val="7A230AC3"/>
    <w:rsid w:val="7A2B7977"/>
    <w:rsid w:val="7A6530E0"/>
    <w:rsid w:val="7A951295"/>
    <w:rsid w:val="7AAA11E4"/>
    <w:rsid w:val="7AD149C3"/>
    <w:rsid w:val="7B2E5971"/>
    <w:rsid w:val="7B7F61CD"/>
    <w:rsid w:val="7BB51E06"/>
    <w:rsid w:val="7BFF10BB"/>
    <w:rsid w:val="7C387F7C"/>
    <w:rsid w:val="7C635AEE"/>
    <w:rsid w:val="7CB65C1E"/>
    <w:rsid w:val="7D1B3CD3"/>
    <w:rsid w:val="7D5E6375"/>
    <w:rsid w:val="7D6E02A7"/>
    <w:rsid w:val="7D761851"/>
    <w:rsid w:val="7D9817C8"/>
    <w:rsid w:val="7DA77C5D"/>
    <w:rsid w:val="7E2117BD"/>
    <w:rsid w:val="7E215319"/>
    <w:rsid w:val="7E3F39F1"/>
    <w:rsid w:val="7E633B84"/>
    <w:rsid w:val="7E885398"/>
    <w:rsid w:val="7EFD64E7"/>
    <w:rsid w:val="7F126EA8"/>
    <w:rsid w:val="7F5B2AAD"/>
    <w:rsid w:val="7F69341C"/>
    <w:rsid w:val="7F82628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7">
    <w:name w:val="插入文本样式-插入职责分类绩效目标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D96030-145F-44C9-A76F-0A14B26F80F7}">
  <ds:schemaRefs/>
</ds:datastoreItem>
</file>

<file path=docProps/app.xml><?xml version="1.0" encoding="utf-8"?>
<Properties xmlns="http://schemas.openxmlformats.org/officeDocument/2006/extended-properties" xmlns:vt="http://schemas.openxmlformats.org/officeDocument/2006/docPropsVTypes">
  <Template>Normal</Template>
  <Pages>8</Pages>
  <Words>3758</Words>
  <Characters>3984</Characters>
  <Lines>30</Lines>
  <Paragraphs>8</Paragraphs>
  <TotalTime>34</TotalTime>
  <ScaleCrop>false</ScaleCrop>
  <LinksUpToDate>false</LinksUpToDate>
  <CharactersWithSpaces>4007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WPS_1697102401</cp:lastModifiedBy>
  <cp:lastPrinted>2022-01-19T07:24:00Z</cp:lastPrinted>
  <dcterms:modified xsi:type="dcterms:W3CDTF">2025-03-26T07:19:03Z</dcterms:modified>
  <dc:title>附件3：</dc:title>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6541B78890CF4B20A4B9D7EEB1BA2D83_12</vt:lpwstr>
  </property>
  <property fmtid="{D5CDD505-2E9C-101B-9397-08002B2CF9AE}" pid="4" name="KSOTemplateDocerSaveRecord">
    <vt:lpwstr>eyJoZGlkIjoiNWUyMzNlYmQ3NDdkMzFlM2ZmNGIwMzQ2ZDliNDExZjYiLCJ1c2VySWQiOiIxNTUwNDQ0NzI5In0=</vt:lpwstr>
  </property>
</Properties>
</file>