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_GB2312" w:eastAsia="仿宋_GB2312"/>
          <w:sz w:val="32"/>
          <w:szCs w:val="32"/>
        </w:rPr>
      </w:pPr>
      <w:r>
        <w:rPr>
          <w:rFonts w:hint="eastAsia" w:ascii="仿宋_GB2312" w:eastAsia="仿宋_GB2312"/>
          <w:sz w:val="32"/>
          <w:szCs w:val="32"/>
        </w:rPr>
        <w:t>附件4</w:t>
      </w:r>
    </w:p>
    <w:p>
      <w:pPr>
        <w:keepNext w:val="0"/>
        <w:keepLines w:val="0"/>
        <w:pageBreakBefore w:val="0"/>
        <w:widowControl w:val="0"/>
        <w:kinsoku/>
        <w:wordWrap/>
        <w:overflowPunct/>
        <w:topLinePunct w:val="0"/>
        <w:autoSpaceDE/>
        <w:autoSpaceDN/>
        <w:bidi w:val="0"/>
        <w:snapToGrid w:val="0"/>
        <w:spacing w:line="600" w:lineRule="exact"/>
        <w:jc w:val="center"/>
        <w:textAlignment w:val="auto"/>
        <w:rPr>
          <w:rFonts w:ascii="宋体" w:hAnsi="宋体" w:cs="宋体"/>
          <w:b/>
          <w:bCs/>
          <w:sz w:val="44"/>
          <w:szCs w:val="44"/>
        </w:rPr>
      </w:pPr>
    </w:p>
    <w:p>
      <w:pPr>
        <w:keepNext w:val="0"/>
        <w:keepLines w:val="0"/>
        <w:pageBreakBefore w:val="0"/>
        <w:widowControl w:val="0"/>
        <w:kinsoku/>
        <w:wordWrap/>
        <w:overflowPunct/>
        <w:topLinePunct w:val="0"/>
        <w:autoSpaceDE/>
        <w:autoSpaceDN/>
        <w:bidi w:val="0"/>
        <w:snapToGrid w:val="0"/>
        <w:spacing w:line="600" w:lineRule="exact"/>
        <w:jc w:val="center"/>
        <w:textAlignment w:val="auto"/>
        <w:rPr>
          <w:rFonts w:ascii="宋体" w:hAnsi="宋体" w:cs="宋体"/>
          <w:b/>
          <w:bCs/>
          <w:sz w:val="44"/>
          <w:szCs w:val="44"/>
        </w:rPr>
      </w:pPr>
      <w:r>
        <w:rPr>
          <w:rFonts w:hint="eastAsia" w:ascii="方正小标宋简体" w:hAnsi="方正小标宋简体" w:eastAsia="方正小标宋简体" w:cs="方正小标宋简体"/>
          <w:b w:val="0"/>
          <w:bCs w:val="0"/>
          <w:sz w:val="44"/>
          <w:szCs w:val="44"/>
          <w:lang w:eastAsia="zh-CN"/>
        </w:rPr>
        <w:t>市委研究室</w:t>
      </w: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年度整体支出绩效自评报告</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 w:hAnsi="仿宋" w:eastAsia="仿宋"/>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贯彻落实市委市政府《关于全面落实预算绩效管理的实施意见》（石发﹝2019﹞8号）文件精神，遵循“科学性、规范性、客观性和公正性”的原则，对市委研究室202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根据《石家庄市委研究室职能配置、内设机构和人员编制规定》， 石家庄市委研究室的主要职责是：</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参与起草或组织协调有关部门共同起草市委主要领导文稿、市委报告和文件。</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w:t>
      </w:r>
      <w:r>
        <w:rPr>
          <w:rFonts w:hint="eastAsia" w:ascii="仿宋" w:hAnsi="仿宋" w:eastAsia="仿宋"/>
          <w:sz w:val="32"/>
          <w:szCs w:val="32"/>
          <w:lang w:eastAsia="zh-CN"/>
        </w:rPr>
        <w:t>围绕市委中心工作，组织力量对经济建设、政治建设、文化建设、社会建设、生态文明建设和党的建设等方面的重大问题进行调查研究，提出意见和建议，供市委决策参考。</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3.</w:t>
      </w:r>
      <w:r>
        <w:rPr>
          <w:rFonts w:hint="eastAsia" w:ascii="仿宋" w:hAnsi="仿宋" w:eastAsia="仿宋"/>
          <w:sz w:val="32"/>
          <w:szCs w:val="32"/>
          <w:lang w:eastAsia="zh-CN"/>
        </w:rPr>
        <w:t>根据市委批示，独立或协同有关部门完成有关重大问题的调研，提出相应对策，供市委决策参考。</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4.</w:t>
      </w:r>
      <w:r>
        <w:rPr>
          <w:rFonts w:hint="eastAsia" w:ascii="仿宋" w:hAnsi="仿宋" w:eastAsia="仿宋"/>
          <w:sz w:val="32"/>
          <w:szCs w:val="32"/>
          <w:lang w:eastAsia="zh-CN"/>
        </w:rPr>
        <w:t>组织、协调、指导全市的调查研究工作。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5.</w:t>
      </w:r>
      <w:r>
        <w:rPr>
          <w:rFonts w:hint="eastAsia" w:ascii="仿宋" w:hAnsi="仿宋" w:eastAsia="仿宋"/>
          <w:sz w:val="32"/>
          <w:szCs w:val="32"/>
          <w:lang w:eastAsia="zh-CN"/>
        </w:rPr>
        <w:t>承担市委市政府决策咨询委员会的日常工作。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6.</w:t>
      </w:r>
      <w:r>
        <w:rPr>
          <w:rFonts w:hint="eastAsia" w:ascii="仿宋" w:hAnsi="仿宋" w:eastAsia="仿宋"/>
          <w:sz w:val="32"/>
          <w:szCs w:val="32"/>
          <w:lang w:eastAsia="zh-CN"/>
        </w:rPr>
        <w:t>负责组织开展全市全面深化改革重大问题的调查研究，督促、推动各县（市、区）、市直各部门落实市委全面深化改革委员会决定事项、工作部署。</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7.</w:t>
      </w:r>
      <w:r>
        <w:rPr>
          <w:rFonts w:hint="eastAsia" w:ascii="仿宋" w:hAnsi="仿宋" w:eastAsia="仿宋"/>
          <w:sz w:val="32"/>
          <w:szCs w:val="32"/>
          <w:lang w:eastAsia="zh-CN"/>
        </w:rPr>
        <w:t>负责协调提出全市中长期改革规划建议和年度工作要点，对拟出台的涉及重大改革事项的政策性文件进行审核。</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8.</w:t>
      </w:r>
      <w:r>
        <w:rPr>
          <w:rFonts w:hint="eastAsia" w:ascii="仿宋" w:hAnsi="仿宋" w:eastAsia="仿宋"/>
          <w:sz w:val="32"/>
          <w:szCs w:val="32"/>
          <w:lang w:eastAsia="zh-CN"/>
        </w:rPr>
        <w:t>承办各县（市、区）和市直部门向市委全面深化改革委员会的请示和备案事项，向市委全面深化改革委员会提出建议。</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9.</w:t>
      </w:r>
      <w:r>
        <w:rPr>
          <w:rFonts w:hint="eastAsia" w:ascii="仿宋" w:hAnsi="仿宋" w:eastAsia="仿宋"/>
          <w:sz w:val="32"/>
          <w:szCs w:val="32"/>
          <w:lang w:eastAsia="zh-CN"/>
        </w:rPr>
        <w:t>承担市委全面深化改革委员会的日常工作，负责提交市委全面深化改革委员会会议研究的议题及相关会议组织服务工作。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10.</w:t>
      </w:r>
      <w:r>
        <w:rPr>
          <w:rFonts w:hint="eastAsia" w:ascii="仿宋" w:hAnsi="仿宋" w:eastAsia="仿宋"/>
          <w:sz w:val="32"/>
          <w:szCs w:val="32"/>
          <w:lang w:eastAsia="zh-CN"/>
        </w:rPr>
        <w:t>负责对各专项小组和各县（市、区）、市直各部门全面深化改革工作机构的统筹、协调、督促、检查、推动，并进行年度改革工作考核。</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11.</w:t>
      </w:r>
      <w:r>
        <w:rPr>
          <w:rFonts w:hint="eastAsia" w:ascii="仿宋" w:hAnsi="仿宋" w:eastAsia="仿宋"/>
          <w:sz w:val="32"/>
          <w:szCs w:val="32"/>
          <w:lang w:eastAsia="zh-CN"/>
        </w:rPr>
        <w:t>完成市委和全面深化改革委员会交办的其他任务。</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本部门下属单位</w:t>
      </w:r>
      <w:r>
        <w:rPr>
          <w:rFonts w:hint="eastAsia" w:ascii="仿宋" w:hAnsi="仿宋" w:eastAsia="仿宋"/>
          <w:sz w:val="32"/>
          <w:szCs w:val="32"/>
          <w:lang w:val="en-US" w:eastAsia="zh-CN"/>
        </w:rPr>
        <w:t>1个，即市委研究室。截至2024年12月31日，实有人数48人，</w:t>
      </w:r>
      <w:r>
        <w:rPr>
          <w:rFonts w:hint="eastAsia" w:ascii="仿宋" w:hAnsi="仿宋" w:eastAsia="仿宋"/>
          <w:sz w:val="32"/>
          <w:szCs w:val="32"/>
          <w:lang w:eastAsia="zh-CN"/>
        </w:rPr>
        <w:t>资产金额</w:t>
      </w:r>
      <w:r>
        <w:rPr>
          <w:rFonts w:hint="eastAsia" w:ascii="仿宋" w:hAnsi="仿宋" w:eastAsia="仿宋" w:cs="仿宋"/>
          <w:i w:val="0"/>
          <w:caps w:val="0"/>
          <w:color w:val="000000"/>
          <w:spacing w:val="0"/>
          <w:sz w:val="32"/>
          <w:szCs w:val="32"/>
          <w:shd w:val="clear" w:color="auto" w:fill="FFFFFF"/>
        </w:rPr>
        <w:t>67.12万元</w:t>
      </w:r>
      <w:r>
        <w:rPr>
          <w:rFonts w:hint="eastAsia" w:ascii="仿宋" w:hAnsi="仿宋" w:eastAsia="仿宋"/>
          <w:sz w:val="32"/>
          <w:szCs w:val="32"/>
          <w:lang w:eastAsia="zh-CN"/>
        </w:rPr>
        <w:t>。</w:t>
      </w:r>
    </w:p>
    <w:p>
      <w:pPr>
        <w:keepNext w:val="0"/>
        <w:keepLines w:val="0"/>
        <w:pageBreakBefore w:val="0"/>
        <w:widowControl w:val="0"/>
        <w:numPr>
          <w:ilvl w:val="0"/>
          <w:numId w:val="1"/>
        </w:numPr>
        <w:kinsoku/>
        <w:wordWrap/>
        <w:overflowPunct/>
        <w:topLinePunct w:val="0"/>
        <w:autoSpaceDE/>
        <w:autoSpaceDN/>
        <w:bidi w:val="0"/>
        <w:adjustRightInd w:val="0"/>
        <w:snapToGrid w:val="0"/>
        <w:spacing w:line="60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firstLine="640" w:firstLineChars="200"/>
        <w:textAlignment w:val="auto"/>
        <w:outlineLvl w:val="9"/>
        <w:rPr>
          <w:rFonts w:hint="default" w:ascii="仿宋" w:hAnsi="仿宋" w:eastAsia="仿宋" w:cs="楷体_GB2312"/>
          <w:b/>
          <w:bCs/>
          <w:sz w:val="32"/>
          <w:szCs w:val="32"/>
          <w:lang w:val="en-US" w:eastAsia="zh-CN"/>
        </w:rPr>
      </w:pPr>
      <w:r>
        <w:rPr>
          <w:rFonts w:hint="eastAsia" w:ascii="仿宋" w:hAnsi="仿宋" w:eastAsia="仿宋"/>
          <w:sz w:val="32"/>
          <w:szCs w:val="32"/>
          <w:lang w:val="en-US" w:eastAsia="zh-CN"/>
        </w:rPr>
        <w:t>预算收支1373.28万元；决算收入1304.85万元，支出1304.97万元。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bookmarkStart w:id="0" w:name="_Toc_2_2_0000000001"/>
      <w:r>
        <w:rPr>
          <w:rFonts w:hint="eastAsia" w:ascii="仿宋" w:hAnsi="仿宋" w:eastAsia="仿宋"/>
          <w:sz w:val="32"/>
          <w:szCs w:val="32"/>
          <w:lang w:val="en-US" w:eastAsia="zh-CN"/>
        </w:rPr>
        <w:t>1.</w:t>
      </w:r>
      <w:r>
        <w:rPr>
          <w:rFonts w:hint="eastAsia" w:ascii="仿宋" w:hAnsi="仿宋" w:eastAsia="仿宋"/>
          <w:sz w:val="32"/>
          <w:szCs w:val="32"/>
        </w:rPr>
        <w:t>总体绩效目标</w:t>
      </w:r>
      <w:bookmarkEnd w:id="0"/>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 xml:space="preserve">紧紧围绕市委中心工作，以提升素质为基础，以改进作风为保证，以改革创新为动力，加强调查研究和综合文稿服务，发挥参谋助手和以文辅政作用；加强对全市调研工作的统筹协调指导，活跃全市调研工作；改进市决策咨询委员会的组织协调和服务保障，提升决策咨询水平；大力推进全面深化改革，持续提高为市委深改委服务保障水平，科学谋划改革任务，加大协调督察指导力度，认真开展考核工作，有力有序推进各项改革工作任务落地落实；加强《石家庄决策》党刊编辑和文件印刷、信息服务工作，不断提高服务水平。 </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bookmarkStart w:id="1" w:name="_Toc_2_2_0000000002"/>
      <w:r>
        <w:rPr>
          <w:rFonts w:hint="eastAsia" w:ascii="仿宋" w:hAnsi="仿宋" w:eastAsia="仿宋"/>
          <w:sz w:val="32"/>
          <w:szCs w:val="32"/>
          <w:lang w:val="en-US" w:eastAsia="zh-CN"/>
        </w:rPr>
        <w:t>2.</w:t>
      </w:r>
      <w:r>
        <w:rPr>
          <w:rFonts w:hint="eastAsia" w:ascii="仿宋" w:hAnsi="仿宋" w:eastAsia="仿宋"/>
          <w:sz w:val="32"/>
          <w:szCs w:val="32"/>
        </w:rPr>
        <w:t>分项绩效目标</w:t>
      </w:r>
      <w:bookmarkEnd w:id="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）提高调查研究效能质量和综合文稿服务水平</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通过购买相关书报资料、下乡差旅、租车等支出，保障调研工作，促进调查研究深入开展，起草市委综合文稿，充分发挥以文辅政作用。参与起草或组织协调有关部门共同主要领导文稿、市委报告和文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绩效指标：完成有价值、有分量调研报告12篇以上。得到市领导肯定，获得市领导批示次数15人次以上。</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）有力有序推进各项改革工作任务落实</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通过开展第三方调研评估工作，提高评估实效。通过开展满意度调查工作，促使调查工作更加全面系统科学合理。通过开展改革宣传活动，提高基层改革典型经验推广力度。通过维护全面深化改革工作管理平台系统，保障平台系统稳定运行。</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绩效指标：全面深化改革工作经费保障覆盖率100%。对平台系统的升级维护、完善扩容达到改革工作要求。</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）改进市决策咨询委员会组织协调和服务保障</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绩效目标：通过保障决策咨询工作，提供高水平决策服务，为市委市政府科学决策、推动工作提供智力支持。</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绩效指标：决策咨询业务经费保障覆盖率100%。提供决策咨询意见建议，获得市领导批示次数10人次以上。</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）继续推进本单位档案信息化工作</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绩效目标：通过开展档案电子信息化工作，提高档案管理科学性、有效性。</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绩效指标：整理文书档案，满足计算机浏览要求合格率100%</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5</w:t>
      </w:r>
      <w:r>
        <w:rPr>
          <w:rFonts w:hint="eastAsia" w:ascii="仿宋" w:hAnsi="仿宋" w:eastAsia="仿宋"/>
          <w:sz w:val="32"/>
          <w:szCs w:val="32"/>
        </w:rPr>
        <w:t>）提高刊物编辑和文件印刷、信息服务水平</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印刷市委研究室、市委改革办文件资料，保障调研改革工作正常开展。编印《石家庄决策》，更好发挥党刊理论传播和舆论引导作用。编印《领导参阅》，更好服务领导决策。印发《石家庄改革动态》，提升改革工作宣传推广效果。</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绩效指标：印刷《石家庄决策》《石家庄改革动态》《领导参阅》等文件资料3种以上。印刷合格资料份数占印刷总份数的比例100%。印刷资料、刊物及时完成率达到100%。</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widowControl w:val="0"/>
        <w:kinsoku/>
        <w:wordWrap/>
        <w:overflowPunct/>
        <w:topLinePunct w:val="0"/>
        <w:autoSpaceDE/>
        <w:autoSpaceDN/>
        <w:bidi w:val="0"/>
        <w:snapToGrid w:val="0"/>
        <w:spacing w:line="600" w:lineRule="exact"/>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我室</w:t>
      </w:r>
      <w:r>
        <w:rPr>
          <w:rFonts w:hint="eastAsia" w:ascii="仿宋" w:hAnsi="仿宋" w:eastAsia="仿宋" w:cs="仿宋"/>
          <w:sz w:val="32"/>
          <w:szCs w:val="32"/>
        </w:rPr>
        <w:t>高度重视绩效</w:t>
      </w:r>
      <w:r>
        <w:rPr>
          <w:rFonts w:hint="eastAsia" w:ascii="仿宋" w:hAnsi="仿宋" w:eastAsia="仿宋" w:cs="仿宋"/>
          <w:sz w:val="32"/>
          <w:szCs w:val="32"/>
          <w:lang w:eastAsia="zh-CN"/>
        </w:rPr>
        <w:t>自评</w:t>
      </w:r>
      <w:r>
        <w:rPr>
          <w:rFonts w:hint="eastAsia" w:ascii="仿宋" w:hAnsi="仿宋" w:eastAsia="仿宋" w:cs="仿宋"/>
          <w:sz w:val="32"/>
          <w:szCs w:val="32"/>
        </w:rPr>
        <w:t>工作，成立了绩效</w:t>
      </w:r>
      <w:r>
        <w:rPr>
          <w:rFonts w:hint="eastAsia" w:ascii="仿宋" w:hAnsi="仿宋" w:eastAsia="仿宋" w:cs="仿宋"/>
          <w:sz w:val="32"/>
          <w:szCs w:val="32"/>
          <w:lang w:eastAsia="zh-CN"/>
        </w:rPr>
        <w:t>评价工作</w:t>
      </w:r>
      <w:r>
        <w:rPr>
          <w:rFonts w:hint="eastAsia" w:ascii="仿宋" w:hAnsi="仿宋" w:eastAsia="仿宋" w:cs="仿宋"/>
          <w:sz w:val="32"/>
          <w:szCs w:val="32"/>
        </w:rPr>
        <w:t>组，</w:t>
      </w:r>
      <w:r>
        <w:rPr>
          <w:rFonts w:hint="eastAsia" w:ascii="仿宋" w:hAnsi="仿宋" w:eastAsia="仿宋" w:cs="仿宋"/>
          <w:sz w:val="32"/>
          <w:szCs w:val="32"/>
          <w:lang w:eastAsia="zh-CN"/>
        </w:rPr>
        <w:t>主</w:t>
      </w:r>
      <w:r>
        <w:rPr>
          <w:rFonts w:hint="eastAsia" w:ascii="仿宋" w:hAnsi="仿宋" w:eastAsia="仿宋" w:cs="仿宋"/>
          <w:sz w:val="32"/>
          <w:szCs w:val="32"/>
        </w:rPr>
        <w:t>管</w:t>
      </w:r>
      <w:r>
        <w:rPr>
          <w:rFonts w:hint="eastAsia" w:ascii="仿宋" w:hAnsi="仿宋" w:eastAsia="仿宋" w:cs="仿宋"/>
          <w:sz w:val="32"/>
          <w:szCs w:val="32"/>
          <w:lang w:eastAsia="zh-CN"/>
        </w:rPr>
        <w:t>副主任</w:t>
      </w:r>
      <w:r>
        <w:rPr>
          <w:rFonts w:hint="eastAsia" w:ascii="仿宋" w:hAnsi="仿宋" w:eastAsia="仿宋" w:cs="仿宋"/>
          <w:sz w:val="32"/>
          <w:szCs w:val="32"/>
        </w:rPr>
        <w:t>任组长，</w:t>
      </w:r>
      <w:r>
        <w:rPr>
          <w:rFonts w:hint="eastAsia" w:ascii="仿宋" w:hAnsi="仿宋" w:eastAsia="仿宋" w:cs="仿宋"/>
          <w:sz w:val="32"/>
          <w:szCs w:val="32"/>
          <w:lang w:eastAsia="zh-CN"/>
        </w:rPr>
        <w:t>综合科科长、改革秘书科科长</w:t>
      </w:r>
      <w:r>
        <w:rPr>
          <w:rFonts w:hint="eastAsia" w:ascii="仿宋" w:hAnsi="仿宋" w:eastAsia="仿宋" w:cs="仿宋"/>
          <w:sz w:val="32"/>
          <w:szCs w:val="32"/>
        </w:rPr>
        <w:t>为成员</w:t>
      </w:r>
      <w:r>
        <w:rPr>
          <w:rFonts w:hint="eastAsia" w:ascii="仿宋" w:hAnsi="仿宋" w:eastAsia="仿宋" w:cs="仿宋"/>
          <w:sz w:val="32"/>
          <w:szCs w:val="32"/>
          <w:lang w:eastAsia="zh-CN"/>
        </w:rPr>
        <w:t>。多次</w:t>
      </w:r>
      <w:r>
        <w:rPr>
          <w:rFonts w:hint="eastAsia" w:ascii="仿宋" w:hAnsi="仿宋" w:eastAsia="仿宋" w:cs="仿宋"/>
          <w:sz w:val="32"/>
          <w:szCs w:val="32"/>
        </w:rPr>
        <w:t>召开专题会</w:t>
      </w:r>
      <w:r>
        <w:rPr>
          <w:rFonts w:hint="eastAsia" w:ascii="仿宋" w:hAnsi="仿宋" w:eastAsia="仿宋" w:cs="仿宋"/>
          <w:sz w:val="32"/>
          <w:szCs w:val="32"/>
          <w:lang w:eastAsia="zh-CN"/>
        </w:rPr>
        <w:t>议</w:t>
      </w:r>
      <w:r>
        <w:rPr>
          <w:rFonts w:hint="eastAsia" w:ascii="仿宋" w:hAnsi="仿宋" w:eastAsia="仿宋" w:cs="仿宋"/>
          <w:sz w:val="32"/>
          <w:szCs w:val="32"/>
        </w:rPr>
        <w:t>，将指标任务分解到岗到人，</w:t>
      </w:r>
      <w:r>
        <w:rPr>
          <w:rFonts w:hint="eastAsia" w:ascii="仿宋" w:hAnsi="仿宋" w:eastAsia="仿宋" w:cs="仿宋"/>
          <w:sz w:val="32"/>
          <w:szCs w:val="32"/>
          <w:lang w:eastAsia="zh-CN"/>
        </w:rPr>
        <w:t>组织推进调查研究、全面深化改革的</w:t>
      </w:r>
      <w:r>
        <w:rPr>
          <w:rFonts w:hint="eastAsia" w:ascii="仿宋" w:hAnsi="仿宋" w:eastAsia="仿宋" w:cs="仿宋"/>
          <w:sz w:val="32"/>
          <w:szCs w:val="32"/>
        </w:rPr>
        <w:t>绩效评估工作。</w:t>
      </w:r>
    </w:p>
    <w:p>
      <w:pPr>
        <w:keepNext w:val="0"/>
        <w:keepLines w:val="0"/>
        <w:pageBreakBefore w:val="0"/>
        <w:widowControl w:val="0"/>
        <w:numPr>
          <w:ilvl w:val="0"/>
          <w:numId w:val="2"/>
        </w:numPr>
        <w:kinsoku/>
        <w:wordWrap/>
        <w:overflowPunct/>
        <w:topLinePunct w:val="0"/>
        <w:autoSpaceDE/>
        <w:autoSpaceDN/>
        <w:bidi w:val="0"/>
        <w:snapToGrid w:val="0"/>
        <w:spacing w:line="600" w:lineRule="exact"/>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评价工作组以年初预算确定的项目绩效目标和绩效指标为依据，逐项进行对比分析。特别是在重点项目自评过程中，根据《石家庄市财政局关于开展2025年绩效自评工作的通知》（石财绩〔2025〕2号）要求，结合项目特点，拟定工作方案，对年初预算确定的项目绩效目标和绩效指标加以完善，形成了更准确的绩效评价指标体系。组织开展了基础资料收集工作，并对资料来源进行了核实，确保佐证材料真实性。主要采用比较法，结合定性分析与定量分析，通过绩效目标与实施效果的对比，实事求是地全面分析评价项目的绩效情况，填写了预算项目绩效自评表，撰写了重点项目绩效自评报告。</w:t>
      </w:r>
    </w:p>
    <w:p>
      <w:pPr>
        <w:keepNext w:val="0"/>
        <w:keepLines w:val="0"/>
        <w:pageBreakBefore w:val="0"/>
        <w:widowControl w:val="0"/>
        <w:kinsoku/>
        <w:wordWrap/>
        <w:overflowPunct/>
        <w:topLinePunct w:val="0"/>
        <w:autoSpaceDE/>
        <w:autoSpaceDN/>
        <w:bidi w:val="0"/>
        <w:snapToGrid w:val="0"/>
        <w:spacing w:line="600" w:lineRule="exact"/>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keepNext w:val="0"/>
        <w:keepLines w:val="0"/>
        <w:pageBreakBefore w:val="0"/>
        <w:widowControl w:val="0"/>
        <w:numPr>
          <w:ilvl w:val="0"/>
          <w:numId w:val="3"/>
        </w:numPr>
        <w:kinsoku/>
        <w:wordWrap/>
        <w:overflowPunct/>
        <w:topLinePunct w:val="0"/>
        <w:autoSpaceDE/>
        <w:autoSpaceDN/>
        <w:bidi w:val="0"/>
        <w:snapToGrid w:val="0"/>
        <w:spacing w:line="60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snapToGrid w:val="0"/>
        <w:spacing w:line="600" w:lineRule="exact"/>
        <w:ind w:firstLine="640" w:firstLineChars="200"/>
        <w:textAlignment w:val="auto"/>
        <w:rPr>
          <w:rFonts w:hint="eastAsia" w:ascii="仿宋" w:hAnsi="仿宋" w:eastAsia="仿宋" w:cs="楷体_GB2312"/>
          <w:b/>
          <w:bCs/>
          <w:sz w:val="32"/>
          <w:szCs w:val="32"/>
        </w:rPr>
      </w:pPr>
      <w:r>
        <w:rPr>
          <w:rFonts w:hint="eastAsia" w:ascii="仿宋" w:hAnsi="仿宋" w:eastAsia="仿宋"/>
          <w:sz w:val="32"/>
          <w:szCs w:val="32"/>
          <w:lang w:eastAsia="zh-CN"/>
        </w:rPr>
        <w:t>202</w:t>
      </w:r>
      <w:r>
        <w:rPr>
          <w:rFonts w:hint="eastAsia" w:ascii="仿宋" w:hAnsi="仿宋" w:eastAsia="仿宋"/>
          <w:sz w:val="32"/>
          <w:szCs w:val="32"/>
          <w:lang w:val="en-US" w:eastAsia="zh-CN"/>
        </w:rPr>
        <w:t>4</w:t>
      </w:r>
      <w:r>
        <w:rPr>
          <w:rFonts w:hint="eastAsia" w:ascii="仿宋" w:hAnsi="仿宋" w:eastAsia="仿宋"/>
          <w:sz w:val="32"/>
          <w:szCs w:val="32"/>
          <w:lang w:eastAsia="zh-CN"/>
        </w:rPr>
        <w:t>年，市委研究室多篇调研文稿获肯定批示，完成重要文稿29篇、调研报告23篇、领导参阅21篇、专家建言45篇，得到市领导批示73次。9篇文稿在《求是》《中国改革报》《改革内参》等国家层面刊发刊载；4篇调研文稿在《共产党员》《河北发展》等省级层面刊发；8篇信息在《河北改革动态》刊发，数量居全省第一。在省2023年度全面深化改革工作考核中获得优秀等次，全省第一名；2024年上半年改革考核继续保持全省第一。《石家庄决策》连续19年蝉联10届“全国城市十佳党刊”，连续16年被评为河北省会“双十佳”内部资料性出版物；被中国新闻出版研究院评为“优秀内部资料性出版物”。</w:t>
      </w:r>
      <w:r>
        <w:rPr>
          <w:rFonts w:hint="eastAsia" w:ascii="仿宋" w:hAnsi="仿宋" w:eastAsia="仿宋" w:cs="楷体_GB2312"/>
          <w:b/>
          <w:bCs/>
          <w:sz w:val="32"/>
          <w:szCs w:val="32"/>
        </w:rPr>
        <w:t xml:space="preserve">    </w:t>
      </w:r>
    </w:p>
    <w:p>
      <w:pPr>
        <w:keepNext w:val="0"/>
        <w:keepLines w:val="0"/>
        <w:pageBreakBefore w:val="0"/>
        <w:widowControl w:val="0"/>
        <w:kinsoku/>
        <w:wordWrap/>
        <w:overflowPunct/>
        <w:topLinePunct w:val="0"/>
        <w:autoSpaceDE/>
        <w:autoSpaceDN/>
        <w:bidi w:val="0"/>
        <w:snapToGrid w:val="0"/>
        <w:spacing w:line="600" w:lineRule="exact"/>
        <w:ind w:firstLine="640" w:firstLineChars="200"/>
        <w:textAlignment w:val="auto"/>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sz w:val="32"/>
          <w:szCs w:val="32"/>
          <w:lang w:eastAsia="zh-CN"/>
        </w:rPr>
        <w:t>一是调查研究和综合文稿服务。起草市委主要领导交流发言稿件和授课稿件；起草市委署名文章在《求是》《河北发展》刊发；多次起草印发市委重要文件。</w:t>
      </w:r>
      <w:r>
        <w:rPr>
          <w:rFonts w:hint="eastAsia" w:ascii="仿宋" w:hAnsi="仿宋" w:eastAsia="仿宋" w:cs="黑体"/>
          <w:kern w:val="2"/>
          <w:sz w:val="32"/>
          <w:szCs w:val="32"/>
          <w:lang w:val="en-US" w:eastAsia="zh-CN" w:bidi="ar-SA"/>
        </w:rPr>
        <w:t>聚焦全市发展大局，深入开展调查研究，形成调研成果23篇，收集整理市民关注信息337条，印发《领导参阅》21期。高质量完成市委全会简报任务。</w:t>
      </w:r>
      <w:r>
        <w:rPr>
          <w:rFonts w:hint="eastAsia" w:ascii="仿宋" w:hAnsi="仿宋" w:eastAsia="仿宋"/>
          <w:sz w:val="32"/>
          <w:szCs w:val="32"/>
          <w:lang w:eastAsia="zh-CN"/>
        </w:rPr>
        <w:t>聚焦省会蝶变发展，认真总结起草了多篇有分量文稿，在中宣部《城乡发展参考》、国家发改委《改革内参》《中国改革报》及省委《共产党员》、省委政研室《河北发展》等刊发。</w:t>
      </w:r>
      <w:r>
        <w:rPr>
          <w:rFonts w:hint="eastAsia" w:ascii="仿宋" w:hAnsi="仿宋" w:eastAsia="仿宋" w:cs="黑体"/>
          <w:kern w:val="2"/>
          <w:sz w:val="32"/>
          <w:szCs w:val="32"/>
          <w:lang w:val="en-US" w:eastAsia="zh-CN" w:bidi="ar-SA"/>
        </w:rPr>
        <w:t>1项成果荣获2024年度市直机关党建课题一等奖，8项成果入选2024年度社科专家培养项目和经济社会发展调研项目，2项成果分别荣获2023年度党建研究立项调研课题一等奖和优秀奖。</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lang w:eastAsia="zh-CN"/>
        </w:rPr>
      </w:pPr>
      <w:r>
        <w:rPr>
          <w:rFonts w:hint="eastAsia" w:ascii="仿宋" w:hAnsi="仿宋" w:eastAsia="仿宋" w:cs="黑体"/>
          <w:kern w:val="2"/>
          <w:sz w:val="32"/>
          <w:szCs w:val="32"/>
          <w:lang w:val="en-US" w:eastAsia="zh-CN" w:bidi="ar-SA"/>
        </w:rPr>
        <w:t>二是全</w:t>
      </w:r>
      <w:r>
        <w:rPr>
          <w:rFonts w:hint="eastAsia" w:ascii="仿宋" w:hAnsi="仿宋" w:eastAsia="仿宋"/>
          <w:sz w:val="32"/>
          <w:szCs w:val="32"/>
          <w:lang w:eastAsia="zh-CN"/>
        </w:rPr>
        <w:t>面深化改革工作。精心谋划改革任务154项，组织市委深改委会议3次。高标准完成各县（市、区）和市直部门2024年上半年和年度改革工作考核，组织开展了“一件事一次办”改革落实情况评估，特别是连续五年在全省创新开展改革督察现场问效活动。开展改革创新经验评选活动，20项创新做法入选全市2024年度双“十佳”改革创新经验，10余项改革典型在全省全国推广，</w:t>
      </w:r>
      <w:r>
        <w:rPr>
          <w:rFonts w:hint="eastAsia" w:ascii="仿宋" w:hAnsi="仿宋" w:eastAsia="仿宋"/>
          <w:sz w:val="32"/>
          <w:szCs w:val="32"/>
          <w:lang w:val="en-US" w:eastAsia="zh-CN"/>
        </w:rPr>
        <w:t>1项</w:t>
      </w:r>
      <w:r>
        <w:rPr>
          <w:rFonts w:hint="eastAsia" w:ascii="仿宋" w:hAnsi="仿宋" w:eastAsia="仿宋"/>
          <w:sz w:val="32"/>
          <w:szCs w:val="32"/>
          <w:lang w:eastAsia="zh-CN"/>
        </w:rPr>
        <w:t>改革获评“中国改革2024年度地方全面深化改革典型案例”，</w:t>
      </w:r>
      <w:r>
        <w:rPr>
          <w:rFonts w:hint="eastAsia" w:ascii="仿宋" w:hAnsi="仿宋" w:eastAsia="仿宋"/>
          <w:sz w:val="32"/>
          <w:szCs w:val="32"/>
          <w:lang w:val="en-US" w:eastAsia="zh-CN"/>
        </w:rPr>
        <w:t>1项改革</w:t>
      </w:r>
      <w:r>
        <w:rPr>
          <w:rFonts w:hint="eastAsia" w:ascii="仿宋" w:hAnsi="仿宋" w:eastAsia="仿宋"/>
          <w:sz w:val="32"/>
          <w:szCs w:val="32"/>
          <w:lang w:eastAsia="zh-CN"/>
        </w:rPr>
        <w:t>入列全省服务企业典型案例。编印《石家庄改革动态》21期；“石家庄改革”公众号发稿1090篇。报送我市各类改革信息86篇，其中8篇信息在《河北改革动态》刊发，刊发数量在全省排名第一；3篇信息被省委改革办确定为全省最具代表性的改革经验上报至中央改革办；改革网系列报道我市6篇改革信息。全面深化改革工作经费保障覆盖率100%。通过维护全面深化改革工作管理平台系统，保障平台系统稳定运行。</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三是发挥决策咨询作用。积极组织委员建言献策，全年建言73篇，编发《决咨建言》45期，得到市领导批示32次。组织委员深入县（市、区）和相关部门、企业一线调研座谈交流，赴外地学习考察先进经验做法，全年共保障活动30余次、座谈会20余次。加强委员动态管理，选聘了9名理论知识扎实、实践经验丰富的委员，对8名没有较好履职的委员进行了调整解聘。严格履行例会制度，召开主任例会7次、专业组例会14次。决策咨询业务经费保障覆盖率100%。</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四是继续推进档案信息化工作。通过开展档案电子信息化工作，提高档案管理科学性、有效性。整理文书档案，满足计算机浏览要求合格率</w:t>
      </w:r>
      <w:r>
        <w:rPr>
          <w:rFonts w:hint="eastAsia" w:ascii="仿宋" w:hAnsi="仿宋" w:eastAsia="仿宋"/>
          <w:sz w:val="32"/>
          <w:szCs w:val="32"/>
          <w:lang w:val="en-US" w:eastAsia="zh-CN"/>
        </w:rPr>
        <w:t>100</w:t>
      </w:r>
      <w:r>
        <w:rPr>
          <w:rFonts w:hint="eastAsia" w:ascii="仿宋" w:hAnsi="仿宋" w:eastAsia="仿宋"/>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五是刊物编辑和文件印刷、信息服务水平进一步提高。围绕全市工作大局和阶段性重点工作，精心策划，深度组稿，《石家庄决策》高质量完成12期出刊任务，获评“城市十佳党政期刊”。同时，积极主动搜集整理外省市在城市更新、产业发展、招商引资等重点领域的经验做法，结合我市实际提出意见建议，印发《领导参阅》</w:t>
      </w:r>
      <w:r>
        <w:rPr>
          <w:rFonts w:hint="eastAsia" w:ascii="仿宋" w:hAnsi="仿宋" w:eastAsia="仿宋"/>
          <w:sz w:val="32"/>
          <w:szCs w:val="32"/>
          <w:lang w:val="en-US" w:eastAsia="zh-CN"/>
        </w:rPr>
        <w:t>21</w:t>
      </w:r>
      <w:r>
        <w:rPr>
          <w:rFonts w:hint="eastAsia" w:ascii="仿宋" w:hAnsi="仿宋" w:eastAsia="仿宋"/>
          <w:sz w:val="32"/>
          <w:szCs w:val="32"/>
          <w:lang w:eastAsia="zh-CN"/>
        </w:rPr>
        <w:t>期，印发《石家庄改革动态》</w:t>
      </w:r>
      <w:r>
        <w:rPr>
          <w:rFonts w:hint="eastAsia" w:ascii="仿宋" w:hAnsi="仿宋" w:eastAsia="仿宋"/>
          <w:sz w:val="32"/>
          <w:szCs w:val="32"/>
          <w:lang w:val="en-US" w:eastAsia="zh-CN"/>
        </w:rPr>
        <w:t>21</w:t>
      </w:r>
      <w:r>
        <w:rPr>
          <w:rFonts w:hint="eastAsia" w:ascii="仿宋" w:hAnsi="仿宋" w:eastAsia="仿宋"/>
          <w:sz w:val="32"/>
          <w:szCs w:val="32"/>
          <w:lang w:eastAsia="zh-CN"/>
        </w:rPr>
        <w:t>期。印刷合格率、及时完成率100%。</w:t>
      </w:r>
    </w:p>
    <w:p>
      <w:pPr>
        <w:keepNext w:val="0"/>
        <w:keepLines w:val="0"/>
        <w:pageBreakBefore w:val="0"/>
        <w:widowControl w:val="0"/>
        <w:kinsoku/>
        <w:wordWrap/>
        <w:overflowPunct/>
        <w:topLinePunct w:val="0"/>
        <w:autoSpaceDE/>
        <w:autoSpaceDN/>
        <w:bidi w:val="0"/>
        <w:snapToGrid w:val="0"/>
        <w:spacing w:line="60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根据部门职责定位和各项工作履职情况进行综合评价，总得分</w:t>
      </w:r>
      <w:r>
        <w:rPr>
          <w:rFonts w:hint="eastAsia" w:ascii="仿宋" w:hAnsi="仿宋" w:eastAsia="仿宋"/>
          <w:sz w:val="32"/>
          <w:szCs w:val="32"/>
          <w:lang w:val="en-US" w:eastAsia="zh-CN"/>
        </w:rPr>
        <w:t>99</w:t>
      </w:r>
      <w:r>
        <w:rPr>
          <w:rFonts w:hint="eastAsia" w:ascii="仿宋" w:hAnsi="仿宋" w:eastAsia="仿宋"/>
          <w:sz w:val="32"/>
          <w:szCs w:val="32"/>
          <w:lang w:eastAsia="zh-CN"/>
        </w:rPr>
        <w:t>分，综合绩效评价等级为优秀。</w:t>
      </w:r>
    </w:p>
    <w:p>
      <w:pPr>
        <w:keepNext w:val="0"/>
        <w:keepLines w:val="0"/>
        <w:pageBreakBefore w:val="0"/>
        <w:widowControl w:val="0"/>
        <w:kinsoku/>
        <w:wordWrap/>
        <w:overflowPunct/>
        <w:topLinePunct w:val="0"/>
        <w:autoSpaceDE/>
        <w:autoSpaceDN/>
        <w:bidi w:val="0"/>
        <w:snapToGrid w:val="0"/>
        <w:spacing w:line="60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napToGrid w:val="0"/>
        <w:spacing w:line="60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pPr>
        <w:pStyle w:val="8"/>
        <w:keepNext w:val="0"/>
        <w:keepLines w:val="0"/>
        <w:pageBreakBefore w:val="0"/>
        <w:widowControl w:val="0"/>
        <w:kinsoku/>
        <w:wordWrap/>
        <w:overflowPunct/>
        <w:topLinePunct w:val="0"/>
        <w:autoSpaceDE/>
        <w:autoSpaceDN/>
        <w:bidi w:val="0"/>
        <w:snapToGrid w:val="0"/>
        <w:spacing w:line="600" w:lineRule="exact"/>
        <w:ind w:firstLine="640" w:firstLineChars="200"/>
        <w:textAlignment w:val="auto"/>
        <w:rPr>
          <w:rFonts w:hint="eastAsia" w:ascii="楷体" w:hAnsi="楷体" w:eastAsia="楷体"/>
          <w:bCs/>
          <w:sz w:val="32"/>
          <w:szCs w:val="32"/>
        </w:rPr>
      </w:pPr>
      <w:r>
        <w:rPr>
          <w:rFonts w:hint="eastAsia" w:ascii="仿宋" w:hAnsi="仿宋" w:eastAsia="仿宋" w:cs="仿宋"/>
          <w:sz w:val="32"/>
          <w:szCs w:val="32"/>
          <w:lang w:val="en-US" w:eastAsia="zh-CN"/>
        </w:rPr>
        <w:t>2024年市委研究室</w:t>
      </w:r>
      <w:r>
        <w:rPr>
          <w:rFonts w:hint="eastAsia" w:ascii="仿宋" w:hAnsi="仿宋" w:eastAsia="仿宋" w:cs="仿宋"/>
          <w:sz w:val="32"/>
          <w:szCs w:val="32"/>
        </w:rPr>
        <w:t>绩效目标</w:t>
      </w:r>
      <w:r>
        <w:rPr>
          <w:rFonts w:hint="eastAsia" w:ascii="仿宋" w:hAnsi="仿宋" w:eastAsia="仿宋" w:cs="仿宋"/>
          <w:sz w:val="32"/>
          <w:szCs w:val="32"/>
          <w:lang w:eastAsia="zh-CN"/>
        </w:rPr>
        <w:t>全部圆满完成，不存在突出问题。</w:t>
      </w:r>
    </w:p>
    <w:p>
      <w:pPr>
        <w:keepNext w:val="0"/>
        <w:keepLines w:val="0"/>
        <w:pageBreakBefore w:val="0"/>
        <w:widowControl w:val="0"/>
        <w:numPr>
          <w:ilvl w:val="0"/>
          <w:numId w:val="3"/>
        </w:numPr>
        <w:kinsoku/>
        <w:wordWrap/>
        <w:overflowPunct/>
        <w:topLinePunct w:val="0"/>
        <w:autoSpaceDE/>
        <w:autoSpaceDN/>
        <w:bidi w:val="0"/>
        <w:snapToGrid w:val="0"/>
        <w:spacing w:line="600" w:lineRule="exact"/>
        <w:ind w:left="0" w:leftChars="0" w:firstLine="640" w:firstLineChars="200"/>
        <w:textAlignment w:val="auto"/>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snapToGrid w:val="0"/>
        <w:spacing w:line="600" w:lineRule="exact"/>
        <w:ind w:firstLine="640" w:firstLineChars="200"/>
        <w:textAlignment w:val="auto"/>
        <w:rPr>
          <w:rFonts w:hint="eastAsia" w:ascii="楷体" w:hAnsi="楷体" w:eastAsia="楷体"/>
          <w:bCs/>
          <w:sz w:val="32"/>
          <w:szCs w:val="32"/>
        </w:rPr>
      </w:pPr>
      <w:r>
        <w:rPr>
          <w:rFonts w:hint="eastAsia" w:ascii="仿宋" w:hAnsi="仿宋" w:eastAsia="仿宋" w:cs="仿宋"/>
          <w:sz w:val="32"/>
          <w:szCs w:val="32"/>
          <w:lang w:eastAsia="zh-CN"/>
        </w:rPr>
        <w:t>不断提高绩效目标设置质量，使之能够更加精准地反应出预算项目的绩效情况。绩效自评结果将在政府门户网站上进行公开，接受社会监督。</w:t>
      </w:r>
    </w:p>
    <w:p>
      <w:pPr>
        <w:pStyle w:val="2"/>
        <w:keepNext w:val="0"/>
        <w:keepLines w:val="0"/>
        <w:pageBreakBefore w:val="0"/>
        <w:widowControl w:val="0"/>
        <w:kinsoku/>
        <w:wordWrap/>
        <w:overflowPunct/>
        <w:topLinePunct w:val="0"/>
        <w:autoSpaceDE/>
        <w:autoSpaceDN/>
        <w:bidi w:val="0"/>
        <w:snapToGrid w:val="0"/>
        <w:spacing w:line="600" w:lineRule="exact"/>
        <w:textAlignment w:val="auto"/>
        <w:rPr>
          <w:rFonts w:hint="eastAsia" w:ascii="仿宋_GB2312" w:eastAsia="仿宋_GB2312"/>
          <w:sz w:val="32"/>
          <w:szCs w:val="32"/>
          <w:lang w:eastAsia="zh-CN"/>
        </w:rPr>
      </w:pPr>
    </w:p>
    <w:p>
      <w:pPr>
        <w:pStyle w:val="2"/>
        <w:keepNext w:val="0"/>
        <w:keepLines w:val="0"/>
        <w:pageBreakBefore w:val="0"/>
        <w:widowControl w:val="0"/>
        <w:kinsoku/>
        <w:wordWrap/>
        <w:overflowPunct/>
        <w:topLinePunct w:val="0"/>
        <w:autoSpaceDE/>
        <w:autoSpaceDN/>
        <w:bidi w:val="0"/>
        <w:snapToGrid w:val="0"/>
        <w:spacing w:line="600" w:lineRule="exact"/>
        <w:jc w:val="right"/>
        <w:textAlignment w:val="auto"/>
        <w:rPr>
          <w:rFonts w:hint="default"/>
          <w:lang w:val="en-US"/>
        </w:rPr>
      </w:pPr>
      <w:bookmarkStart w:id="2" w:name="_GoBack"/>
      <w:bookmarkEnd w:id="2"/>
    </w:p>
    <w:p>
      <w:pPr>
        <w:keepNext w:val="0"/>
        <w:keepLines w:val="0"/>
        <w:pageBreakBefore w:val="0"/>
        <w:widowControl w:val="0"/>
        <w:kinsoku/>
        <w:wordWrap/>
        <w:overflowPunct/>
        <w:topLinePunct w:val="0"/>
        <w:autoSpaceDE/>
        <w:autoSpaceDN/>
        <w:bidi w:val="0"/>
        <w:snapToGrid w:val="0"/>
        <w:spacing w:line="600" w:lineRule="exact"/>
        <w:textAlignment w:val="auto"/>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方正仿宋_GBK">
    <w:panose1 w:val="02000000000000000000"/>
    <w:charset w:val="86"/>
    <w:family w:val="script"/>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7B046F92"/>
    <w:multiLevelType w:val="singleLevel"/>
    <w:tmpl w:val="7B046F92"/>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5965135"/>
    <w:rsid w:val="06F90600"/>
    <w:rsid w:val="07956271"/>
    <w:rsid w:val="09721397"/>
    <w:rsid w:val="0AAE69E0"/>
    <w:rsid w:val="0BB63BED"/>
    <w:rsid w:val="0EAE3942"/>
    <w:rsid w:val="0EB97A43"/>
    <w:rsid w:val="0EBD2122"/>
    <w:rsid w:val="0EE334D5"/>
    <w:rsid w:val="0F214EAE"/>
    <w:rsid w:val="11B71E6A"/>
    <w:rsid w:val="11FF19BD"/>
    <w:rsid w:val="1A3D1B14"/>
    <w:rsid w:val="1AAF0063"/>
    <w:rsid w:val="1AE314C2"/>
    <w:rsid w:val="1BE140DE"/>
    <w:rsid w:val="1DDA1362"/>
    <w:rsid w:val="248C197D"/>
    <w:rsid w:val="252959AF"/>
    <w:rsid w:val="277A6671"/>
    <w:rsid w:val="28C44778"/>
    <w:rsid w:val="292D35B7"/>
    <w:rsid w:val="2EEB5219"/>
    <w:rsid w:val="2F6E22C2"/>
    <w:rsid w:val="33EB6CFF"/>
    <w:rsid w:val="35A12947"/>
    <w:rsid w:val="35B030C1"/>
    <w:rsid w:val="37387040"/>
    <w:rsid w:val="3A8E0F2B"/>
    <w:rsid w:val="3B126355"/>
    <w:rsid w:val="3B625C0A"/>
    <w:rsid w:val="3CEE1963"/>
    <w:rsid w:val="3DE271B8"/>
    <w:rsid w:val="420C3482"/>
    <w:rsid w:val="460B3E92"/>
    <w:rsid w:val="48E761AC"/>
    <w:rsid w:val="4C9C27FE"/>
    <w:rsid w:val="4D3F0D11"/>
    <w:rsid w:val="4D5039B6"/>
    <w:rsid w:val="512260B4"/>
    <w:rsid w:val="51A252E8"/>
    <w:rsid w:val="52BD6ACB"/>
    <w:rsid w:val="52FF4343"/>
    <w:rsid w:val="55537534"/>
    <w:rsid w:val="561A74F1"/>
    <w:rsid w:val="5656342D"/>
    <w:rsid w:val="580E344C"/>
    <w:rsid w:val="58702BC8"/>
    <w:rsid w:val="597244E8"/>
    <w:rsid w:val="5D55738C"/>
    <w:rsid w:val="5D5C7A80"/>
    <w:rsid w:val="5D5F44BF"/>
    <w:rsid w:val="5D9418C9"/>
    <w:rsid w:val="5DEC0556"/>
    <w:rsid w:val="5E1978DE"/>
    <w:rsid w:val="5EB71C30"/>
    <w:rsid w:val="660758C0"/>
    <w:rsid w:val="66AF0CE5"/>
    <w:rsid w:val="6AC537CF"/>
    <w:rsid w:val="6E0F2E0A"/>
    <w:rsid w:val="6E5B14A6"/>
    <w:rsid w:val="6ECC3352"/>
    <w:rsid w:val="711B255E"/>
    <w:rsid w:val="740B229B"/>
    <w:rsid w:val="77CA2134"/>
    <w:rsid w:val="7BB51E06"/>
    <w:rsid w:val="7C387F7C"/>
    <w:rsid w:val="7F121A89"/>
    <w:rsid w:val="7F364C63"/>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able of authorities"/>
    <w:basedOn w:val="1"/>
    <w:next w:val="1"/>
    <w:qFormat/>
    <w:uiPriority w:val="0"/>
    <w:pPr>
      <w:ind w:left="420" w:leftChars="200"/>
    </w:pPr>
  </w:style>
  <w:style w:type="paragraph" w:styleId="3">
    <w:name w:val="Body Text"/>
    <w:basedOn w:val="1"/>
    <w:qFormat/>
    <w:uiPriority w:val="0"/>
    <w:pPr>
      <w:spacing w:after="120" w:afterLines="0" w:afterAutospacing="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No Spacing"/>
    <w:qFormat/>
    <w:uiPriority w:val="0"/>
    <w:pPr>
      <w:widowControl w:val="0"/>
      <w:jc w:val="both"/>
    </w:pPr>
    <w:rPr>
      <w:rFonts w:ascii="宋体" w:hAnsi="宋体" w:eastAsia="仿宋_GB2312" w:cs="Times New Roman"/>
      <w:kern w:val="2"/>
      <w:sz w:val="32"/>
      <w:szCs w:val="22"/>
      <w:lang w:val="en-US" w:eastAsia="zh-CN" w:bidi="ar-SA"/>
    </w:rPr>
  </w:style>
  <w:style w:type="paragraph" w:customStyle="1" w:styleId="9">
    <w:name w:val="插入文本样式-插入总体目标文件"/>
    <w:basedOn w:val="1"/>
    <w:qFormat/>
    <w:uiPriority w:val="0"/>
    <w:pPr>
      <w:spacing w:line="500" w:lineRule="exact"/>
      <w:ind w:firstLine="560"/>
    </w:pPr>
    <w:rPr>
      <w:rFonts w:eastAsia="方正仿宋_GBK"/>
      <w:sz w:val="28"/>
    </w:rPr>
  </w:style>
  <w:style w:type="paragraph" w:customStyle="1" w:styleId="10">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3</TotalTime>
  <ScaleCrop>false</ScaleCrop>
  <LinksUpToDate>false</LinksUpToDate>
  <CharactersWithSpaces>669</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2025-03-31T02:02:00Z</cp:lastPrinted>
  <dcterms:modified xsi:type="dcterms:W3CDTF">2025-04-03T02:37:27Z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3F610C1931914719B6E9B4C553BDD6A4</vt:lpwstr>
  </property>
</Properties>
</file>