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9C4A50">
      <w:pPr>
        <w:spacing w:line="560" w:lineRule="exact"/>
        <w:jc w:val="center"/>
        <w:rPr>
          <w:rFonts w:ascii="宋体" w:hAnsi="宋体" w:cs="宋体"/>
          <w:b/>
          <w:bCs/>
          <w:sz w:val="44"/>
          <w:szCs w:val="44"/>
        </w:rPr>
      </w:pPr>
    </w:p>
    <w:p w14:paraId="24EDEBCE">
      <w:pPr>
        <w:keepNext w:val="0"/>
        <w:keepLines w:val="0"/>
        <w:pageBreakBefore w:val="0"/>
        <w:widowControl w:val="0"/>
        <w:kinsoku/>
        <w:wordWrap/>
        <w:overflowPunct/>
        <w:topLinePunct w:val="0"/>
        <w:autoSpaceDE/>
        <w:autoSpaceDN/>
        <w:bidi w:val="0"/>
        <w:spacing w:line="600" w:lineRule="exact"/>
        <w:ind w:left="0" w:leftChars="0" w:right="0" w:firstLine="880" w:firstLineChars="200"/>
        <w:jc w:val="both"/>
        <w:textAlignment w:val="auto"/>
        <w:outlineLvl w:val="9"/>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eastAsia="zh-CN"/>
        </w:rPr>
        <w:t>市直机关工委部门</w:t>
      </w:r>
      <w:r>
        <w:rPr>
          <w:rFonts w:hint="eastAsia" w:ascii="方正小标宋简体" w:hAnsi="方正小标宋简体" w:eastAsia="方正小标宋简体" w:cs="方正小标宋简体"/>
          <w:b w:val="0"/>
          <w:bCs w:val="0"/>
          <w:sz w:val="44"/>
          <w:szCs w:val="44"/>
          <w:lang w:val="en-US" w:eastAsia="zh-CN"/>
        </w:rPr>
        <w:t>2023年度整体支出</w:t>
      </w:r>
    </w:p>
    <w:p w14:paraId="2870DB13">
      <w:pPr>
        <w:keepNext w:val="0"/>
        <w:keepLines w:val="0"/>
        <w:pageBreakBefore w:val="0"/>
        <w:widowControl w:val="0"/>
        <w:kinsoku/>
        <w:wordWrap/>
        <w:overflowPunct/>
        <w:topLinePunct w:val="0"/>
        <w:autoSpaceDE/>
        <w:autoSpaceDN/>
        <w:bidi w:val="0"/>
        <w:spacing w:line="600" w:lineRule="exact"/>
        <w:ind w:left="0" w:leftChars="0" w:right="0" w:firstLine="3080" w:firstLineChars="700"/>
        <w:jc w:val="both"/>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绩效</w:t>
      </w:r>
      <w:r>
        <w:rPr>
          <w:rFonts w:hint="eastAsia" w:ascii="方正小标宋简体" w:hAnsi="方正小标宋简体" w:eastAsia="方正小标宋简体" w:cs="方正小标宋简体"/>
          <w:b w:val="0"/>
          <w:bCs w:val="0"/>
          <w:sz w:val="44"/>
          <w:szCs w:val="44"/>
        </w:rPr>
        <w:t>自评报告</w:t>
      </w:r>
    </w:p>
    <w:p w14:paraId="56405A29">
      <w:pPr>
        <w:spacing w:line="560" w:lineRule="exact"/>
        <w:jc w:val="center"/>
        <w:rPr>
          <w:rFonts w:ascii="华文楷体" w:eastAsia="华文楷体"/>
          <w:sz w:val="32"/>
          <w:szCs w:val="32"/>
        </w:rPr>
      </w:pPr>
    </w:p>
    <w:p w14:paraId="7C8498E3">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val="en-US" w:eastAsia="zh-CN"/>
        </w:rPr>
        <w:t>市直机关工委</w:t>
      </w:r>
      <w:r>
        <w:rPr>
          <w:rFonts w:hint="eastAsia" w:ascii="仿宋" w:hAnsi="仿宋" w:eastAsia="仿宋"/>
          <w:sz w:val="32"/>
          <w:szCs w:val="32"/>
        </w:rPr>
        <w:t>部门202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14:paraId="4535C6FB">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549B5807">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（一）部门概况</w:t>
      </w:r>
    </w:p>
    <w:p w14:paraId="16A7A332">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3" w:firstLineChars="200"/>
        <w:textAlignment w:val="auto"/>
        <w:outlineLvl w:val="9"/>
        <w:rPr>
          <w:rFonts w:hint="eastAsia" w:ascii="仿宋" w:hAnsi="仿宋" w:eastAsia="仿宋"/>
          <w:sz w:val="32"/>
          <w:szCs w:val="32"/>
          <w:lang w:eastAsia="zh-CN"/>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lang w:eastAsia="zh-CN"/>
        </w:rPr>
        <w:t>根据《石家庄市直机关工委职能配置、内设机构和人员编制规定》，石家庄市直机关工委的主要职责是：</w:t>
      </w:r>
    </w:p>
    <w:p w14:paraId="170B3F97">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（一）统一组织、规划、部署市直机关党的工作，提出加强和改进机关党的建设的意见和建议，研究制定工作规划，并抓好组织实施。</w:t>
      </w:r>
    </w:p>
    <w:p w14:paraId="1C925B33">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（二）指导市直机关党的政治建设、思想建设、组织建设、作风建设、纪律建设，把制度建设贯穿其中，深入推进反腐败斗争。</w:t>
      </w:r>
    </w:p>
    <w:p w14:paraId="1A2DACEE">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（三）指导市直机关各级党组织和广大党员学习马克思列宁主义、毛泽东思想、邓小平理论、“三个代表”重要思想、科学发展观、习近平新时代中国特色社会主义思想。</w:t>
      </w:r>
    </w:p>
    <w:p w14:paraId="764F8EA9">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（四）对市直机关各级党组织、党员领导干部落实党建责任制、遵守政治纪律和政治规矩情况进行监督检查，并向市委报告。</w:t>
      </w:r>
    </w:p>
    <w:p w14:paraId="384E37A2">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（五）指导市直机关各级党组织实施对党员特别是党员领导干部的监督和管理，及时向市委反映各部门领导班子、领导干部的情况。</w:t>
      </w:r>
    </w:p>
    <w:p w14:paraId="17F1A269">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（六）配合市委有关部门抓好市直机关各部门领导班子思想政治建设，参与对党员领导干部民主生活会和党组（党委）理论学习中心组学习的督促检查和指导，了解掌握情况，按规定报送情况报告。</w:t>
      </w:r>
    </w:p>
    <w:p w14:paraId="3E8F81BA">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（七）督促指导市直机关各部门机关党委按期换届，审批关于召开党员大会或党员代表大会的请示，审批市直机关各部门机关党委和机关纪委领导班子的组成及书记、副书记的任免。</w:t>
      </w:r>
    </w:p>
    <w:p w14:paraId="3BFA0ED2">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（八）指导市直机关各级党组织加强基层组织建设，做好党员发展、教育和管理等工作。</w:t>
      </w:r>
    </w:p>
    <w:p w14:paraId="16AB6FF4">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（九）领导市直机关各部门机关党的纪律检查工作。</w:t>
      </w:r>
    </w:p>
    <w:p w14:paraId="504A5577">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（十）了解掌握市直机关工作人员的思想状况，指导市直机关各级党组织加强思想政治工作和精神文明建设。</w:t>
      </w:r>
    </w:p>
    <w:p w14:paraId="0D1776E2">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(十一)指导市直机关各级党组织做好党的群众工作、统一战线和人民武装工作。领导市直机关工会、共青团、妇委会等群团组织的工作。</w:t>
      </w:r>
    </w:p>
    <w:p w14:paraId="42340383">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（十二）协同有关部门指导、规划、协调、监督、检査市直机关干部教育培训工作，培训轮训市直机关正科级党员领导干部和党务干部。</w:t>
      </w:r>
    </w:p>
    <w:p w14:paraId="305A3B33">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（十三）指导各县（市、区）机关工委党建的工作。</w:t>
      </w:r>
    </w:p>
    <w:p w14:paraId="2B200889">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（十四）完成市委交办的其他任务。</w:t>
      </w:r>
    </w:p>
    <w:p w14:paraId="5E4F2686">
      <w:pPr>
        <w:keepNext w:val="0"/>
        <w:keepLines w:val="0"/>
        <w:pageBreakBefore w:val="0"/>
        <w:widowControl w:val="0"/>
        <w:kinsoku/>
        <w:wordWrap/>
        <w:overflowPunct/>
        <w:topLinePunct w:val="0"/>
        <w:autoSpaceDE/>
        <w:autoSpaceDN/>
        <w:bidi w:val="0"/>
        <w:spacing w:line="600" w:lineRule="exact"/>
        <w:ind w:firstLine="643" w:firstLineChars="200"/>
        <w:textAlignment w:val="auto"/>
        <w:rPr>
          <w:rFonts w:hint="eastAsia" w:ascii="仿宋_GB2312" w:hAnsi="宋体" w:eastAsia="仿宋_GB2312" w:cs="宋体"/>
          <w:sz w:val="32"/>
          <w:szCs w:val="32"/>
          <w:lang w:eastAsia="zh-CN"/>
        </w:rPr>
      </w:pPr>
      <w:r>
        <w:rPr>
          <w:rFonts w:hint="eastAsia" w:ascii="仿宋_GB2312" w:eastAsia="仿宋_GB2312"/>
          <w:b/>
          <w:bCs/>
          <w:sz w:val="32"/>
          <w:szCs w:val="32"/>
          <w:lang w:val="en-US" w:eastAsia="zh-CN"/>
        </w:rPr>
        <w:t>2、市委市直机关工委</w:t>
      </w:r>
      <w:r>
        <w:rPr>
          <w:rFonts w:hint="eastAsia" w:ascii="仿宋_GB2312" w:hAnsi="宋体" w:eastAsia="仿宋_GB2312" w:cs="宋体"/>
          <w:b/>
          <w:bCs/>
          <w:sz w:val="32"/>
          <w:szCs w:val="32"/>
        </w:rPr>
        <w:t>设</w:t>
      </w:r>
      <w:r>
        <w:rPr>
          <w:rFonts w:hint="eastAsia" w:ascii="仿宋_GB2312" w:hAnsi="宋体" w:eastAsia="仿宋_GB2312" w:cs="宋体"/>
          <w:b/>
          <w:bCs/>
          <w:sz w:val="32"/>
          <w:szCs w:val="32"/>
          <w:lang w:eastAsia="zh-CN"/>
        </w:rPr>
        <w:t>下列</w:t>
      </w:r>
      <w:r>
        <w:rPr>
          <w:rFonts w:hint="eastAsia" w:ascii="仿宋_GB2312" w:hAnsi="宋体" w:eastAsia="仿宋_GB2312" w:cs="宋体"/>
          <w:b/>
          <w:bCs/>
          <w:sz w:val="32"/>
          <w:szCs w:val="32"/>
        </w:rPr>
        <w:t>内设机构</w:t>
      </w:r>
      <w:r>
        <w:rPr>
          <w:rFonts w:hint="eastAsia" w:ascii="仿宋_GB2312" w:hAnsi="宋体" w:eastAsia="仿宋_GB2312" w:cs="宋体"/>
          <w:b/>
          <w:bCs/>
          <w:sz w:val="32"/>
          <w:szCs w:val="32"/>
          <w:lang w:eastAsia="zh-CN"/>
        </w:rPr>
        <w:t>：</w:t>
      </w:r>
    </w:p>
    <w:p w14:paraId="06E64939">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（一）办公室、（二）研究室、（三）组织部（市直机关干部教育办公室）、（四）宣传部（市直精神文明建设委员会办公室）。</w:t>
      </w:r>
    </w:p>
    <w:p w14:paraId="04C551CB">
      <w:pPr>
        <w:keepNext w:val="0"/>
        <w:keepLines w:val="0"/>
        <w:pageBreakBefore w:val="0"/>
        <w:widowControl w:val="0"/>
        <w:kinsoku/>
        <w:wordWrap/>
        <w:overflowPunct/>
        <w:topLinePunct w:val="0"/>
        <w:autoSpaceDE/>
        <w:autoSpaceDN/>
        <w:bidi w:val="0"/>
        <w:adjustRightInd w:val="0"/>
        <w:snapToGrid w:val="0"/>
        <w:spacing w:line="600" w:lineRule="exact"/>
        <w:ind w:right="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党建督查室、(六)统战部（市直机关团工委、市直机关妇工委）、（七）市直属机关工会工作委员会、（八）市直人民武装部、（九）机关党委（人事处）、（十）市直机关纪检监察工作委员会（副县级）。</w:t>
      </w:r>
    </w:p>
    <w:p w14:paraId="30DF526F">
      <w:pPr>
        <w:keepNext w:val="0"/>
        <w:keepLines w:val="0"/>
        <w:pageBreakBefore w:val="0"/>
        <w:widowControl w:val="0"/>
        <w:kinsoku/>
        <w:wordWrap/>
        <w:overflowPunct/>
        <w:topLinePunct w:val="0"/>
        <w:autoSpaceDE/>
        <w:autoSpaceDN/>
        <w:bidi w:val="0"/>
        <w:spacing w:line="600" w:lineRule="exact"/>
        <w:ind w:firstLine="643" w:firstLineChars="200"/>
        <w:textAlignment w:val="auto"/>
        <w:rPr>
          <w:rFonts w:hint="default" w:ascii="仿宋_GB2312" w:eastAsia="仿宋_GB2312"/>
          <w:b/>
          <w:bCs/>
          <w:sz w:val="32"/>
          <w:szCs w:val="32"/>
          <w:lang w:val="en-US" w:eastAsia="zh-CN"/>
        </w:rPr>
      </w:pPr>
      <w:r>
        <w:rPr>
          <w:rFonts w:hint="eastAsia" w:ascii="仿宋_GB2312" w:eastAsia="仿宋_GB2312"/>
          <w:b/>
          <w:bCs/>
          <w:sz w:val="32"/>
          <w:szCs w:val="32"/>
          <w:lang w:val="en-US" w:eastAsia="zh-CN"/>
        </w:rPr>
        <w:t>3、</w:t>
      </w:r>
      <w:r>
        <w:rPr>
          <w:rFonts w:hint="eastAsia" w:ascii="仿宋" w:hAnsi="仿宋" w:eastAsia="仿宋"/>
          <w:b/>
          <w:bCs/>
          <w:sz w:val="32"/>
          <w:szCs w:val="32"/>
          <w:lang w:eastAsia="zh-CN"/>
        </w:rPr>
        <w:t>人员、资产</w:t>
      </w:r>
      <w:r>
        <w:rPr>
          <w:rFonts w:hint="eastAsia" w:ascii="仿宋" w:hAnsi="仿宋" w:eastAsia="仿宋"/>
          <w:b/>
          <w:bCs/>
          <w:sz w:val="32"/>
          <w:szCs w:val="32"/>
        </w:rPr>
        <w:t>基本情况</w:t>
      </w:r>
    </w:p>
    <w:p w14:paraId="76DE5509">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楷体" w:hAnsi="楷体" w:eastAsia="楷体" w:cs="楷体_GB2312"/>
          <w:bCs/>
          <w:color w:val="auto"/>
          <w:sz w:val="32"/>
          <w:szCs w:val="32"/>
          <w:highlight w:val="yellow"/>
          <w:lang w:eastAsia="zh-CN"/>
        </w:rPr>
      </w:pPr>
      <w:r>
        <w:rPr>
          <w:rFonts w:hint="eastAsia" w:ascii="仿宋_GB2312" w:hAnsi="仿宋_GB2312" w:eastAsia="仿宋_GB2312" w:cs="仿宋_GB2312"/>
          <w:color w:val="auto"/>
          <w:sz w:val="32"/>
          <w:szCs w:val="32"/>
          <w:highlight w:val="none"/>
          <w:lang w:eastAsia="zh-CN"/>
        </w:rPr>
        <w:t>我单位现有编制</w:t>
      </w:r>
      <w:r>
        <w:rPr>
          <w:rFonts w:hint="eastAsia" w:ascii="仿宋_GB2312" w:hAnsi="仿宋_GB2312" w:eastAsia="仿宋_GB2312" w:cs="仿宋_GB2312"/>
          <w:color w:val="auto"/>
          <w:sz w:val="32"/>
          <w:szCs w:val="32"/>
          <w:highlight w:val="none"/>
          <w:lang w:val="en-US" w:eastAsia="zh-CN"/>
        </w:rPr>
        <w:t>40人，实有45人，资产截至2023年12月31日止，固定资产原值142.3万元，固定资产净值56.98万元。</w:t>
      </w:r>
    </w:p>
    <w:p w14:paraId="75619EA3">
      <w:pPr>
        <w:numPr>
          <w:ilvl w:val="0"/>
          <w:numId w:val="1"/>
        </w:numPr>
        <w:adjustRightInd w:val="0"/>
        <w:snapToGrid w:val="0"/>
        <w:spacing w:line="560" w:lineRule="exact"/>
        <w:ind w:firstLine="640" w:firstLineChars="200"/>
        <w:rPr>
          <w:rFonts w:hint="eastAsia" w:ascii="楷体" w:hAnsi="楷体" w:eastAsia="楷体" w:cs="楷体_GB2312"/>
          <w:bCs/>
          <w:sz w:val="32"/>
          <w:szCs w:val="32"/>
          <w:lang w:val="en-US" w:eastAsia="zh-CN"/>
        </w:rPr>
      </w:pPr>
      <w:r>
        <w:rPr>
          <w:rFonts w:hint="eastAsia" w:ascii="楷体" w:hAnsi="楷体" w:eastAsia="楷体" w:cs="楷体_GB2312"/>
          <w:bCs/>
          <w:sz w:val="32"/>
          <w:szCs w:val="32"/>
        </w:rPr>
        <w:t>部门收支预决算情况</w:t>
      </w:r>
    </w:p>
    <w:tbl>
      <w:tblPr>
        <w:tblStyle w:val="8"/>
        <w:tblpPr w:leftFromText="180" w:rightFromText="180" w:vertAnchor="text" w:horzAnchor="page" w:tblpX="1581" w:tblpY="400"/>
        <w:tblOverlap w:val="never"/>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70"/>
        <w:gridCol w:w="2209"/>
        <w:gridCol w:w="1309"/>
        <w:gridCol w:w="1227"/>
        <w:gridCol w:w="2745"/>
      </w:tblGrid>
      <w:tr w14:paraId="03D56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9060" w:type="dxa"/>
            <w:gridSpan w:val="5"/>
            <w:tcBorders>
              <w:top w:val="nil"/>
              <w:left w:val="nil"/>
              <w:bottom w:val="nil"/>
              <w:right w:val="nil"/>
            </w:tcBorders>
            <w:noWrap w:val="0"/>
            <w:vAlign w:val="center"/>
          </w:tcPr>
          <w:p w14:paraId="5DFF0C96">
            <w:pPr>
              <w:keepNext w:val="0"/>
              <w:keepLines w:val="0"/>
              <w:pageBreakBefore w:val="0"/>
              <w:widowControl w:val="0"/>
              <w:kinsoku/>
              <w:wordWrap/>
              <w:overflowPunct/>
              <w:topLinePunct w:val="0"/>
              <w:autoSpaceDE/>
              <w:autoSpaceDN/>
              <w:bidi w:val="0"/>
              <w:adjustRightInd w:val="0"/>
              <w:snapToGrid w:val="0"/>
              <w:spacing w:line="560" w:lineRule="exact"/>
              <w:ind w:right="0"/>
              <w:jc w:val="center"/>
              <w:textAlignment w:val="auto"/>
              <w:outlineLvl w:val="9"/>
              <w:rPr>
                <w:rFonts w:hint="eastAsia" w:ascii="仿宋_GB2312" w:hAnsi="仿宋" w:eastAsia="仿宋_GB2312"/>
                <w:sz w:val="24"/>
                <w:highlight w:val="none"/>
                <w:shd w:val="clear" w:color="auto" w:fill="auto"/>
              </w:rPr>
            </w:pPr>
            <w:r>
              <w:rPr>
                <w:rFonts w:hint="eastAsia" w:ascii="仿宋_GB2312" w:hAnsi="仿宋" w:eastAsia="仿宋_GB2312"/>
                <w:sz w:val="32"/>
                <w:szCs w:val="32"/>
                <w:highlight w:val="none"/>
                <w:shd w:val="clear" w:color="auto" w:fill="auto"/>
                <w:lang w:val="en-US" w:eastAsia="zh-CN"/>
              </w:rPr>
              <w:t>《部门收支预决算情况对比分析表》</w:t>
            </w:r>
          </w:p>
        </w:tc>
      </w:tr>
      <w:tr w14:paraId="39CD6F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gridSpan w:val="5"/>
            <w:tcBorders>
              <w:top w:val="nil"/>
              <w:left w:val="nil"/>
              <w:right w:val="nil"/>
            </w:tcBorders>
            <w:noWrap w:val="0"/>
            <w:vAlign w:val="center"/>
          </w:tcPr>
          <w:p w14:paraId="1FFB9705">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240" w:lineRule="atLeast"/>
              <w:jc w:val="right"/>
              <w:textAlignment w:val="auto"/>
              <w:rPr>
                <w:rFonts w:hint="eastAsia" w:ascii="仿宋_GB2312" w:hAnsi="仿宋" w:eastAsia="仿宋_GB2312"/>
                <w:sz w:val="24"/>
                <w:highlight w:val="none"/>
                <w:shd w:val="clear" w:color="auto" w:fill="auto"/>
              </w:rPr>
            </w:pPr>
            <w:bookmarkStart w:id="0" w:name="_Toc2346"/>
            <w:r>
              <w:rPr>
                <w:rFonts w:hint="eastAsia" w:ascii="仿宋_GB2312" w:hAnsi="仿宋" w:eastAsia="仿宋_GB2312" w:cs="黑体"/>
                <w:b w:val="0"/>
                <w:kern w:val="2"/>
                <w:sz w:val="24"/>
                <w:szCs w:val="22"/>
                <w:highlight w:val="none"/>
                <w:shd w:val="clear" w:color="auto" w:fill="auto"/>
                <w:lang w:val="en-US" w:eastAsia="zh-CN" w:bidi="ar-SA"/>
              </w:rPr>
              <w:t>单位：万元</w:t>
            </w:r>
            <w:bookmarkEnd w:id="0"/>
          </w:p>
        </w:tc>
      </w:tr>
      <w:tr w14:paraId="0204E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trPr>
        <w:tc>
          <w:tcPr>
            <w:tcW w:w="1570" w:type="dxa"/>
            <w:noWrap w:val="0"/>
            <w:vAlign w:val="center"/>
          </w:tcPr>
          <w:p w14:paraId="66A74772">
            <w:pPr>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单</w:t>
            </w:r>
            <w:r>
              <w:rPr>
                <w:rFonts w:hint="eastAsia" w:ascii="仿宋_GB2312" w:hAnsi="仿宋" w:eastAsia="仿宋_GB2312"/>
                <w:sz w:val="24"/>
                <w:highlight w:val="none"/>
                <w:shd w:val="clear" w:color="auto" w:fill="auto"/>
                <w:lang w:val="en-US" w:eastAsia="zh-CN"/>
              </w:rPr>
              <w:t xml:space="preserve"> </w:t>
            </w:r>
            <w:r>
              <w:rPr>
                <w:rFonts w:hint="eastAsia" w:ascii="仿宋_GB2312" w:hAnsi="仿宋" w:eastAsia="仿宋_GB2312"/>
                <w:sz w:val="24"/>
                <w:highlight w:val="none"/>
                <w:shd w:val="clear" w:color="auto" w:fill="auto"/>
              </w:rPr>
              <w:t>位</w:t>
            </w:r>
          </w:p>
        </w:tc>
        <w:tc>
          <w:tcPr>
            <w:tcW w:w="2209" w:type="dxa"/>
            <w:noWrap w:val="0"/>
            <w:vAlign w:val="center"/>
          </w:tcPr>
          <w:p w14:paraId="1B1C8BC3">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项 目</w:t>
            </w:r>
          </w:p>
        </w:tc>
        <w:tc>
          <w:tcPr>
            <w:tcW w:w="1309" w:type="dxa"/>
            <w:noWrap w:val="0"/>
            <w:vAlign w:val="center"/>
          </w:tcPr>
          <w:p w14:paraId="420BA5BC">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预 算</w:t>
            </w:r>
          </w:p>
        </w:tc>
        <w:tc>
          <w:tcPr>
            <w:tcW w:w="1227" w:type="dxa"/>
            <w:noWrap w:val="0"/>
            <w:vAlign w:val="center"/>
          </w:tcPr>
          <w:p w14:paraId="4EC9F831">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决 算</w:t>
            </w:r>
          </w:p>
        </w:tc>
        <w:tc>
          <w:tcPr>
            <w:tcW w:w="2745" w:type="dxa"/>
            <w:noWrap w:val="0"/>
            <w:vAlign w:val="center"/>
          </w:tcPr>
          <w:p w14:paraId="5354FC63">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差 异 原 因</w:t>
            </w:r>
          </w:p>
        </w:tc>
      </w:tr>
      <w:tr w14:paraId="25D6A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trPr>
        <w:tc>
          <w:tcPr>
            <w:tcW w:w="1570" w:type="dxa"/>
            <w:vMerge w:val="restart"/>
            <w:noWrap w:val="0"/>
            <w:vAlign w:val="center"/>
          </w:tcPr>
          <w:p w14:paraId="28867577">
            <w:pPr>
              <w:jc w:val="center"/>
              <w:rPr>
                <w:rFonts w:hint="eastAsia" w:eastAsia="宋体"/>
                <w:highlight w:val="none"/>
                <w:shd w:val="clear" w:color="auto" w:fill="auto"/>
                <w:lang w:eastAsia="zh-CN"/>
              </w:rPr>
            </w:pPr>
            <w:r>
              <w:rPr>
                <w:rFonts w:hint="eastAsia" w:ascii="仿宋_GB2312" w:hAnsi="仿宋" w:eastAsia="仿宋_GB2312"/>
                <w:sz w:val="24"/>
                <w:highlight w:val="none"/>
                <w:shd w:val="clear" w:color="auto" w:fill="auto"/>
                <w:lang w:val="en-US" w:eastAsia="zh-CN"/>
              </w:rPr>
              <w:t>市直机关工委</w:t>
            </w:r>
          </w:p>
        </w:tc>
        <w:tc>
          <w:tcPr>
            <w:tcW w:w="2209" w:type="dxa"/>
            <w:noWrap w:val="0"/>
            <w:vAlign w:val="center"/>
          </w:tcPr>
          <w:p w14:paraId="6E883919">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人员经费</w:t>
            </w:r>
          </w:p>
        </w:tc>
        <w:tc>
          <w:tcPr>
            <w:tcW w:w="1309" w:type="dxa"/>
            <w:noWrap w:val="0"/>
            <w:vAlign w:val="center"/>
          </w:tcPr>
          <w:p w14:paraId="70F3F20B">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1208.12</w:t>
            </w:r>
          </w:p>
        </w:tc>
        <w:tc>
          <w:tcPr>
            <w:tcW w:w="1227" w:type="dxa"/>
            <w:noWrap w:val="0"/>
            <w:vAlign w:val="center"/>
          </w:tcPr>
          <w:p w14:paraId="1F9B9BB2">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1146.51</w:t>
            </w:r>
          </w:p>
        </w:tc>
        <w:tc>
          <w:tcPr>
            <w:tcW w:w="2745" w:type="dxa"/>
            <w:noWrap w:val="0"/>
            <w:vAlign w:val="center"/>
          </w:tcPr>
          <w:p w14:paraId="0F4497AF">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在职人员转退休</w:t>
            </w:r>
          </w:p>
        </w:tc>
      </w:tr>
      <w:tr w14:paraId="4E9F1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trPr>
        <w:tc>
          <w:tcPr>
            <w:tcW w:w="1570" w:type="dxa"/>
            <w:vMerge w:val="continue"/>
            <w:noWrap w:val="0"/>
            <w:vAlign w:val="center"/>
          </w:tcPr>
          <w:p w14:paraId="1334CFDD">
            <w:pPr>
              <w:snapToGrid w:val="0"/>
              <w:spacing w:line="400" w:lineRule="exact"/>
              <w:jc w:val="center"/>
              <w:rPr>
                <w:rFonts w:hint="eastAsia" w:ascii="仿宋_GB2312" w:hAnsi="仿宋" w:eastAsia="仿宋_GB2312"/>
                <w:sz w:val="24"/>
                <w:highlight w:val="none"/>
                <w:shd w:val="clear" w:color="auto" w:fill="auto"/>
              </w:rPr>
            </w:pPr>
          </w:p>
        </w:tc>
        <w:tc>
          <w:tcPr>
            <w:tcW w:w="2209" w:type="dxa"/>
            <w:noWrap w:val="0"/>
            <w:vAlign w:val="center"/>
          </w:tcPr>
          <w:p w14:paraId="59A260FD">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日常公用经费</w:t>
            </w:r>
          </w:p>
        </w:tc>
        <w:tc>
          <w:tcPr>
            <w:tcW w:w="1309" w:type="dxa"/>
            <w:noWrap w:val="0"/>
            <w:vAlign w:val="center"/>
          </w:tcPr>
          <w:p w14:paraId="625956AB">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139.01</w:t>
            </w:r>
          </w:p>
        </w:tc>
        <w:tc>
          <w:tcPr>
            <w:tcW w:w="1227" w:type="dxa"/>
            <w:noWrap w:val="0"/>
            <w:vAlign w:val="center"/>
          </w:tcPr>
          <w:p w14:paraId="4C3704E1">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122.61</w:t>
            </w:r>
          </w:p>
        </w:tc>
        <w:tc>
          <w:tcPr>
            <w:tcW w:w="2745" w:type="dxa"/>
            <w:noWrap w:val="0"/>
            <w:vAlign w:val="center"/>
          </w:tcPr>
          <w:p w14:paraId="31FDA1B6">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部分额度交回财政</w:t>
            </w:r>
          </w:p>
        </w:tc>
      </w:tr>
      <w:tr w14:paraId="59EC7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0" w:type="dxa"/>
            <w:vMerge w:val="continue"/>
            <w:noWrap w:val="0"/>
            <w:vAlign w:val="center"/>
          </w:tcPr>
          <w:p w14:paraId="3A8F79E0">
            <w:pPr>
              <w:snapToGrid w:val="0"/>
              <w:spacing w:line="400" w:lineRule="exact"/>
              <w:jc w:val="center"/>
              <w:rPr>
                <w:rFonts w:hint="eastAsia" w:ascii="仿宋_GB2312" w:hAnsi="仿宋" w:eastAsia="仿宋_GB2312"/>
                <w:sz w:val="24"/>
                <w:highlight w:val="none"/>
                <w:shd w:val="clear" w:color="auto" w:fill="auto"/>
              </w:rPr>
            </w:pPr>
          </w:p>
        </w:tc>
        <w:tc>
          <w:tcPr>
            <w:tcW w:w="2209" w:type="dxa"/>
            <w:noWrap w:val="0"/>
            <w:vAlign w:val="center"/>
          </w:tcPr>
          <w:p w14:paraId="7E602A3C">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项目经费</w:t>
            </w:r>
          </w:p>
        </w:tc>
        <w:tc>
          <w:tcPr>
            <w:tcW w:w="1309" w:type="dxa"/>
            <w:noWrap w:val="0"/>
            <w:vAlign w:val="center"/>
          </w:tcPr>
          <w:p w14:paraId="372DC3F8">
            <w:pPr>
              <w:snapToGrid w:val="0"/>
              <w:spacing w:line="400" w:lineRule="exact"/>
              <w:jc w:val="center"/>
              <w:rPr>
                <w:rFonts w:hint="default" w:ascii="仿宋_GB2312" w:hAnsi="仿宋" w:eastAsia="仿宋_GB2312"/>
                <w:sz w:val="24"/>
                <w:highlight w:val="none"/>
                <w:shd w:val="clear" w:color="auto" w:fill="auto"/>
                <w:lang w:val="en-US"/>
              </w:rPr>
            </w:pPr>
            <w:r>
              <w:rPr>
                <w:rFonts w:hint="eastAsia" w:ascii="仿宋_GB2312" w:hAnsi="仿宋" w:eastAsia="仿宋_GB2312"/>
                <w:sz w:val="24"/>
                <w:highlight w:val="none"/>
                <w:shd w:val="clear" w:color="auto" w:fill="auto"/>
                <w:lang w:val="en-US" w:eastAsia="zh-CN"/>
              </w:rPr>
              <w:t>242.86</w:t>
            </w:r>
          </w:p>
        </w:tc>
        <w:tc>
          <w:tcPr>
            <w:tcW w:w="1227" w:type="dxa"/>
            <w:noWrap w:val="0"/>
            <w:vAlign w:val="center"/>
          </w:tcPr>
          <w:p w14:paraId="5AC6C620">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336.98</w:t>
            </w:r>
          </w:p>
        </w:tc>
        <w:tc>
          <w:tcPr>
            <w:tcW w:w="2745" w:type="dxa"/>
            <w:noWrap w:val="0"/>
            <w:vAlign w:val="center"/>
          </w:tcPr>
          <w:p w14:paraId="1C869187">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部分项目资金剩余，已收回财政</w:t>
            </w:r>
          </w:p>
        </w:tc>
      </w:tr>
      <w:tr w14:paraId="190C10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1570" w:type="dxa"/>
            <w:noWrap w:val="0"/>
            <w:vAlign w:val="center"/>
          </w:tcPr>
          <w:p w14:paraId="4BE38767">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合计</w:t>
            </w:r>
          </w:p>
        </w:tc>
        <w:tc>
          <w:tcPr>
            <w:tcW w:w="2209" w:type="dxa"/>
            <w:noWrap w:val="0"/>
            <w:vAlign w:val="center"/>
          </w:tcPr>
          <w:p w14:paraId="44A4059B">
            <w:pPr>
              <w:snapToGrid w:val="0"/>
              <w:spacing w:line="400" w:lineRule="exact"/>
              <w:jc w:val="center"/>
              <w:rPr>
                <w:rFonts w:hint="eastAsia" w:ascii="仿宋_GB2312" w:hAnsi="仿宋" w:eastAsia="仿宋_GB2312"/>
                <w:sz w:val="24"/>
                <w:highlight w:val="none"/>
                <w:shd w:val="clear" w:color="auto" w:fill="auto"/>
              </w:rPr>
            </w:pPr>
          </w:p>
        </w:tc>
        <w:tc>
          <w:tcPr>
            <w:tcW w:w="1309" w:type="dxa"/>
            <w:noWrap w:val="0"/>
            <w:vAlign w:val="center"/>
          </w:tcPr>
          <w:p w14:paraId="312D4505">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1589.99</w:t>
            </w:r>
          </w:p>
        </w:tc>
        <w:tc>
          <w:tcPr>
            <w:tcW w:w="1227" w:type="dxa"/>
            <w:noWrap w:val="0"/>
            <w:vAlign w:val="center"/>
          </w:tcPr>
          <w:p w14:paraId="7C845AE3">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1606.1</w:t>
            </w:r>
          </w:p>
        </w:tc>
        <w:tc>
          <w:tcPr>
            <w:tcW w:w="2745" w:type="dxa"/>
            <w:noWrap w:val="0"/>
            <w:vAlign w:val="center"/>
          </w:tcPr>
          <w:p w14:paraId="2BA31346">
            <w:pPr>
              <w:snapToGrid w:val="0"/>
              <w:spacing w:line="400" w:lineRule="exact"/>
              <w:jc w:val="center"/>
              <w:rPr>
                <w:rFonts w:hint="eastAsia" w:ascii="仿宋_GB2312" w:hAnsi="仿宋" w:eastAsia="仿宋_GB2312"/>
                <w:sz w:val="24"/>
                <w:highlight w:val="none"/>
                <w:shd w:val="clear" w:color="auto" w:fill="auto"/>
              </w:rPr>
            </w:pPr>
          </w:p>
        </w:tc>
      </w:tr>
    </w:tbl>
    <w:p w14:paraId="79CB0CF2">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color w:val="FF0000"/>
          <w:sz w:val="32"/>
          <w:szCs w:val="32"/>
          <w:lang w:val="en-US" w:eastAsia="zh-CN"/>
        </w:rPr>
      </w:pPr>
    </w:p>
    <w:p w14:paraId="7551EE36">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32E64321">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 ：切实加强机关党务干部队伍建设 ，选拔任用素质高、能力强的同志担任党务干部。抓好基层党组织和党员队 伍的管理。切实做好发展党员工作。加强对入党积极分子的培养、培训和考察。通过开展多种形式的培训活动，不断提高党务干部的工作能力和业务水平，充分发挥党组织的战斗堡垒作用和党员先锋模范作用。制定和落实党务干部队伍建设的整体规划，形成机关党务干部选拔、使用和交流的有效机制。加强对党费收缴、管理、使用情况的督查。</w:t>
      </w:r>
    </w:p>
    <w:p w14:paraId="070DD461">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 ：加强基层党组织领导班子建设 ，配齐配强专 (兼) 职党务干部。举办2023年度入党积极分子培训班、市直     机关党组织书记、专职副书记、党支部书记示范培训班及党务干部培训班共5期，党务干部教育覆盖率达90%以上；加强对民主生活会和民主评议党员等工作的检查、督导；对基层党支部建设加强指导，加大支持力度，选树100个“五好党支部” ， 促进基层支部建设规范化、标准化、科学化。</w:t>
      </w:r>
    </w:p>
    <w:p w14:paraId="665BDDDC">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1D1C090E">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03F75AB6">
      <w:pPr>
        <w:keepNext w:val="0"/>
        <w:keepLines w:val="0"/>
        <w:pageBreakBefore w:val="0"/>
        <w:widowControl w:val="0"/>
        <w:kinsoku/>
        <w:wordWrap/>
        <w:overflowPunct/>
        <w:topLinePunct w:val="0"/>
        <w:autoSpaceDE/>
        <w:autoSpaceDN/>
        <w:bidi w:val="0"/>
        <w:adjustRightInd w:val="0"/>
        <w:snapToGrid w:val="0"/>
        <w:spacing w:line="600" w:lineRule="exact"/>
        <w:ind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为有力推动和引导全面实施预算绩效管理各项工作落实，市直工委成立以祁军英书记为组长，廖文武书记为副组长，张洁、徐铭、贾自超为组员的预算绩效管理领导小组，主要负责市直机关工委预算绩效管理工作的推进、谋划、督导、实施。</w:t>
      </w:r>
    </w:p>
    <w:p w14:paraId="272775F2">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市直工委根据2023年度上级指示和工作安排，年度预算340.86万元,其中党员活动费196.48万元，纪工委案件审查、审理设施保障经费29.2万元，“六跃升六展示”党建引领示范成果展98万元，业务咨询委托费（民兵训练费）6.3万元，办公设备购置费7.81万元，党组织活动经费3.07万元。</w:t>
      </w:r>
    </w:p>
    <w:p w14:paraId="2B82795C">
      <w:pPr>
        <w:spacing w:line="560" w:lineRule="exact"/>
        <w:ind w:firstLine="640" w:firstLineChars="200"/>
        <w:rPr>
          <w:rFonts w:ascii="仿宋" w:hAnsi="仿宋" w:eastAsia="仿宋"/>
          <w:sz w:val="32"/>
          <w:szCs w:val="32"/>
        </w:rPr>
      </w:pPr>
      <w:r>
        <w:rPr>
          <w:rFonts w:hint="eastAsia" w:ascii="仿宋_GB2312" w:hAnsi="仿宋_GB2312" w:eastAsia="仿宋_GB2312" w:cs="仿宋_GB2312"/>
          <w:sz w:val="32"/>
          <w:szCs w:val="32"/>
          <w:lang w:val="en-US" w:eastAsia="zh-CN"/>
        </w:rPr>
        <w:t>工委各部室根据年度预算绩效目标，结合任务职能工作，按照市委市政府相关指示精神和要求，科学统筹，严密组织，精</w:t>
      </w:r>
      <w:r>
        <w:rPr>
          <w:rFonts w:hint="eastAsia" w:ascii="仿宋" w:hAnsi="仿宋" w:eastAsia="仿宋"/>
          <w:sz w:val="32"/>
          <w:szCs w:val="32"/>
          <w:lang w:val="en-US" w:eastAsia="zh-CN"/>
        </w:rPr>
        <w:t>打细算，合理运用开支，组织市直部门各项活动共计40余项。</w:t>
      </w:r>
    </w:p>
    <w:p w14:paraId="481DB566">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0B5D88D1">
      <w:pPr>
        <w:keepNext w:val="0"/>
        <w:keepLines w:val="0"/>
        <w:pageBreakBefore w:val="0"/>
        <w:widowControl w:val="0"/>
        <w:numPr>
          <w:ilvl w:val="0"/>
          <w:numId w:val="0"/>
        </w:numPr>
        <w:kinsoku/>
        <w:wordWrap/>
        <w:overflowPunct/>
        <w:topLinePunct w:val="0"/>
        <w:autoSpaceDE/>
        <w:autoSpaceDN/>
        <w:bidi w:val="0"/>
        <w:spacing w:line="600" w:lineRule="exact"/>
        <w:ind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工委各部室根据年度预算绩效目标，结合任务职能工作，科</w:t>
      </w:r>
    </w:p>
    <w:p w14:paraId="05C66D1F">
      <w:pPr>
        <w:keepNext w:val="0"/>
        <w:keepLines w:val="0"/>
        <w:pageBreakBefore w:val="0"/>
        <w:widowControl w:val="0"/>
        <w:numPr>
          <w:ilvl w:val="0"/>
          <w:numId w:val="0"/>
        </w:numPr>
        <w:kinsoku/>
        <w:wordWrap/>
        <w:overflowPunct/>
        <w:topLinePunct w:val="0"/>
        <w:autoSpaceDE/>
        <w:autoSpaceDN/>
        <w:bidi w:val="0"/>
        <w:spacing w:line="600" w:lineRule="exact"/>
        <w:ind w:right="0" w:rightChars="0"/>
        <w:textAlignment w:val="auto"/>
        <w:outlineLvl w:val="9"/>
        <w:rPr>
          <w:rFonts w:ascii="楷体" w:hAnsi="楷体" w:eastAsia="楷体" w:cs="楷体_GB2312"/>
          <w:bCs/>
          <w:sz w:val="32"/>
          <w:szCs w:val="32"/>
        </w:rPr>
      </w:pPr>
      <w:r>
        <w:rPr>
          <w:rFonts w:hint="eastAsia" w:ascii="仿宋_GB2312" w:hAnsi="仿宋_GB2312" w:eastAsia="仿宋_GB2312" w:cs="仿宋_GB2312"/>
          <w:sz w:val="32"/>
          <w:szCs w:val="32"/>
          <w:lang w:val="en-US" w:eastAsia="zh-CN"/>
        </w:rPr>
        <w:t>学统筹，严密组织，精</w:t>
      </w:r>
      <w:r>
        <w:rPr>
          <w:rFonts w:hint="eastAsia" w:ascii="仿宋" w:hAnsi="仿宋" w:eastAsia="仿宋"/>
          <w:sz w:val="32"/>
          <w:szCs w:val="32"/>
          <w:lang w:val="en-US" w:eastAsia="zh-CN"/>
        </w:rPr>
        <w:t>打细算，合理运用开支，并进行了自查。</w:t>
      </w:r>
    </w:p>
    <w:p w14:paraId="0F16BB7A">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29B12C53">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5799C15A">
      <w:pPr>
        <w:spacing w:line="570" w:lineRule="exact"/>
        <w:ind w:firstLine="640" w:firstLineChars="200"/>
        <w:jc w:val="left"/>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今年以来，市委市直机关工委坚持以习近平新时代中国特色社会主义思想为指导，聚焦围绕中心、建设队伍、服务群众职责任务，以党的政治建设为统领，着力深化理论武装，着力夯实基层基础，着力推进正风肃纪，以高质量机关党建引领全市经济社会高质量发展，为加快建设现代化、国际化美丽省会城市</w:t>
      </w:r>
      <w:r>
        <w:rPr>
          <w:rFonts w:hint="eastAsia" w:ascii="仿宋_GB2312" w:hAnsi="仿宋_GB2312" w:eastAsia="仿宋_GB2312" w:cs="仿宋_GB2312"/>
          <w:color w:val="000000" w:themeColor="text1"/>
          <w:sz w:val="32"/>
          <w:szCs w:val="32"/>
          <w:lang w:eastAsia="zh-CN"/>
          <w14:textFill>
            <w14:solidFill>
              <w14:schemeClr w14:val="tx1"/>
            </w14:solidFill>
          </w14:textFill>
        </w:rPr>
        <w:t>贡献了工委力量</w:t>
      </w:r>
      <w:r>
        <w:rPr>
          <w:rFonts w:hint="eastAsia" w:ascii="仿宋_GB2312" w:hAnsi="仿宋_GB2312" w:eastAsia="仿宋_GB2312" w:cs="仿宋_GB2312"/>
          <w:color w:val="000000" w:themeColor="text1"/>
          <w:sz w:val="32"/>
          <w:szCs w:val="32"/>
          <w14:textFill>
            <w14:solidFill>
              <w14:schemeClr w14:val="tx1"/>
            </w14:solidFill>
          </w14:textFill>
        </w:rPr>
        <w:t>。</w:t>
      </w:r>
    </w:p>
    <w:p w14:paraId="5C307632">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5D003D61">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jc w:val="both"/>
        <w:textAlignment w:val="auto"/>
        <w:rPr>
          <w:rFonts w:hint="eastAsia" w:ascii="仿宋" w:hAnsi="仿宋" w:eastAsia="仿宋"/>
          <w:sz w:val="32"/>
          <w:szCs w:val="32"/>
          <w:lang w:val="en-US" w:eastAsia="zh-CN"/>
        </w:rPr>
      </w:pPr>
      <w:r>
        <w:rPr>
          <w:rFonts w:hint="eastAsia" w:ascii="仿宋" w:hAnsi="仿宋" w:eastAsia="仿宋"/>
          <w:b/>
          <w:bCs/>
          <w:sz w:val="32"/>
          <w:szCs w:val="32"/>
          <w:lang w:val="en-US" w:eastAsia="zh-CN"/>
        </w:rPr>
        <w:t>1、加强机关党的思想建设</w:t>
      </w:r>
    </w:p>
    <w:p w14:paraId="27871621">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绩效目标：指导各基层党组织建立经常性的思想政治工作制度，加强对党员干部的理论教育，指导市直机关中心组理论学习，大力推进机关精神文明建设。</w:t>
      </w:r>
    </w:p>
    <w:p w14:paraId="41CD643C">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利用各种有效载体开展宣传教育活动，举办中心组理论骨干(秘书)或理论骨干培训班,开展2023年度精神文明建设及普法工作，组织开展党员志愿服务活动8场次以上，党员干部参与率达100%，公众满意率95%以上；组织完成2023年度市直企事业单位初级政工职称评定。</w:t>
      </w:r>
    </w:p>
    <w:p w14:paraId="6AE017C5">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jc w:val="both"/>
        <w:textAlignment w:val="auto"/>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2、加强机关党的基层组织建设</w:t>
      </w:r>
    </w:p>
    <w:p w14:paraId="4BD09EA9">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切实加强机关党务干部队伍建设，选拔任用素质高、能力强的同志担任党务干部。抓好基层党组织和党员队伍的管理。切实做好发展党员工作。加强对入党积极分子的培养、培训和考察。通过开展多种形式的培训活动，不断提高党务干部的工作能力和业务水平，充分发挥党组织的战斗堡垒作用和党员先锋模范作用。制定和落实党务干部队伍建设的整体规划，形成机关党务干部选拔、使用和交流的有效机制。加强对党费收缴、管理、使用情况的督查。</w:t>
      </w:r>
    </w:p>
    <w:p w14:paraId="5BBC4AE9">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加强基层党组织领导班子建设，配齐配强专（兼）职党务干部。举办2023年度入党积极分子培训班、市直机关党组织书记、专职副书记、党支部书记示范培训班及党务干部培训班共4期，党务干部教育覆盖率达90%以上；加强对民主生活会和民主评议党员等工作的检查、督导；对基层党支部建设加强指导，加大支持力度，选树100个“五好党支部”，促进基层支部建设规范化、标准化、科学化。</w:t>
      </w:r>
    </w:p>
    <w:p w14:paraId="368EBCBD">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jc w:val="both"/>
        <w:textAlignment w:val="auto"/>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3、加强机关党风廉政建设</w:t>
      </w:r>
    </w:p>
    <w:p w14:paraId="6C92A3BA">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领导市直各部门机关党委的纪律检查工作，加大对违反八项规定行为的检查和问责力度，违纪案件明显减少，作风进一步好转。强化党内监督，加大预防和惩治腐败力度。认真做好来信来访工作，严肃查办违纪违法案件。积极开展党性党风党纪主题教育活动。负责市直机关行政监察职能目标绩效管理、作风评议工作。</w:t>
      </w:r>
    </w:p>
    <w:p w14:paraId="07495787">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绩效指标：案件办结率达到100%，党员干部违纪核查工作完成率95%以上。通过多种形式，扎实开展反腐倡廉形势教育、示范教育和警示教育。党风廉政建设宣传工作完成率95%以上。举办2023年度纪检干部培训班1期。</w:t>
      </w:r>
    </w:p>
    <w:p w14:paraId="0CFD8401">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jc w:val="both"/>
        <w:textAlignment w:val="auto"/>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4、加强市直机关统战、工、青、妇组织建设和人民武装工作</w:t>
      </w:r>
    </w:p>
    <w:p w14:paraId="45A3DCF9">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绩效目标：指导市直机关动员组织党外人士、群众团体积极开展活动，加强团组织和妇联组织建设。教育引导市直干部职工学习国防知识，增强国防观念，加强民兵组织建设，提高民兵组织战斗力。</w:t>
      </w:r>
    </w:p>
    <w:p w14:paraId="30049368">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扎实开展“青字号”品牌工作。认真做好2023年度市直系统先进团组织和优秀团务工作者、优秀团员的评比、表彰和推荐工作，做好团组织和妇女组织换届工作，组织团干部的学习和培训。工会组织广泛开展建设职工之家和送温暖活动，积极为干部职工特别是困难职工办实事、办好事。组织举办国防形势报告、过军事活动日、国防知识教育等动。抓好专业分队的规范化建设和训练、演练。</w:t>
      </w:r>
    </w:p>
    <w:p w14:paraId="29B8372F">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jc w:val="both"/>
        <w:textAlignment w:val="auto"/>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5、加强机关党建研究工作</w:t>
      </w:r>
    </w:p>
    <w:p w14:paraId="40D3A964">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绩效目标：做好机关党建网络建设、调研交流工作。</w:t>
      </w:r>
    </w:p>
    <w:p w14:paraId="77DBE201">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_GB2312" w:hAnsi="仿宋_GB2312" w:eastAsia="仿宋_GB2312" w:cs="仿宋_GB2312"/>
          <w:sz w:val="32"/>
          <w:szCs w:val="32"/>
          <w:lang w:val="en-US" w:eastAsia="zh-CN"/>
        </w:rPr>
        <w:t>绩效指标：承办“石家庄机关党建”杂志，办好“石家庄党建网”，举办2023年度党建信息平台管理员培训1期，组织召开全市机关党建工作座谈会1次、机关党建研讨会1次。</w:t>
      </w:r>
      <w:r>
        <w:rPr>
          <w:rFonts w:hint="eastAsia" w:ascii="仿宋" w:hAnsi="仿宋" w:eastAsia="仿宋"/>
          <w:sz w:val="32"/>
          <w:szCs w:val="32"/>
          <w:lang w:val="en-US" w:eastAsia="zh-CN"/>
        </w:rPr>
        <w:tab/>
      </w:r>
    </w:p>
    <w:p w14:paraId="7CCD9B4E">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4280B8EE">
      <w:pPr>
        <w:keepNext w:val="0"/>
        <w:keepLines w:val="0"/>
        <w:pageBreakBefore w:val="0"/>
        <w:widowControl w:val="0"/>
        <w:kinsoku/>
        <w:wordWrap/>
        <w:overflowPunct/>
        <w:topLinePunct w:val="0"/>
        <w:autoSpaceDE/>
        <w:autoSpaceDN/>
        <w:bidi w:val="0"/>
        <w:adjustRightInd/>
        <w:spacing w:line="560" w:lineRule="exact"/>
        <w:ind w:left="0" w:leftChars="0" w:right="0" w:firstLine="640" w:firstLineChars="200"/>
        <w:textAlignment w:val="auto"/>
        <w:outlineLvl w:val="9"/>
        <w:rPr>
          <w:rFonts w:hint="eastAsia" w:ascii="仿宋" w:hAnsi="仿宋" w:eastAsia="仿宋"/>
          <w:sz w:val="32"/>
          <w:szCs w:val="32"/>
          <w:highlight w:val="none"/>
          <w:shd w:val="clear" w:color="auto" w:fill="auto"/>
        </w:rPr>
      </w:pPr>
      <w:r>
        <w:rPr>
          <w:rFonts w:hint="eastAsia" w:ascii="仿宋" w:hAnsi="仿宋" w:eastAsia="仿宋"/>
          <w:sz w:val="32"/>
          <w:szCs w:val="32"/>
          <w:highlight w:val="none"/>
          <w:shd w:val="clear" w:color="auto" w:fill="auto"/>
        </w:rPr>
        <w:t>根据</w:t>
      </w:r>
      <w:r>
        <w:rPr>
          <w:rFonts w:hint="eastAsia" w:ascii="仿宋" w:hAnsi="仿宋" w:eastAsia="仿宋"/>
          <w:sz w:val="32"/>
          <w:szCs w:val="32"/>
          <w:highlight w:val="none"/>
          <w:shd w:val="clear" w:color="auto" w:fill="auto"/>
          <w:lang w:eastAsia="zh-CN"/>
        </w:rPr>
        <w:t>部门职责定位和各项工作履职情况进行综合评价</w:t>
      </w:r>
      <w:r>
        <w:rPr>
          <w:rFonts w:hint="eastAsia" w:ascii="仿宋" w:hAnsi="仿宋" w:eastAsia="仿宋"/>
          <w:sz w:val="32"/>
          <w:szCs w:val="32"/>
          <w:highlight w:val="none"/>
          <w:shd w:val="clear" w:color="auto" w:fill="auto"/>
        </w:rPr>
        <w:t>，给出总得分，满分100分，得出综合绩效评价等级。</w:t>
      </w:r>
      <w:r>
        <w:rPr>
          <w:rFonts w:hint="eastAsia" w:ascii="仿宋" w:hAnsi="仿宋" w:eastAsia="仿宋"/>
          <w:sz w:val="32"/>
          <w:szCs w:val="32"/>
          <w:highlight w:val="none"/>
          <w:shd w:val="clear" w:color="auto" w:fill="auto"/>
          <w:lang w:eastAsia="zh-CN"/>
        </w:rPr>
        <w:t>部门整体支出</w:t>
      </w:r>
      <w:r>
        <w:rPr>
          <w:rFonts w:hint="eastAsia" w:ascii="仿宋" w:hAnsi="仿宋" w:eastAsia="仿宋"/>
          <w:sz w:val="32"/>
          <w:szCs w:val="32"/>
          <w:highlight w:val="none"/>
          <w:shd w:val="clear" w:color="auto" w:fill="auto"/>
        </w:rPr>
        <w:t>综合绩效评价分为4个等级：得分</w:t>
      </w:r>
      <w:r>
        <w:rPr>
          <w:rFonts w:ascii="仿宋" w:hAnsi="仿宋" w:eastAsia="仿宋" w:cs="Arial"/>
          <w:sz w:val="32"/>
          <w:szCs w:val="32"/>
          <w:highlight w:val="none"/>
          <w:shd w:val="clear" w:color="auto" w:fill="auto"/>
        </w:rPr>
        <w:t>≥</w:t>
      </w:r>
      <w:r>
        <w:rPr>
          <w:rFonts w:hint="eastAsia" w:ascii="仿宋" w:hAnsi="仿宋" w:eastAsia="仿宋"/>
          <w:sz w:val="32"/>
          <w:szCs w:val="32"/>
          <w:highlight w:val="none"/>
          <w:shd w:val="clear" w:color="auto" w:fill="auto"/>
        </w:rPr>
        <w:t>85分为优秀；75</w:t>
      </w:r>
      <w:r>
        <w:rPr>
          <w:rFonts w:ascii="仿宋" w:hAnsi="仿宋" w:eastAsia="仿宋" w:cs="Arial"/>
          <w:sz w:val="32"/>
          <w:szCs w:val="32"/>
          <w:highlight w:val="none"/>
          <w:shd w:val="clear" w:color="auto" w:fill="auto"/>
        </w:rPr>
        <w:t>≤</w:t>
      </w:r>
      <w:r>
        <w:rPr>
          <w:rFonts w:hint="eastAsia" w:ascii="仿宋" w:hAnsi="仿宋" w:eastAsia="仿宋"/>
          <w:sz w:val="32"/>
          <w:szCs w:val="32"/>
          <w:highlight w:val="none"/>
          <w:shd w:val="clear" w:color="auto" w:fill="auto"/>
        </w:rPr>
        <w:t>得分＜85分为良好；60</w:t>
      </w:r>
      <w:r>
        <w:rPr>
          <w:rFonts w:ascii="仿宋" w:hAnsi="仿宋" w:eastAsia="仿宋" w:cs="Arial"/>
          <w:sz w:val="32"/>
          <w:szCs w:val="32"/>
          <w:highlight w:val="none"/>
          <w:shd w:val="clear" w:color="auto" w:fill="auto"/>
        </w:rPr>
        <w:t>≤</w:t>
      </w:r>
      <w:r>
        <w:rPr>
          <w:rFonts w:hint="eastAsia" w:ascii="仿宋" w:hAnsi="仿宋" w:eastAsia="仿宋"/>
          <w:sz w:val="32"/>
          <w:szCs w:val="32"/>
          <w:highlight w:val="none"/>
          <w:shd w:val="clear" w:color="auto" w:fill="auto"/>
        </w:rPr>
        <w:t>得分＜75分为一般；得分＜60分为较差。</w:t>
      </w:r>
    </w:p>
    <w:p w14:paraId="46FA17B2">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ascii="仿宋" w:hAnsi="仿宋" w:eastAsia="仿宋"/>
          <w:sz w:val="32"/>
          <w:szCs w:val="32"/>
        </w:rPr>
      </w:pPr>
      <w:r>
        <w:rPr>
          <w:rFonts w:hint="eastAsia" w:ascii="仿宋_GB2312" w:hAnsi="仿宋_GB2312" w:eastAsia="仿宋_GB2312" w:cs="仿宋_GB2312"/>
          <w:sz w:val="32"/>
          <w:szCs w:val="32"/>
          <w:lang w:val="en-US" w:eastAsia="zh-CN"/>
        </w:rPr>
        <w:t>根据市直工委2023年度项目执行情况和项目绩效情况，市直工委自评得分98.62分，自我评价为优秀。</w:t>
      </w:r>
    </w:p>
    <w:p w14:paraId="46B9E465">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698F7A9C">
      <w:pPr>
        <w:numPr>
          <w:ilvl w:val="0"/>
          <w:numId w:val="0"/>
        </w:numPr>
        <w:spacing w:line="560" w:lineRule="exact"/>
        <w:ind w:firstLine="640" w:firstLineChars="200"/>
        <w:rPr>
          <w:rFonts w:ascii="楷体" w:hAnsi="楷体" w:eastAsia="楷体"/>
          <w:bCs/>
          <w:sz w:val="32"/>
          <w:szCs w:val="32"/>
        </w:rPr>
      </w:pPr>
      <w:r>
        <w:rPr>
          <w:rFonts w:hint="eastAsia" w:ascii="仿宋_GB2312" w:hAnsi="仿宋_GB2312" w:eastAsia="仿宋_GB2312" w:cs="仿宋_GB2312"/>
          <w:sz w:val="32"/>
          <w:szCs w:val="32"/>
          <w:lang w:val="en-US" w:eastAsia="zh-CN"/>
        </w:rPr>
        <w:t>2023年度，市直工委预算工作执行率还不够好，在下步工作中需要改进和提高。一是加强财务管理，积极学习，严格执行《预算法》；二是严格按照年度计划，认真统筹，科学配资，</w:t>
      </w:r>
      <w:bookmarkStart w:id="1" w:name="_GoBack"/>
      <w:bookmarkEnd w:id="1"/>
      <w:r>
        <w:rPr>
          <w:rFonts w:hint="eastAsia" w:ascii="仿宋_GB2312" w:hAnsi="仿宋_GB2312" w:eastAsia="仿宋_GB2312" w:cs="仿宋_GB2312"/>
          <w:sz w:val="32"/>
          <w:szCs w:val="32"/>
          <w:lang w:val="en-US" w:eastAsia="zh-CN"/>
        </w:rPr>
        <w:t>对标对表抓各项工作的落实。三是严格按照预算时间节点完成支出进度，精打细算，厉行节约，程序规范。</w:t>
      </w:r>
    </w:p>
    <w:p w14:paraId="297A366A">
      <w:pPr>
        <w:numPr>
          <w:ilvl w:val="0"/>
          <w:numId w:val="4"/>
        </w:num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评价工作组人员名单及签字（姓名、工作单位、职务、职称）</w:t>
      </w:r>
    </w:p>
    <w:p w14:paraId="67745AF8">
      <w:pPr>
        <w:numPr>
          <w:ilvl w:val="0"/>
          <w:numId w:val="0"/>
        </w:numPr>
        <w:adjustRightInd w:val="0"/>
        <w:snapToGrid w:val="0"/>
        <w:spacing w:line="560" w:lineRule="exact"/>
        <w:ind w:firstLine="640" w:firstLineChars="200"/>
        <w:rPr>
          <w:rFonts w:hint="eastAsia" w:ascii="仿宋_GB2312" w:eastAsia="仿宋_GB2312"/>
          <w:sz w:val="32"/>
          <w:szCs w:val="32"/>
          <w:lang w:val="en-US" w:eastAsia="zh-CN"/>
        </w:rPr>
      </w:pPr>
      <w:r>
        <w:rPr>
          <w:rFonts w:hint="eastAsia" w:ascii="仿宋_GB2312" w:eastAsia="仿宋_GB2312"/>
          <w:sz w:val="32"/>
          <w:szCs w:val="32"/>
          <w:lang w:eastAsia="zh-CN"/>
        </w:rPr>
        <w:t>贾自超，市直工委，办公室</w:t>
      </w:r>
      <w:r>
        <w:rPr>
          <w:rFonts w:hint="eastAsia" w:ascii="仿宋_GB2312" w:eastAsia="仿宋_GB2312"/>
          <w:sz w:val="32"/>
          <w:szCs w:val="32"/>
          <w:lang w:val="en-US" w:eastAsia="zh-CN"/>
        </w:rPr>
        <w:t>财务会计</w:t>
      </w:r>
    </w:p>
    <w:p w14:paraId="7CF63690">
      <w:pPr>
        <w:numPr>
          <w:ilvl w:val="0"/>
          <w:numId w:val="0"/>
        </w:numPr>
        <w:adjustRightInd w:val="0"/>
        <w:snapToGrid w:val="0"/>
        <w:spacing w:line="560" w:lineRule="exact"/>
        <w:ind w:firstLine="640" w:firstLineChars="200"/>
        <w:rPr>
          <w:rFonts w:hint="eastAsia" w:ascii="仿宋_GB2312" w:eastAsia="仿宋_GB2312"/>
          <w:sz w:val="32"/>
          <w:szCs w:val="32"/>
          <w:lang w:val="en-US" w:eastAsia="zh-CN"/>
        </w:rPr>
      </w:pPr>
    </w:p>
    <w:p w14:paraId="1A935F6B">
      <w:pPr>
        <w:numPr>
          <w:ilvl w:val="0"/>
          <w:numId w:val="0"/>
        </w:numPr>
        <w:adjustRightInd w:val="0"/>
        <w:snapToGrid w:val="0"/>
        <w:spacing w:line="560" w:lineRule="exact"/>
        <w:ind w:firstLine="640" w:firstLineChars="200"/>
        <w:rPr>
          <w:rFonts w:hint="eastAsia" w:ascii="仿宋_GB2312" w:eastAsia="仿宋_GB2312"/>
          <w:sz w:val="32"/>
          <w:szCs w:val="32"/>
          <w:lang w:val="en-US" w:eastAsia="zh-CN"/>
        </w:rPr>
      </w:pPr>
    </w:p>
    <w:p w14:paraId="6AFF48DA">
      <w:pPr>
        <w:pStyle w:val="7"/>
        <w:ind w:left="0" w:leftChars="0" w:firstLine="0" w:firstLineChars="0"/>
        <w:rPr>
          <w:rFonts w:hint="eastAsia"/>
          <w:lang w:val="en-US" w:eastAsia="zh-CN"/>
        </w:rPr>
      </w:pPr>
    </w:p>
    <w:p w14:paraId="54AFE82F">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firstLine="640" w:firstLineChars="200"/>
        <w:jc w:val="center"/>
        <w:textAlignment w:val="auto"/>
        <w:outlineLvl w:val="9"/>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lang w:eastAsia="zh-CN"/>
        </w:rPr>
        <w:t>市直机关工委</w:t>
      </w:r>
    </w:p>
    <w:p w14:paraId="2DABDEA6">
      <w:pPr>
        <w:numPr>
          <w:ilvl w:val="0"/>
          <w:numId w:val="0"/>
        </w:numPr>
        <w:adjustRightInd w:val="0"/>
        <w:snapToGrid w:val="0"/>
        <w:spacing w:line="560" w:lineRule="exact"/>
        <w:ind w:firstLine="5440" w:firstLineChars="1700"/>
        <w:rPr>
          <w:rFonts w:ascii="仿宋" w:hAnsi="仿宋" w:eastAsia="仿宋"/>
        </w:rPr>
      </w:pPr>
      <w:r>
        <w:rPr>
          <w:rFonts w:hint="eastAsia" w:ascii="仿宋_GB2312" w:eastAsia="仿宋_GB2312"/>
          <w:sz w:val="32"/>
          <w:szCs w:val="32"/>
          <w:lang w:val="en-US" w:eastAsia="zh-CN"/>
        </w:rPr>
        <w:t>2024年4月10日</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方正舒体"/>
    <w:panose1 w:val="02000000000000000000"/>
    <w:charset w:val="86"/>
    <w:family w:val="auto"/>
    <w:pitch w:val="default"/>
    <w:sig w:usb0="00000000" w:usb1="00000000" w:usb2="00000012" w:usb3="00000000" w:csb0="00040001"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9C0CA8">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B4AA79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1B4AA79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217FA8D7"/>
    <w:multiLevelType w:val="singleLevel"/>
    <w:tmpl w:val="217FA8D7"/>
    <w:lvl w:ilvl="0" w:tentative="0">
      <w:start w:val="2"/>
      <w:numFmt w:val="chineseCounting"/>
      <w:suff w:val="nothing"/>
      <w:lvlText w:val="（%1）"/>
      <w:lvlJc w:val="left"/>
      <w:rPr>
        <w:rFonts w:hint="eastAsia"/>
      </w:rPr>
    </w:lvl>
  </w:abstractNum>
  <w:abstractNum w:abstractNumId="2">
    <w:nsid w:val="3BD53FE8"/>
    <w:multiLevelType w:val="singleLevel"/>
    <w:tmpl w:val="3BD53FE8"/>
    <w:lvl w:ilvl="0" w:tentative="0">
      <w:start w:val="6"/>
      <w:numFmt w:val="chineseCounting"/>
      <w:suff w:val="nothing"/>
      <w:lvlText w:val="%1、"/>
      <w:lvlJc w:val="left"/>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NiZWYyOTZmY2NiYTc0ZjRiYTlmZDczNmY4NDZlNzE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840FD2"/>
    <w:rsid w:val="02B43A28"/>
    <w:rsid w:val="046F331E"/>
    <w:rsid w:val="05046312"/>
    <w:rsid w:val="065212C9"/>
    <w:rsid w:val="07956271"/>
    <w:rsid w:val="09721397"/>
    <w:rsid w:val="0BB63BED"/>
    <w:rsid w:val="0EB97A43"/>
    <w:rsid w:val="0EBD2122"/>
    <w:rsid w:val="0F214EAE"/>
    <w:rsid w:val="10E50D20"/>
    <w:rsid w:val="11B71E6A"/>
    <w:rsid w:val="127152A8"/>
    <w:rsid w:val="1A6E4896"/>
    <w:rsid w:val="1AAF0063"/>
    <w:rsid w:val="1BE140DE"/>
    <w:rsid w:val="1FE4140E"/>
    <w:rsid w:val="21D73DBD"/>
    <w:rsid w:val="22D0356F"/>
    <w:rsid w:val="248C197D"/>
    <w:rsid w:val="24BD373E"/>
    <w:rsid w:val="252959AF"/>
    <w:rsid w:val="2762165B"/>
    <w:rsid w:val="277A6671"/>
    <w:rsid w:val="27FA6CAC"/>
    <w:rsid w:val="292D35B7"/>
    <w:rsid w:val="30706F4E"/>
    <w:rsid w:val="33EB6CFF"/>
    <w:rsid w:val="35A12947"/>
    <w:rsid w:val="36A0201D"/>
    <w:rsid w:val="37387040"/>
    <w:rsid w:val="3B625C0A"/>
    <w:rsid w:val="3CEE1963"/>
    <w:rsid w:val="41503EBD"/>
    <w:rsid w:val="48D17873"/>
    <w:rsid w:val="4B5A1437"/>
    <w:rsid w:val="4C9C27FE"/>
    <w:rsid w:val="512260B4"/>
    <w:rsid w:val="51A67184"/>
    <w:rsid w:val="52BD6ACB"/>
    <w:rsid w:val="55537534"/>
    <w:rsid w:val="561A74F1"/>
    <w:rsid w:val="597244E8"/>
    <w:rsid w:val="59E2410E"/>
    <w:rsid w:val="5AF820D3"/>
    <w:rsid w:val="5EB71C30"/>
    <w:rsid w:val="657131AE"/>
    <w:rsid w:val="666D0F8B"/>
    <w:rsid w:val="66AF0CE5"/>
    <w:rsid w:val="67FC4CA3"/>
    <w:rsid w:val="6919313E"/>
    <w:rsid w:val="6AC537CF"/>
    <w:rsid w:val="6E5B14A6"/>
    <w:rsid w:val="711B255E"/>
    <w:rsid w:val="74F7526D"/>
    <w:rsid w:val="77387D66"/>
    <w:rsid w:val="77AD62C7"/>
    <w:rsid w:val="7BB51E06"/>
    <w:rsid w:val="7C387F7C"/>
    <w:rsid w:val="7E433A7E"/>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2">
    <w:name w:val="heading 2"/>
    <w:basedOn w:val="1"/>
    <w:next w:val="1"/>
    <w:qFormat/>
    <w:uiPriority w:val="0"/>
    <w:pPr>
      <w:spacing w:before="100" w:beforeLines="0" w:beforeAutospacing="1" w:after="100" w:afterLines="0" w:afterAutospacing="1"/>
      <w:jc w:val="left"/>
      <w:outlineLvl w:val="1"/>
    </w:pPr>
    <w:rPr>
      <w:rFonts w:hint="eastAsia" w:ascii="宋体" w:hAnsi="宋体" w:eastAsia="宋体" w:cs="宋体"/>
      <w:b/>
      <w:kern w:val="0"/>
      <w:sz w:val="36"/>
      <w:szCs w:val="36"/>
      <w:lang w:val="en-US" w:eastAsia="zh-CN" w:bidi="ar"/>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Indent"/>
    <w:basedOn w:val="1"/>
    <w:next w:val="4"/>
    <w:unhideWhenUsed/>
    <w:qFormat/>
    <w:uiPriority w:val="0"/>
    <w:pPr>
      <w:spacing w:after="120"/>
      <w:ind w:left="420" w:leftChars="200"/>
    </w:pPr>
  </w:style>
  <w:style w:type="paragraph" w:styleId="4">
    <w:name w:val="Subtitle"/>
    <w:basedOn w:val="1"/>
    <w:next w:val="1"/>
    <w:qFormat/>
    <w:uiPriority w:val="0"/>
    <w:pPr>
      <w:wordWrap w:val="0"/>
      <w:spacing w:after="60"/>
      <w:jc w:val="center"/>
    </w:pPr>
    <w:rPr>
      <w:rFonts w:ascii="Times New Roman" w:hAnsi="Times New Roman" w:cs="Times New Roman"/>
      <w:sz w:val="24"/>
      <w:szCs w:val="22"/>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7">
    <w:name w:val="Body Text First Indent 2"/>
    <w:basedOn w:val="3"/>
    <w:next w:val="1"/>
    <w:qFormat/>
    <w:uiPriority w:val="0"/>
    <w:pPr>
      <w:spacing w:after="0" w:line="360" w:lineRule="auto"/>
      <w:ind w:left="0" w:leftChars="0" w:firstLine="420" w:firstLineChars="200"/>
      <w:textAlignment w:val="baseline"/>
    </w:pPr>
    <w:rPr>
      <w:rFonts w:hint="eastAsia" w:cs="Times New Roman"/>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3831</Words>
  <Characters>3987</Characters>
  <Lines>4</Lines>
  <Paragraphs>1</Paragraphs>
  <TotalTime>7</TotalTime>
  <ScaleCrop>false</ScaleCrop>
  <LinksUpToDate>false</LinksUpToDate>
  <CharactersWithSpaces>4050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2022-01-19T07:24:00Z</cp:lastPrinted>
  <dcterms:modified xsi:type="dcterms:W3CDTF">2025-04-02T07:28:16Z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82CBF99867AA4965A30FC3C46D487CE1</vt:lpwstr>
  </property>
  <property fmtid="{D5CDD505-2E9C-101B-9397-08002B2CF9AE}" pid="4" name="KSOTemplateDocerSaveRecord">
    <vt:lpwstr>eyJoZGlkIjoiZWFiZDA5ODMyMjczYmM0MDUyYjk1NDhmMzg4ZjdmODkiLCJ1c2VySWQiOiIxNTUwMjQwMDk2In0=</vt:lpwstr>
  </property>
</Properties>
</file>