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default"/>
          <w:color w:val="FF0000"/>
          <w:sz w:val="24"/>
          <w:lang w:val="en-US"/>
        </w:rPr>
        <w:t xml:space="preserve"> </w:t>
      </w: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default"/>
          <w:lang w:val="en-US"/>
        </w:rPr>
        <w:t>7</w:t>
      </w:r>
      <w:r>
        <w:fldChar w:fldCharType="end"/>
      </w:r>
    </w:p>
    <w:p>
      <w:pPr>
        <w:pStyle w:val="3"/>
        <w:tabs>
          <w:tab w:val="right" w:leader="dot" w:pos="14562"/>
        </w:tabs>
        <w:rPr>
          <w:rFonts w:hint="default"/>
          <w:lang w:val="en-US"/>
        </w:rPr>
      </w:pPr>
      <w:r>
        <w:fldChar w:fldCharType="begin"/>
      </w:r>
      <w:r>
        <w:instrText xml:space="preserve"> HYPERLINK \l "_Toc_2_2_0000000005" </w:instrText>
      </w:r>
      <w:r>
        <w:fldChar w:fldCharType="separate"/>
      </w:r>
      <w:r>
        <w:t>部门预算一般公共预算财政拨款支出表</w:t>
      </w:r>
      <w:r>
        <w:tab/>
      </w:r>
      <w:r>
        <w:rPr>
          <w:rFonts w:hint="default"/>
          <w:lang w:val="en-US"/>
        </w:rPr>
        <w:t>1</w:t>
      </w:r>
      <w:r>
        <w:fldChar w:fldCharType="end"/>
      </w:r>
      <w:r>
        <w:rPr>
          <w:rFonts w:hint="default"/>
          <w:lang w:val="en-US"/>
        </w:rPr>
        <w:t>0</w:t>
      </w:r>
    </w:p>
    <w:p>
      <w:pPr>
        <w:pStyle w:val="3"/>
        <w:tabs>
          <w:tab w:val="right" w:leader="dot" w:pos="14562"/>
        </w:tabs>
        <w:rPr>
          <w:rFonts w:hint="default"/>
          <w:lang w:val="en-US"/>
        </w:rPr>
      </w:pPr>
      <w:r>
        <w:fldChar w:fldCharType="begin"/>
      </w:r>
      <w:r>
        <w:instrText xml:space="preserve"> HYPERLINK \l "_Toc_2_2_0000000006" </w:instrText>
      </w:r>
      <w:r>
        <w:fldChar w:fldCharType="separate"/>
      </w:r>
      <w:r>
        <w:t>部门预算一般公共预算财政拨款基本支出表</w:t>
      </w:r>
      <w:r>
        <w:tab/>
      </w:r>
      <w:r>
        <w:rPr>
          <w:rFonts w:hint="default"/>
          <w:lang w:val="en-US"/>
        </w:rPr>
        <w:t>1</w:t>
      </w:r>
      <w:r>
        <w:fldChar w:fldCharType="end"/>
      </w:r>
      <w:r>
        <w:rPr>
          <w:rFonts w:hint="default"/>
          <w:lang w:val="en-US"/>
        </w:rPr>
        <w:t>1</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default"/>
          <w:lang w:val="en-US"/>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default"/>
          <w:lang w:val="en-US"/>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default"/>
          <w:lang w:val="en-US"/>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default"/>
          <w:lang w:val="en-US"/>
        </w:rPr>
        <w:t>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default"/>
          <w:lang w:val="en-US"/>
        </w:rP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default"/>
          <w:lang w:val="en-US"/>
        </w:rPr>
        <w:t>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default"/>
          <w:lang w:val="en-US"/>
        </w:rPr>
        <w:t>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default"/>
          <w:lang w:val="en-US"/>
        </w:rPr>
        <w:t>9</w:t>
      </w:r>
      <w:r>
        <w:fldChar w:fldCharType="end"/>
      </w:r>
      <w:r>
        <w:fldChar w:fldCharType="end"/>
      </w:r>
    </w:p>
    <w:p>
      <w:pPr>
        <w:pStyle w:val="3"/>
        <w:tabs>
          <w:tab w:val="right" w:leader="dot" w:pos="14562"/>
        </w:tabs>
        <w:rPr>
          <w:rFonts w:hint="default"/>
          <w:lang w:val="en-US"/>
        </w:rPr>
      </w:pPr>
      <w:r>
        <w:fldChar w:fldCharType="begin"/>
      </w:r>
      <w:r>
        <w:instrText xml:space="preserve"> HYPERLINK \l "_Toc_3_3_0000000015" </w:instrText>
      </w:r>
      <w:r>
        <w:fldChar w:fldCharType="separate"/>
      </w:r>
      <w:r>
        <w:t>六、部门主管专项资金预算安排情况及绩效目标</w:t>
      </w:r>
      <w:r>
        <w:tab/>
      </w:r>
      <w:r>
        <w:rPr>
          <w:rFonts w:hint="default"/>
          <w:lang w:val="en-US"/>
        </w:rPr>
        <w:t>2</w:t>
      </w:r>
      <w:r>
        <w:fldChar w:fldCharType="end"/>
      </w:r>
      <w:r>
        <w:rPr>
          <w:rFonts w:hint="default"/>
          <w:lang w:val="en-US"/>
        </w:rPr>
        <w:t>2</w:t>
      </w:r>
    </w:p>
    <w:p>
      <w:pPr>
        <w:pStyle w:val="3"/>
        <w:tabs>
          <w:tab w:val="right" w:leader="dot" w:pos="14562"/>
        </w:tabs>
        <w:rPr>
          <w:rFonts w:hint="default"/>
          <w:lang w:val="en-US"/>
        </w:rPr>
      </w:pPr>
      <w:r>
        <w:fldChar w:fldCharType="begin"/>
      </w:r>
      <w:r>
        <w:instrText xml:space="preserve"> HYPERLINK \l "_Toc_3_3_0000000016" </w:instrText>
      </w:r>
      <w:r>
        <w:fldChar w:fldCharType="separate"/>
      </w:r>
      <w:r>
        <w:t>七、部门项目预算安排情况及绩效目标</w:t>
      </w:r>
      <w:r>
        <w:tab/>
      </w:r>
      <w:r>
        <w:rPr>
          <w:rFonts w:hint="default"/>
          <w:lang w:val="en-US"/>
        </w:rPr>
        <w:t>2</w:t>
      </w:r>
      <w:r>
        <w:fldChar w:fldCharType="end"/>
      </w:r>
      <w:r>
        <w:rPr>
          <w:rFonts w:hint="default"/>
          <w:lang w:val="en-US"/>
        </w:rPr>
        <w:t>3</w:t>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default"/>
          <w:lang w:val="en-US"/>
        </w:rPr>
        <w:t>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default"/>
          <w:lang w:val="en-US"/>
        </w:rPr>
        <w:t>9</w:t>
      </w:r>
      <w:r>
        <w:fldChar w:fldCharType="end"/>
      </w:r>
      <w:r>
        <w:fldChar w:fldCharType="end"/>
      </w:r>
    </w:p>
    <w:p>
      <w:pPr>
        <w:pStyle w:val="3"/>
        <w:tabs>
          <w:tab w:val="right" w:leader="dot" w:pos="14562"/>
        </w:tabs>
        <w:rPr>
          <w:rFonts w:hint="default"/>
          <w:lang w:val="en-US"/>
        </w:rPr>
      </w:pPr>
      <w:r>
        <w:fldChar w:fldCharType="begin"/>
      </w:r>
      <w:r>
        <w:instrText xml:space="preserve"> HYPERLINK \l "_Toc_3_3_0000000019" </w:instrText>
      </w:r>
      <w:r>
        <w:fldChar w:fldCharType="separate"/>
      </w:r>
      <w:r>
        <w:t>十、名词解释</w:t>
      </w:r>
      <w:r>
        <w:tab/>
      </w:r>
      <w:r>
        <w:rPr>
          <w:rFonts w:hint="default"/>
          <w:lang w:val="en-US"/>
        </w:rPr>
        <w:t>3</w:t>
      </w:r>
      <w:r>
        <w:fldChar w:fldCharType="end"/>
      </w:r>
      <w:r>
        <w:rPr>
          <w:rFonts w:hint="default"/>
          <w:lang w:val="en-US"/>
        </w:rPr>
        <w:t>0</w:t>
      </w:r>
      <w:bookmarkStart w:id="20" w:name="_GoBack"/>
      <w:bookmarkEnd w:id="20"/>
    </w:p>
    <w:p>
      <w:pPr>
        <w:pStyle w:val="3"/>
        <w:tabs>
          <w:tab w:val="right" w:leader="dot" w:pos="14562"/>
        </w:tabs>
        <w:rPr>
          <w:rFonts w:hint="default"/>
          <w:lang w:val="en-US"/>
        </w:rPr>
      </w:pPr>
      <w:r>
        <w:fldChar w:fldCharType="begin"/>
      </w:r>
      <w:r>
        <w:instrText xml:space="preserve"> HYPERLINK \l "_Toc_3_3_0000000020" </w:instrText>
      </w:r>
      <w:r>
        <w:fldChar w:fldCharType="separate"/>
      </w:r>
      <w:r>
        <w:t>十一、其他需要说明的事项</w:t>
      </w:r>
      <w:r>
        <w:tab/>
      </w:r>
      <w:r>
        <w:rPr>
          <w:rFonts w:hint="default"/>
          <w:lang w:val="en-US"/>
        </w:rPr>
        <w:t>3</w:t>
      </w:r>
      <w:r>
        <w:fldChar w:fldCharType="end"/>
      </w:r>
      <w:r>
        <w:rPr>
          <w:rFonts w:hint="default"/>
          <w:lang w:val="en-US"/>
        </w:rPr>
        <w:t>1</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575.71</w:t>
            </w:r>
          </w:p>
        </w:tc>
        <w:tc>
          <w:tcPr>
            <w:tcW w:w="4535" w:type="dxa"/>
            <w:vAlign w:val="center"/>
          </w:tcPr>
          <w:p>
            <w:pPr>
              <w:pStyle w:val="13"/>
            </w:pPr>
            <w:r>
              <w:t>一、一般公共服务支出</w:t>
            </w:r>
          </w:p>
        </w:tc>
        <w:tc>
          <w:tcPr>
            <w:tcW w:w="2126" w:type="dxa"/>
            <w:vAlign w:val="center"/>
          </w:tcPr>
          <w:p>
            <w:pPr>
              <w:pStyle w:val="12"/>
            </w:pPr>
            <w:r>
              <w:t>361.40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575.71</w:t>
            </w:r>
          </w:p>
        </w:tc>
        <w:tc>
          <w:tcPr>
            <w:tcW w:w="4535" w:type="dxa"/>
            <w:vAlign w:val="center"/>
          </w:tcPr>
          <w:p>
            <w:pPr>
              <w:pStyle w:val="15"/>
            </w:pPr>
            <w:r>
              <w:t>本年支出合计</w:t>
            </w:r>
          </w:p>
        </w:tc>
        <w:tc>
          <w:tcPr>
            <w:tcW w:w="2126" w:type="dxa"/>
            <w:vAlign w:val="center"/>
          </w:tcPr>
          <w:p>
            <w:pPr>
              <w:pStyle w:val="16"/>
            </w:pPr>
            <w:r>
              <w:t>575.71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575.71</w:t>
            </w:r>
          </w:p>
        </w:tc>
        <w:tc>
          <w:tcPr>
            <w:tcW w:w="4535" w:type="dxa"/>
            <w:vAlign w:val="center"/>
          </w:tcPr>
          <w:p>
            <w:pPr>
              <w:pStyle w:val="15"/>
            </w:pPr>
            <w:r>
              <w:t>支出总计</w:t>
            </w:r>
          </w:p>
        </w:tc>
        <w:tc>
          <w:tcPr>
            <w:tcW w:w="2126" w:type="dxa"/>
            <w:vAlign w:val="center"/>
          </w:tcPr>
          <w:p>
            <w:pPr>
              <w:pStyle w:val="16"/>
            </w:pPr>
            <w:r>
              <w:t>575.71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283中共石家庄市委党史研究室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575.71</w:t>
            </w:r>
          </w:p>
        </w:tc>
        <w:tc>
          <w:tcPr>
            <w:tcW w:w="1134" w:type="dxa"/>
            <w:vAlign w:val="center"/>
          </w:tcPr>
          <w:p>
            <w:pPr>
              <w:pStyle w:val="16"/>
            </w:pPr>
            <w:r>
              <w:t>575.71</w:t>
            </w:r>
          </w:p>
        </w:tc>
        <w:tc>
          <w:tcPr>
            <w:tcW w:w="1134" w:type="dxa"/>
            <w:vAlign w:val="center"/>
          </w:tcPr>
          <w:p>
            <w:pPr>
              <w:pStyle w:val="16"/>
            </w:pPr>
            <w:r>
              <w:t>575.71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2013699</w:t>
            </w:r>
          </w:p>
        </w:tc>
        <w:tc>
          <w:tcPr>
            <w:tcW w:w="1559" w:type="dxa"/>
            <w:vAlign w:val="center"/>
          </w:tcPr>
          <w:p>
            <w:pPr>
              <w:pStyle w:val="13"/>
            </w:pPr>
            <w:r>
              <w:t>其他共产党事务支出</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r>
              <w:t>361.40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160.82</w:t>
            </w:r>
          </w:p>
        </w:tc>
        <w:tc>
          <w:tcPr>
            <w:tcW w:w="1134" w:type="dxa"/>
            <w:vAlign w:val="center"/>
          </w:tcPr>
          <w:p>
            <w:pPr>
              <w:pStyle w:val="12"/>
            </w:pPr>
            <w:r>
              <w:t>160.82</w:t>
            </w:r>
          </w:p>
        </w:tc>
        <w:tc>
          <w:tcPr>
            <w:tcW w:w="1134" w:type="dxa"/>
            <w:vAlign w:val="center"/>
          </w:tcPr>
          <w:p>
            <w:pPr>
              <w:pStyle w:val="12"/>
            </w:pPr>
            <w:r>
              <w:t>160.82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159.81</w:t>
            </w:r>
          </w:p>
        </w:tc>
        <w:tc>
          <w:tcPr>
            <w:tcW w:w="1134" w:type="dxa"/>
            <w:vAlign w:val="center"/>
          </w:tcPr>
          <w:p>
            <w:pPr>
              <w:pStyle w:val="12"/>
            </w:pPr>
            <w:r>
              <w:t>159.81</w:t>
            </w:r>
          </w:p>
        </w:tc>
        <w:tc>
          <w:tcPr>
            <w:tcW w:w="1134" w:type="dxa"/>
            <w:vAlign w:val="center"/>
          </w:tcPr>
          <w:p>
            <w:pPr>
              <w:pStyle w:val="12"/>
            </w:pPr>
            <w:r>
              <w:t>159.81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127.16</w:t>
            </w:r>
          </w:p>
        </w:tc>
        <w:tc>
          <w:tcPr>
            <w:tcW w:w="1134" w:type="dxa"/>
            <w:vAlign w:val="center"/>
          </w:tcPr>
          <w:p>
            <w:pPr>
              <w:pStyle w:val="12"/>
            </w:pPr>
            <w:r>
              <w:t>127.16</w:t>
            </w:r>
          </w:p>
        </w:tc>
        <w:tc>
          <w:tcPr>
            <w:tcW w:w="1134" w:type="dxa"/>
            <w:vAlign w:val="center"/>
          </w:tcPr>
          <w:p>
            <w:pPr>
              <w:pStyle w:val="12"/>
            </w:pPr>
            <w:r>
              <w:t>127.16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32.65</w:t>
            </w:r>
          </w:p>
        </w:tc>
        <w:tc>
          <w:tcPr>
            <w:tcW w:w="1134" w:type="dxa"/>
            <w:vAlign w:val="center"/>
          </w:tcPr>
          <w:p>
            <w:pPr>
              <w:pStyle w:val="12"/>
            </w:pPr>
            <w:r>
              <w:t>32.65</w:t>
            </w:r>
          </w:p>
        </w:tc>
        <w:tc>
          <w:tcPr>
            <w:tcW w:w="1134" w:type="dxa"/>
            <w:vAlign w:val="center"/>
          </w:tcPr>
          <w:p>
            <w:pPr>
              <w:pStyle w:val="12"/>
            </w:pPr>
            <w:r>
              <w:t>32.65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1.01</w:t>
            </w:r>
          </w:p>
        </w:tc>
        <w:tc>
          <w:tcPr>
            <w:tcW w:w="1134" w:type="dxa"/>
            <w:vAlign w:val="center"/>
          </w:tcPr>
          <w:p>
            <w:pPr>
              <w:pStyle w:val="12"/>
            </w:pPr>
            <w:r>
              <w:t>1.01</w:t>
            </w:r>
          </w:p>
        </w:tc>
        <w:tc>
          <w:tcPr>
            <w:tcW w:w="1134" w:type="dxa"/>
            <w:vAlign w:val="center"/>
          </w:tcPr>
          <w:p>
            <w:pPr>
              <w:pStyle w:val="12"/>
            </w:pPr>
            <w:r>
              <w:t>1.01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1.01</w:t>
            </w:r>
          </w:p>
        </w:tc>
        <w:tc>
          <w:tcPr>
            <w:tcW w:w="1134" w:type="dxa"/>
            <w:vAlign w:val="center"/>
          </w:tcPr>
          <w:p>
            <w:pPr>
              <w:pStyle w:val="12"/>
            </w:pPr>
            <w:r>
              <w:t>1.01</w:t>
            </w:r>
          </w:p>
        </w:tc>
        <w:tc>
          <w:tcPr>
            <w:tcW w:w="1134" w:type="dxa"/>
            <w:vAlign w:val="center"/>
          </w:tcPr>
          <w:p>
            <w:pPr>
              <w:pStyle w:val="12"/>
            </w:pPr>
            <w:r>
              <w:t>1.01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23.73</w:t>
            </w:r>
          </w:p>
        </w:tc>
        <w:tc>
          <w:tcPr>
            <w:tcW w:w="1134" w:type="dxa"/>
            <w:vAlign w:val="center"/>
          </w:tcPr>
          <w:p>
            <w:pPr>
              <w:pStyle w:val="12"/>
            </w:pPr>
            <w:r>
              <w:t>23.73</w:t>
            </w:r>
          </w:p>
        </w:tc>
        <w:tc>
          <w:tcPr>
            <w:tcW w:w="1134" w:type="dxa"/>
            <w:vAlign w:val="center"/>
          </w:tcPr>
          <w:p>
            <w:pPr>
              <w:pStyle w:val="12"/>
            </w:pPr>
            <w:r>
              <w:t>23.73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23.73</w:t>
            </w:r>
          </w:p>
        </w:tc>
        <w:tc>
          <w:tcPr>
            <w:tcW w:w="1134" w:type="dxa"/>
            <w:vAlign w:val="center"/>
          </w:tcPr>
          <w:p>
            <w:pPr>
              <w:pStyle w:val="12"/>
            </w:pPr>
            <w:r>
              <w:t>23.73</w:t>
            </w:r>
          </w:p>
        </w:tc>
        <w:tc>
          <w:tcPr>
            <w:tcW w:w="1134" w:type="dxa"/>
            <w:vAlign w:val="center"/>
          </w:tcPr>
          <w:p>
            <w:pPr>
              <w:pStyle w:val="12"/>
            </w:pPr>
            <w:r>
              <w:t>23.73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13.38</w:t>
            </w:r>
          </w:p>
        </w:tc>
        <w:tc>
          <w:tcPr>
            <w:tcW w:w="1134" w:type="dxa"/>
            <w:vAlign w:val="center"/>
          </w:tcPr>
          <w:p>
            <w:pPr>
              <w:pStyle w:val="12"/>
            </w:pPr>
            <w:r>
              <w:t>13.38</w:t>
            </w:r>
          </w:p>
        </w:tc>
        <w:tc>
          <w:tcPr>
            <w:tcW w:w="1134" w:type="dxa"/>
            <w:vAlign w:val="center"/>
          </w:tcPr>
          <w:p>
            <w:pPr>
              <w:pStyle w:val="12"/>
            </w:pPr>
            <w:r>
              <w:t>13.38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10.35</w:t>
            </w:r>
          </w:p>
        </w:tc>
        <w:tc>
          <w:tcPr>
            <w:tcW w:w="1134" w:type="dxa"/>
            <w:vAlign w:val="center"/>
          </w:tcPr>
          <w:p>
            <w:pPr>
              <w:pStyle w:val="12"/>
            </w:pPr>
            <w:r>
              <w:t>10.35</w:t>
            </w:r>
          </w:p>
        </w:tc>
        <w:tc>
          <w:tcPr>
            <w:tcW w:w="1134" w:type="dxa"/>
            <w:vAlign w:val="center"/>
          </w:tcPr>
          <w:p>
            <w:pPr>
              <w:pStyle w:val="12"/>
            </w:pPr>
            <w:r>
              <w:t>10.35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r>
              <w:t>29.76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575.71</w:t>
            </w:r>
          </w:p>
        </w:tc>
        <w:tc>
          <w:tcPr>
            <w:tcW w:w="1361" w:type="dxa"/>
            <w:vAlign w:val="center"/>
          </w:tcPr>
          <w:p>
            <w:pPr>
              <w:pStyle w:val="16"/>
            </w:pPr>
            <w:r>
              <w:t>537.31</w:t>
            </w:r>
          </w:p>
        </w:tc>
        <w:tc>
          <w:tcPr>
            <w:tcW w:w="1361" w:type="dxa"/>
            <w:vAlign w:val="center"/>
          </w:tcPr>
          <w:p>
            <w:pPr>
              <w:pStyle w:val="16"/>
            </w:pPr>
            <w:r>
              <w:t>38.40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361.40</w:t>
            </w:r>
          </w:p>
        </w:tc>
        <w:tc>
          <w:tcPr>
            <w:tcW w:w="1361" w:type="dxa"/>
            <w:vAlign w:val="center"/>
          </w:tcPr>
          <w:p>
            <w:pPr>
              <w:pStyle w:val="12"/>
            </w:pPr>
            <w:r>
              <w:t>323.00</w:t>
            </w:r>
          </w:p>
        </w:tc>
        <w:tc>
          <w:tcPr>
            <w:tcW w:w="1361" w:type="dxa"/>
            <w:vAlign w:val="center"/>
          </w:tcPr>
          <w:p>
            <w:pPr>
              <w:pStyle w:val="12"/>
            </w:pPr>
            <w:r>
              <w:t>38.40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361.40</w:t>
            </w:r>
          </w:p>
        </w:tc>
        <w:tc>
          <w:tcPr>
            <w:tcW w:w="1361" w:type="dxa"/>
            <w:vAlign w:val="center"/>
          </w:tcPr>
          <w:p>
            <w:pPr>
              <w:pStyle w:val="12"/>
            </w:pPr>
            <w:r>
              <w:t>323.00</w:t>
            </w:r>
          </w:p>
        </w:tc>
        <w:tc>
          <w:tcPr>
            <w:tcW w:w="1361" w:type="dxa"/>
            <w:vAlign w:val="center"/>
          </w:tcPr>
          <w:p>
            <w:pPr>
              <w:pStyle w:val="12"/>
            </w:pPr>
            <w:r>
              <w:t>38.40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2013699</w:t>
            </w:r>
          </w:p>
        </w:tc>
        <w:tc>
          <w:tcPr>
            <w:tcW w:w="4535" w:type="dxa"/>
            <w:vAlign w:val="center"/>
          </w:tcPr>
          <w:p>
            <w:pPr>
              <w:pStyle w:val="13"/>
            </w:pPr>
            <w:r>
              <w:t>其他共产党事务支出</w:t>
            </w:r>
          </w:p>
        </w:tc>
        <w:tc>
          <w:tcPr>
            <w:tcW w:w="1361" w:type="dxa"/>
            <w:vAlign w:val="center"/>
          </w:tcPr>
          <w:p>
            <w:pPr>
              <w:pStyle w:val="12"/>
            </w:pPr>
            <w:r>
              <w:t>361.40</w:t>
            </w:r>
          </w:p>
        </w:tc>
        <w:tc>
          <w:tcPr>
            <w:tcW w:w="1361" w:type="dxa"/>
            <w:vAlign w:val="center"/>
          </w:tcPr>
          <w:p>
            <w:pPr>
              <w:pStyle w:val="12"/>
            </w:pPr>
            <w:r>
              <w:t>323.00</w:t>
            </w:r>
          </w:p>
        </w:tc>
        <w:tc>
          <w:tcPr>
            <w:tcW w:w="1361" w:type="dxa"/>
            <w:vAlign w:val="center"/>
          </w:tcPr>
          <w:p>
            <w:pPr>
              <w:pStyle w:val="12"/>
            </w:pPr>
            <w:r>
              <w:t>38.40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160.82</w:t>
            </w:r>
          </w:p>
        </w:tc>
        <w:tc>
          <w:tcPr>
            <w:tcW w:w="1361" w:type="dxa"/>
            <w:vAlign w:val="center"/>
          </w:tcPr>
          <w:p>
            <w:pPr>
              <w:pStyle w:val="12"/>
            </w:pPr>
            <w:r>
              <w:t>160.82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159.81</w:t>
            </w:r>
          </w:p>
        </w:tc>
        <w:tc>
          <w:tcPr>
            <w:tcW w:w="1361" w:type="dxa"/>
            <w:vAlign w:val="center"/>
          </w:tcPr>
          <w:p>
            <w:pPr>
              <w:pStyle w:val="12"/>
            </w:pPr>
            <w:r>
              <w:t>159.81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127.16</w:t>
            </w:r>
          </w:p>
        </w:tc>
        <w:tc>
          <w:tcPr>
            <w:tcW w:w="1361" w:type="dxa"/>
            <w:vAlign w:val="center"/>
          </w:tcPr>
          <w:p>
            <w:pPr>
              <w:pStyle w:val="12"/>
            </w:pPr>
            <w:r>
              <w:t>127.16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32.65</w:t>
            </w:r>
          </w:p>
        </w:tc>
        <w:tc>
          <w:tcPr>
            <w:tcW w:w="1361" w:type="dxa"/>
            <w:vAlign w:val="center"/>
          </w:tcPr>
          <w:p>
            <w:pPr>
              <w:pStyle w:val="12"/>
            </w:pPr>
            <w:r>
              <w:t>32.65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1.01</w:t>
            </w:r>
          </w:p>
        </w:tc>
        <w:tc>
          <w:tcPr>
            <w:tcW w:w="1361" w:type="dxa"/>
            <w:vAlign w:val="center"/>
          </w:tcPr>
          <w:p>
            <w:pPr>
              <w:pStyle w:val="12"/>
            </w:pPr>
            <w:r>
              <w:t>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1.01</w:t>
            </w:r>
          </w:p>
        </w:tc>
        <w:tc>
          <w:tcPr>
            <w:tcW w:w="1361" w:type="dxa"/>
            <w:vAlign w:val="center"/>
          </w:tcPr>
          <w:p>
            <w:pPr>
              <w:pStyle w:val="12"/>
            </w:pPr>
            <w:r>
              <w:t>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23.73</w:t>
            </w:r>
          </w:p>
        </w:tc>
        <w:tc>
          <w:tcPr>
            <w:tcW w:w="1361" w:type="dxa"/>
            <w:vAlign w:val="center"/>
          </w:tcPr>
          <w:p>
            <w:pPr>
              <w:pStyle w:val="12"/>
            </w:pPr>
            <w:r>
              <w:t>23.73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23.73</w:t>
            </w:r>
          </w:p>
        </w:tc>
        <w:tc>
          <w:tcPr>
            <w:tcW w:w="1361" w:type="dxa"/>
            <w:vAlign w:val="center"/>
          </w:tcPr>
          <w:p>
            <w:pPr>
              <w:pStyle w:val="12"/>
            </w:pPr>
            <w:r>
              <w:t>23.73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13.38</w:t>
            </w:r>
          </w:p>
        </w:tc>
        <w:tc>
          <w:tcPr>
            <w:tcW w:w="1361" w:type="dxa"/>
            <w:vAlign w:val="center"/>
          </w:tcPr>
          <w:p>
            <w:pPr>
              <w:pStyle w:val="12"/>
            </w:pPr>
            <w:r>
              <w:t>13.38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10.35</w:t>
            </w:r>
          </w:p>
        </w:tc>
        <w:tc>
          <w:tcPr>
            <w:tcW w:w="1361" w:type="dxa"/>
            <w:vAlign w:val="center"/>
          </w:tcPr>
          <w:p>
            <w:pPr>
              <w:pStyle w:val="12"/>
            </w:pPr>
            <w:r>
              <w:t>10.35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29.76</w:t>
            </w:r>
          </w:p>
        </w:tc>
        <w:tc>
          <w:tcPr>
            <w:tcW w:w="1361" w:type="dxa"/>
            <w:vAlign w:val="center"/>
          </w:tcPr>
          <w:p>
            <w:pPr>
              <w:pStyle w:val="12"/>
            </w:pPr>
            <w:r>
              <w:t>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29.76</w:t>
            </w:r>
          </w:p>
        </w:tc>
        <w:tc>
          <w:tcPr>
            <w:tcW w:w="1361" w:type="dxa"/>
            <w:vAlign w:val="center"/>
          </w:tcPr>
          <w:p>
            <w:pPr>
              <w:pStyle w:val="12"/>
            </w:pPr>
            <w:r>
              <w:t>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29.76</w:t>
            </w:r>
          </w:p>
        </w:tc>
        <w:tc>
          <w:tcPr>
            <w:tcW w:w="1361" w:type="dxa"/>
            <w:vAlign w:val="center"/>
          </w:tcPr>
          <w:p>
            <w:pPr>
              <w:pStyle w:val="12"/>
            </w:pPr>
            <w:r>
              <w:t>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575.71</w:t>
            </w:r>
          </w:p>
        </w:tc>
        <w:tc>
          <w:tcPr>
            <w:tcW w:w="3402" w:type="dxa"/>
            <w:vAlign w:val="center"/>
          </w:tcPr>
          <w:p>
            <w:pPr>
              <w:pStyle w:val="13"/>
            </w:pPr>
            <w:r>
              <w:t>一、一般公共服务支出</w:t>
            </w:r>
          </w:p>
        </w:tc>
        <w:tc>
          <w:tcPr>
            <w:tcW w:w="1474" w:type="dxa"/>
            <w:vAlign w:val="center"/>
          </w:tcPr>
          <w:p>
            <w:pPr>
              <w:pStyle w:val="12"/>
            </w:pPr>
            <w:r>
              <w:t>361.40</w:t>
            </w:r>
          </w:p>
        </w:tc>
        <w:tc>
          <w:tcPr>
            <w:tcW w:w="1474" w:type="dxa"/>
            <w:vAlign w:val="center"/>
          </w:tcPr>
          <w:p>
            <w:pPr>
              <w:pStyle w:val="12"/>
            </w:pPr>
            <w:r>
              <w:t>361.40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160.82</w:t>
            </w:r>
          </w:p>
        </w:tc>
        <w:tc>
          <w:tcPr>
            <w:tcW w:w="1474" w:type="dxa"/>
            <w:vAlign w:val="center"/>
          </w:tcPr>
          <w:p>
            <w:pPr>
              <w:pStyle w:val="12"/>
            </w:pPr>
            <w:r>
              <w:t>160.82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23.73</w:t>
            </w:r>
          </w:p>
        </w:tc>
        <w:tc>
          <w:tcPr>
            <w:tcW w:w="1474" w:type="dxa"/>
            <w:vAlign w:val="center"/>
          </w:tcPr>
          <w:p>
            <w:pPr>
              <w:pStyle w:val="12"/>
            </w:pPr>
            <w:r>
              <w:t>23.73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29.76</w:t>
            </w:r>
          </w:p>
        </w:tc>
        <w:tc>
          <w:tcPr>
            <w:tcW w:w="1474" w:type="dxa"/>
            <w:vAlign w:val="center"/>
          </w:tcPr>
          <w:p>
            <w:pPr>
              <w:pStyle w:val="12"/>
            </w:pPr>
            <w:r>
              <w:t>29.76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575.71</w:t>
            </w:r>
          </w:p>
        </w:tc>
        <w:tc>
          <w:tcPr>
            <w:tcW w:w="3402" w:type="dxa"/>
            <w:vAlign w:val="center"/>
          </w:tcPr>
          <w:p>
            <w:pPr>
              <w:pStyle w:val="15"/>
            </w:pPr>
            <w:r>
              <w:t>本年支出合计</w:t>
            </w:r>
          </w:p>
        </w:tc>
        <w:tc>
          <w:tcPr>
            <w:tcW w:w="1474" w:type="dxa"/>
            <w:vAlign w:val="center"/>
          </w:tcPr>
          <w:p>
            <w:pPr>
              <w:pStyle w:val="16"/>
            </w:pPr>
            <w:r>
              <w:t>575.71</w:t>
            </w:r>
          </w:p>
        </w:tc>
        <w:tc>
          <w:tcPr>
            <w:tcW w:w="1474" w:type="dxa"/>
            <w:vAlign w:val="center"/>
          </w:tcPr>
          <w:p>
            <w:pPr>
              <w:pStyle w:val="16"/>
            </w:pPr>
            <w:r>
              <w:t>575.71</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575.71</w:t>
            </w:r>
          </w:p>
        </w:tc>
        <w:tc>
          <w:tcPr>
            <w:tcW w:w="3402" w:type="dxa"/>
            <w:vAlign w:val="center"/>
          </w:tcPr>
          <w:p>
            <w:pPr>
              <w:pStyle w:val="15"/>
            </w:pPr>
            <w:r>
              <w:t>支出总计</w:t>
            </w:r>
          </w:p>
        </w:tc>
        <w:tc>
          <w:tcPr>
            <w:tcW w:w="1474" w:type="dxa"/>
            <w:vAlign w:val="center"/>
          </w:tcPr>
          <w:p>
            <w:pPr>
              <w:pStyle w:val="16"/>
            </w:pPr>
            <w:r>
              <w:t>575.71</w:t>
            </w:r>
          </w:p>
        </w:tc>
        <w:tc>
          <w:tcPr>
            <w:tcW w:w="1474" w:type="dxa"/>
            <w:vAlign w:val="center"/>
          </w:tcPr>
          <w:p>
            <w:pPr>
              <w:pStyle w:val="16"/>
            </w:pPr>
            <w:r>
              <w:t>575.71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575.71</w:t>
            </w:r>
          </w:p>
        </w:tc>
        <w:tc>
          <w:tcPr>
            <w:tcW w:w="2551" w:type="dxa"/>
            <w:vAlign w:val="center"/>
          </w:tcPr>
          <w:p>
            <w:pPr>
              <w:pStyle w:val="16"/>
            </w:pPr>
            <w:r>
              <w:t>537.31</w:t>
            </w:r>
          </w:p>
        </w:tc>
        <w:tc>
          <w:tcPr>
            <w:tcW w:w="2551" w:type="dxa"/>
            <w:vAlign w:val="center"/>
          </w:tcPr>
          <w:p>
            <w:pPr>
              <w:pStyle w:val="16"/>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361.40</w:t>
            </w:r>
          </w:p>
        </w:tc>
        <w:tc>
          <w:tcPr>
            <w:tcW w:w="2551" w:type="dxa"/>
            <w:vAlign w:val="center"/>
          </w:tcPr>
          <w:p>
            <w:pPr>
              <w:pStyle w:val="12"/>
            </w:pPr>
            <w:r>
              <w:t>323.00</w:t>
            </w:r>
          </w:p>
        </w:tc>
        <w:tc>
          <w:tcPr>
            <w:tcW w:w="2551" w:type="dxa"/>
            <w:vAlign w:val="center"/>
          </w:tcPr>
          <w:p>
            <w:pPr>
              <w:pStyle w:val="12"/>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361.40</w:t>
            </w:r>
          </w:p>
        </w:tc>
        <w:tc>
          <w:tcPr>
            <w:tcW w:w="2551" w:type="dxa"/>
            <w:vAlign w:val="center"/>
          </w:tcPr>
          <w:p>
            <w:pPr>
              <w:pStyle w:val="12"/>
            </w:pPr>
            <w:r>
              <w:t>323.00</w:t>
            </w:r>
          </w:p>
        </w:tc>
        <w:tc>
          <w:tcPr>
            <w:tcW w:w="2551" w:type="dxa"/>
            <w:vAlign w:val="center"/>
          </w:tcPr>
          <w:p>
            <w:pPr>
              <w:pStyle w:val="12"/>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2013699</w:t>
            </w:r>
          </w:p>
        </w:tc>
        <w:tc>
          <w:tcPr>
            <w:tcW w:w="4535" w:type="dxa"/>
            <w:vAlign w:val="center"/>
          </w:tcPr>
          <w:p>
            <w:pPr>
              <w:pStyle w:val="13"/>
            </w:pPr>
            <w:r>
              <w:t>其他共产党事务支出</w:t>
            </w:r>
          </w:p>
        </w:tc>
        <w:tc>
          <w:tcPr>
            <w:tcW w:w="2551" w:type="dxa"/>
            <w:vAlign w:val="center"/>
          </w:tcPr>
          <w:p>
            <w:pPr>
              <w:pStyle w:val="12"/>
            </w:pPr>
            <w:r>
              <w:t>361.40</w:t>
            </w:r>
          </w:p>
        </w:tc>
        <w:tc>
          <w:tcPr>
            <w:tcW w:w="2551" w:type="dxa"/>
            <w:vAlign w:val="center"/>
          </w:tcPr>
          <w:p>
            <w:pPr>
              <w:pStyle w:val="12"/>
            </w:pPr>
            <w:r>
              <w:t>323.00</w:t>
            </w:r>
          </w:p>
        </w:tc>
        <w:tc>
          <w:tcPr>
            <w:tcW w:w="2551" w:type="dxa"/>
            <w:vAlign w:val="center"/>
          </w:tcPr>
          <w:p>
            <w:pPr>
              <w:pStyle w:val="12"/>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160.82</w:t>
            </w:r>
          </w:p>
        </w:tc>
        <w:tc>
          <w:tcPr>
            <w:tcW w:w="2551" w:type="dxa"/>
            <w:vAlign w:val="center"/>
          </w:tcPr>
          <w:p>
            <w:pPr>
              <w:pStyle w:val="12"/>
            </w:pPr>
            <w:r>
              <w:t>160.82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159.81</w:t>
            </w:r>
          </w:p>
        </w:tc>
        <w:tc>
          <w:tcPr>
            <w:tcW w:w="2551" w:type="dxa"/>
            <w:vAlign w:val="center"/>
          </w:tcPr>
          <w:p>
            <w:pPr>
              <w:pStyle w:val="12"/>
            </w:pPr>
            <w:r>
              <w:t>159.81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127.16</w:t>
            </w:r>
          </w:p>
        </w:tc>
        <w:tc>
          <w:tcPr>
            <w:tcW w:w="2551" w:type="dxa"/>
            <w:vAlign w:val="center"/>
          </w:tcPr>
          <w:p>
            <w:pPr>
              <w:pStyle w:val="12"/>
            </w:pPr>
            <w:r>
              <w:t>127.16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32.65</w:t>
            </w:r>
          </w:p>
        </w:tc>
        <w:tc>
          <w:tcPr>
            <w:tcW w:w="2551" w:type="dxa"/>
            <w:vAlign w:val="center"/>
          </w:tcPr>
          <w:p>
            <w:pPr>
              <w:pStyle w:val="12"/>
            </w:pPr>
            <w:r>
              <w:t>32.65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23.73</w:t>
            </w:r>
          </w:p>
        </w:tc>
        <w:tc>
          <w:tcPr>
            <w:tcW w:w="2551" w:type="dxa"/>
            <w:vAlign w:val="center"/>
          </w:tcPr>
          <w:p>
            <w:pPr>
              <w:pStyle w:val="12"/>
            </w:pPr>
            <w:r>
              <w:t>23.73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23.73</w:t>
            </w:r>
          </w:p>
        </w:tc>
        <w:tc>
          <w:tcPr>
            <w:tcW w:w="2551" w:type="dxa"/>
            <w:vAlign w:val="center"/>
          </w:tcPr>
          <w:p>
            <w:pPr>
              <w:pStyle w:val="12"/>
            </w:pPr>
            <w:r>
              <w:t>23.73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13.38</w:t>
            </w:r>
          </w:p>
        </w:tc>
        <w:tc>
          <w:tcPr>
            <w:tcW w:w="2551" w:type="dxa"/>
            <w:vAlign w:val="center"/>
          </w:tcPr>
          <w:p>
            <w:pPr>
              <w:pStyle w:val="12"/>
            </w:pPr>
            <w:r>
              <w:t>13.38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10.35</w:t>
            </w:r>
          </w:p>
        </w:tc>
        <w:tc>
          <w:tcPr>
            <w:tcW w:w="2551" w:type="dxa"/>
            <w:vAlign w:val="center"/>
          </w:tcPr>
          <w:p>
            <w:pPr>
              <w:pStyle w:val="12"/>
            </w:pPr>
            <w:r>
              <w:t>10.35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29.76</w:t>
            </w:r>
          </w:p>
        </w:tc>
        <w:tc>
          <w:tcPr>
            <w:tcW w:w="2551" w:type="dxa"/>
            <w:vAlign w:val="center"/>
          </w:tcPr>
          <w:p>
            <w:pPr>
              <w:pStyle w:val="12"/>
            </w:pPr>
            <w:r>
              <w:t>29.76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29.76</w:t>
            </w:r>
          </w:p>
        </w:tc>
        <w:tc>
          <w:tcPr>
            <w:tcW w:w="2551" w:type="dxa"/>
            <w:vAlign w:val="center"/>
          </w:tcPr>
          <w:p>
            <w:pPr>
              <w:pStyle w:val="12"/>
            </w:pPr>
            <w:r>
              <w:t>29.76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29.76</w:t>
            </w:r>
          </w:p>
        </w:tc>
        <w:tc>
          <w:tcPr>
            <w:tcW w:w="2551" w:type="dxa"/>
            <w:vAlign w:val="center"/>
          </w:tcPr>
          <w:p>
            <w:pPr>
              <w:pStyle w:val="12"/>
            </w:pPr>
            <w:r>
              <w:t>29.76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537.31</w:t>
            </w:r>
          </w:p>
        </w:tc>
        <w:tc>
          <w:tcPr>
            <w:tcW w:w="2551" w:type="dxa"/>
            <w:vAlign w:val="center"/>
          </w:tcPr>
          <w:p>
            <w:pPr>
              <w:pStyle w:val="16"/>
            </w:pPr>
            <w:r>
              <w:t>487.49</w:t>
            </w:r>
          </w:p>
        </w:tc>
        <w:tc>
          <w:tcPr>
            <w:tcW w:w="2551" w:type="dxa"/>
            <w:vAlign w:val="center"/>
          </w:tcPr>
          <w:p>
            <w:pPr>
              <w:pStyle w:val="16"/>
            </w:pPr>
            <w:r>
              <w:t>49.82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347.17</w:t>
            </w:r>
          </w:p>
        </w:tc>
        <w:tc>
          <w:tcPr>
            <w:tcW w:w="2551" w:type="dxa"/>
            <w:vAlign w:val="center"/>
          </w:tcPr>
          <w:p>
            <w:pPr>
              <w:pStyle w:val="12"/>
            </w:pPr>
            <w:r>
              <w:t>347.17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90.18</w:t>
            </w:r>
          </w:p>
        </w:tc>
        <w:tc>
          <w:tcPr>
            <w:tcW w:w="2551" w:type="dxa"/>
            <w:vAlign w:val="center"/>
          </w:tcPr>
          <w:p>
            <w:pPr>
              <w:pStyle w:val="12"/>
            </w:pPr>
            <w:r>
              <w:t>90.18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74.73</w:t>
            </w:r>
          </w:p>
        </w:tc>
        <w:tc>
          <w:tcPr>
            <w:tcW w:w="2551" w:type="dxa"/>
            <w:vAlign w:val="center"/>
          </w:tcPr>
          <w:p>
            <w:pPr>
              <w:pStyle w:val="12"/>
            </w:pPr>
            <w:r>
              <w:t>74.73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83.06</w:t>
            </w:r>
          </w:p>
        </w:tc>
        <w:tc>
          <w:tcPr>
            <w:tcW w:w="2551" w:type="dxa"/>
            <w:vAlign w:val="center"/>
          </w:tcPr>
          <w:p>
            <w:pPr>
              <w:pStyle w:val="12"/>
            </w:pPr>
            <w:r>
              <w:t>83.06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32.65</w:t>
            </w:r>
          </w:p>
        </w:tc>
        <w:tc>
          <w:tcPr>
            <w:tcW w:w="2551" w:type="dxa"/>
            <w:vAlign w:val="center"/>
          </w:tcPr>
          <w:p>
            <w:pPr>
              <w:pStyle w:val="12"/>
            </w:pPr>
            <w:r>
              <w:t>32.65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13.38</w:t>
            </w:r>
          </w:p>
        </w:tc>
        <w:tc>
          <w:tcPr>
            <w:tcW w:w="2551" w:type="dxa"/>
            <w:vAlign w:val="center"/>
          </w:tcPr>
          <w:p>
            <w:pPr>
              <w:pStyle w:val="12"/>
            </w:pPr>
            <w:r>
              <w:t>13.38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10.35</w:t>
            </w:r>
          </w:p>
        </w:tc>
        <w:tc>
          <w:tcPr>
            <w:tcW w:w="2551" w:type="dxa"/>
            <w:vAlign w:val="center"/>
          </w:tcPr>
          <w:p>
            <w:pPr>
              <w:pStyle w:val="12"/>
            </w:pPr>
            <w:r>
              <w:t>10.35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1.01</w:t>
            </w:r>
          </w:p>
        </w:tc>
        <w:tc>
          <w:tcPr>
            <w:tcW w:w="2551" w:type="dxa"/>
            <w:vAlign w:val="center"/>
          </w:tcPr>
          <w:p>
            <w:pPr>
              <w:pStyle w:val="12"/>
            </w:pPr>
            <w:r>
              <w:t>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29.76</w:t>
            </w:r>
          </w:p>
        </w:tc>
        <w:tc>
          <w:tcPr>
            <w:tcW w:w="2551" w:type="dxa"/>
            <w:vAlign w:val="center"/>
          </w:tcPr>
          <w:p>
            <w:pPr>
              <w:pStyle w:val="12"/>
            </w:pPr>
            <w:r>
              <w:t>29.76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12.05</w:t>
            </w:r>
          </w:p>
        </w:tc>
        <w:tc>
          <w:tcPr>
            <w:tcW w:w="2551" w:type="dxa"/>
            <w:vAlign w:val="center"/>
          </w:tcPr>
          <w:p>
            <w:pPr>
              <w:pStyle w:val="12"/>
            </w:pPr>
            <w:r>
              <w:t>12.05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49.82</w:t>
            </w:r>
          </w:p>
        </w:tc>
        <w:tc>
          <w:tcPr>
            <w:tcW w:w="2551" w:type="dxa"/>
            <w:vAlign w:val="center"/>
          </w:tcPr>
          <w:p>
            <w:pPr>
              <w:pStyle w:val="12"/>
            </w:pPr>
          </w:p>
        </w:tc>
        <w:tc>
          <w:tcPr>
            <w:tcW w:w="2551" w:type="dxa"/>
            <w:vAlign w:val="center"/>
          </w:tcPr>
          <w:p>
            <w:pPr>
              <w:pStyle w:val="12"/>
            </w:pPr>
            <w:r>
              <w:t>49.82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11.46</w:t>
            </w:r>
          </w:p>
        </w:tc>
        <w:tc>
          <w:tcPr>
            <w:tcW w:w="2551" w:type="dxa"/>
            <w:vAlign w:val="center"/>
          </w:tcPr>
          <w:p>
            <w:pPr>
              <w:pStyle w:val="12"/>
            </w:pPr>
          </w:p>
        </w:tc>
        <w:tc>
          <w:tcPr>
            <w:tcW w:w="2551" w:type="dxa"/>
            <w:vAlign w:val="center"/>
          </w:tcPr>
          <w:p>
            <w:pPr>
              <w:pStyle w:val="12"/>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1.08</w:t>
            </w:r>
          </w:p>
        </w:tc>
        <w:tc>
          <w:tcPr>
            <w:tcW w:w="2551" w:type="dxa"/>
            <w:vAlign w:val="center"/>
          </w:tcPr>
          <w:p>
            <w:pPr>
              <w:pStyle w:val="12"/>
            </w:pPr>
          </w:p>
        </w:tc>
        <w:tc>
          <w:tcPr>
            <w:tcW w:w="2551"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0.01</w:t>
            </w:r>
          </w:p>
        </w:tc>
        <w:tc>
          <w:tcPr>
            <w:tcW w:w="2551" w:type="dxa"/>
            <w:vAlign w:val="center"/>
          </w:tcPr>
          <w:p>
            <w:pPr>
              <w:pStyle w:val="12"/>
            </w:pPr>
          </w:p>
        </w:tc>
        <w:tc>
          <w:tcPr>
            <w:tcW w:w="2551" w:type="dxa"/>
            <w:vAlign w:val="center"/>
          </w:tcPr>
          <w:p>
            <w:pPr>
              <w:pStyle w:val="12"/>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3.10</w:t>
            </w:r>
          </w:p>
        </w:tc>
        <w:tc>
          <w:tcPr>
            <w:tcW w:w="2551" w:type="dxa"/>
            <w:vAlign w:val="center"/>
          </w:tcPr>
          <w:p>
            <w:pPr>
              <w:pStyle w:val="12"/>
            </w:pPr>
          </w:p>
        </w:tc>
        <w:tc>
          <w:tcPr>
            <w:tcW w:w="2551" w:type="dxa"/>
            <w:vAlign w:val="center"/>
          </w:tcPr>
          <w:p>
            <w:pPr>
              <w:pStyle w:val="12"/>
            </w:pPr>
            <w:r>
              <w:t>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2.25</w:t>
            </w:r>
          </w:p>
        </w:tc>
        <w:tc>
          <w:tcPr>
            <w:tcW w:w="2551" w:type="dxa"/>
            <w:vAlign w:val="center"/>
          </w:tcPr>
          <w:p>
            <w:pPr>
              <w:pStyle w:val="12"/>
            </w:pPr>
          </w:p>
        </w:tc>
        <w:tc>
          <w:tcPr>
            <w:tcW w:w="2551" w:type="dxa"/>
            <w:vAlign w:val="center"/>
          </w:tcPr>
          <w:p>
            <w:pPr>
              <w:pStyle w:val="12"/>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4.60</w:t>
            </w:r>
          </w:p>
        </w:tc>
        <w:tc>
          <w:tcPr>
            <w:tcW w:w="2551" w:type="dxa"/>
            <w:vAlign w:val="center"/>
          </w:tcPr>
          <w:p>
            <w:pPr>
              <w:pStyle w:val="12"/>
            </w:pPr>
          </w:p>
        </w:tc>
        <w:tc>
          <w:tcPr>
            <w:tcW w:w="2551" w:type="dxa"/>
            <w:vAlign w:val="center"/>
          </w:tcPr>
          <w:p>
            <w:pPr>
              <w:pStyle w:val="12"/>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14.36</w:t>
            </w:r>
          </w:p>
        </w:tc>
        <w:tc>
          <w:tcPr>
            <w:tcW w:w="2551" w:type="dxa"/>
            <w:vAlign w:val="center"/>
          </w:tcPr>
          <w:p>
            <w:pPr>
              <w:pStyle w:val="12"/>
            </w:pPr>
          </w:p>
        </w:tc>
        <w:tc>
          <w:tcPr>
            <w:tcW w:w="2551" w:type="dxa"/>
            <w:vAlign w:val="center"/>
          </w:tcPr>
          <w:p>
            <w:pPr>
              <w:pStyle w:val="12"/>
            </w:pPr>
            <w:r>
              <w:t>14.36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4.78</w:t>
            </w:r>
          </w:p>
        </w:tc>
        <w:tc>
          <w:tcPr>
            <w:tcW w:w="2551" w:type="dxa"/>
            <w:vAlign w:val="center"/>
          </w:tcPr>
          <w:p>
            <w:pPr>
              <w:pStyle w:val="12"/>
            </w:pPr>
          </w:p>
        </w:tc>
        <w:tc>
          <w:tcPr>
            <w:tcW w:w="2551" w:type="dxa"/>
            <w:vAlign w:val="center"/>
          </w:tcPr>
          <w:p>
            <w:pPr>
              <w:pStyle w:val="12"/>
            </w:pPr>
            <w:r>
              <w:t>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140.32</w:t>
            </w:r>
          </w:p>
        </w:tc>
        <w:tc>
          <w:tcPr>
            <w:tcW w:w="2551" w:type="dxa"/>
            <w:vAlign w:val="center"/>
          </w:tcPr>
          <w:p>
            <w:pPr>
              <w:pStyle w:val="12"/>
            </w:pPr>
            <w:r>
              <w:t>140.32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18.06</w:t>
            </w:r>
          </w:p>
        </w:tc>
        <w:tc>
          <w:tcPr>
            <w:tcW w:w="2551" w:type="dxa"/>
            <w:vAlign w:val="center"/>
          </w:tcPr>
          <w:p>
            <w:pPr>
              <w:pStyle w:val="12"/>
            </w:pPr>
            <w:r>
              <w:t>18.06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109.10</w:t>
            </w:r>
          </w:p>
        </w:tc>
        <w:tc>
          <w:tcPr>
            <w:tcW w:w="2551" w:type="dxa"/>
            <w:vAlign w:val="center"/>
          </w:tcPr>
          <w:p>
            <w:pPr>
              <w:pStyle w:val="12"/>
            </w:pPr>
            <w:r>
              <w:t>109.10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11.04</w:t>
            </w:r>
          </w:p>
        </w:tc>
        <w:tc>
          <w:tcPr>
            <w:tcW w:w="2551" w:type="dxa"/>
            <w:vAlign w:val="center"/>
          </w:tcPr>
          <w:p>
            <w:pPr>
              <w:pStyle w:val="12"/>
            </w:pPr>
            <w:r>
              <w:t>11.04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30307</w:t>
            </w:r>
          </w:p>
        </w:tc>
        <w:tc>
          <w:tcPr>
            <w:tcW w:w="4535" w:type="dxa"/>
            <w:vAlign w:val="center"/>
          </w:tcPr>
          <w:p>
            <w:pPr>
              <w:pStyle w:val="13"/>
            </w:pPr>
            <w:r>
              <w:t>医疗费补助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0.62</w:t>
            </w:r>
          </w:p>
        </w:tc>
        <w:tc>
          <w:tcPr>
            <w:tcW w:w="2551" w:type="dxa"/>
            <w:vAlign w:val="center"/>
          </w:tcPr>
          <w:p>
            <w:pPr>
              <w:pStyle w:val="12"/>
            </w:pPr>
            <w:r>
              <w:t>0.62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283中共石家庄市委党史研究室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4.61</w:t>
            </w:r>
          </w:p>
        </w:tc>
        <w:tc>
          <w:tcPr>
            <w:tcW w:w="2381" w:type="dxa"/>
            <w:vAlign w:val="center"/>
          </w:tcPr>
          <w:p>
            <w:pPr>
              <w:pStyle w:val="16"/>
            </w:pPr>
            <w:r>
              <w:t>4.61</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0.01</w:t>
            </w:r>
          </w:p>
        </w:tc>
        <w:tc>
          <w:tcPr>
            <w:tcW w:w="2381" w:type="dxa"/>
            <w:vAlign w:val="center"/>
          </w:tcPr>
          <w:p>
            <w:pPr>
              <w:pStyle w:val="12"/>
            </w:pPr>
            <w:r>
              <w:t>0.01</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中共石家庄市委党史研究室2025年部门预算信息公开情况说明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中共石家庄市委党史研究室2025年部门预算信息公开情况说明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按照《中华人民共和国预算法》、《地方预决算公开操作规程》和《关于进一步推进预算公开工作的实施意见》规定，现将中共石家庄市委党史研究室2025年部门预算公开如下：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(一)研究中共石家庄历史，总结历史经验，做好存史与修史工作；为党的建设和市委决策提供历史借鉴，充分发挥党史资政育人的作用，为改革开放和现代化建设的大局服务。</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征集、整理中共石家庄历史资料，收集整理重要口述历史资料、重要党史人物回忆录，搜集、整理和研究市内外有关中共石家庄历史的信息资料。撰写中共石家庄历史专著，编辑出版党史书刊，对中共石家庄历史上的重要人物、重要事件进行综合研究。          ，</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推动党史成果的转化，会同有关部门向广大党员干部群进行党史、革命史的宣传教育;协助市直有关部门审核拟公开发表或出版的涉及中共石家庄历史重大题材、重要人物的图书、文章;协助审查已批准立项的反映石家庄重大革命历史题材的影视作品和理论文献电视作品;协助审查市直有关部门和县(市)区涉及地方党史、革命史及革命英烈的展览、纪念馆陈列等。</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(四)协助市直有关部门审核石家庄重要党史事件、革命史事件、党史人物的纪念活动方案，并承办、协办相关活动;协助市直有关部门和市、县(市)区对建立革命纪念设施的报告提出意见。</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(五)完成上级党史研究部门部署的工作任务;完成市委交办的党史方面及共他方面的工作任务，为市委解决有关党史方面的问题提供资料和意见。</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六)向有关部门和各县(市)区党史工作机构传达中央、省和市委关于党史工作的指示，加强对县(市)区级党史工作部门的业务指导；制定全市党史工作规则和年度工作计划;组织、协调全市党史资料征集和党史研究工作;组织全市党史工作经验交流;承担全市党史编研优秀成果的评选、奖励工作;负责全市党史系统业务干部培训；与市内外有关团体进行学术交流。</w:t>
      </w:r>
    </w:p>
    <w:p>
      <w:pPr>
        <w:pStyle w:val="26"/>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(七)承担全市爱国主义教育基地陈展内容、纪念碑亭、碑文的审定工作。</w:t>
      </w:r>
    </w:p>
    <w:p>
      <w:pPr>
        <w:spacing w:before="0" w:after="0" w:line="240" w:lineRule="auto"/>
        <w:ind w:firstLine="64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(八)指导石家庄党史研究会的工作。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中共石家庄市委党史研究室本级</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按照预算管理有关规定，目前我</w:t>
      </w:r>
      <w:r>
        <w:rPr>
          <w:rFonts w:hint="eastAsia"/>
          <w:lang w:eastAsia="zh-CN"/>
        </w:rPr>
        <w:t>市</w:t>
      </w:r>
      <w:r>
        <w:t>部门预算的编制实行综合预算管理，即全部收入和支出都反映在预算中。</w:t>
      </w:r>
      <w:r>
        <w:rPr>
          <w:rFonts w:hint="eastAsia"/>
          <w:lang w:eastAsia="zh-CN"/>
        </w:rPr>
        <w:t>中共石家庄市委党史研究室</w:t>
      </w:r>
      <w:r>
        <w:t>机关及所属事业单位的收支包含在部门预算中。</w:t>
      </w:r>
    </w:p>
    <w:p>
      <w:pPr>
        <w:pStyle w:val="19"/>
      </w:pPr>
      <w:r>
        <w:t>1、收入说明</w:t>
      </w:r>
    </w:p>
    <w:p>
      <w:pPr>
        <w:pStyle w:val="19"/>
      </w:pPr>
      <w:r>
        <w:t>反映本部门当年全部收入。202</w:t>
      </w:r>
      <w:r>
        <w:rPr>
          <w:rFonts w:hint="eastAsia"/>
          <w:lang w:val="en-US" w:eastAsia="zh-CN"/>
        </w:rPr>
        <w:t>5</w:t>
      </w:r>
      <w:r>
        <w:t>年预算收入</w:t>
      </w:r>
      <w:r>
        <w:rPr>
          <w:rFonts w:hint="default"/>
          <w:lang w:val="en-US" w:eastAsia="zh-CN"/>
        </w:rPr>
        <w:t>575.71</w:t>
      </w:r>
      <w:r>
        <w:t>万元，其中：一般公共预算收入</w:t>
      </w:r>
      <w:r>
        <w:rPr>
          <w:rFonts w:hint="default"/>
          <w:lang w:val="en-US" w:eastAsia="zh-CN"/>
        </w:rPr>
        <w:t>575.71</w:t>
      </w:r>
      <w:r>
        <w:t>万元，基金预算收入 0 万元，</w:t>
      </w:r>
      <w:r>
        <w:rPr>
          <w:rFonts w:hint="eastAsia"/>
          <w:lang w:eastAsia="zh-CN"/>
        </w:rPr>
        <w:t>国有资本经营预算收入</w:t>
      </w:r>
      <w:r>
        <w:rPr>
          <w:rFonts w:hint="default"/>
          <w:lang w:val="en-US" w:eastAsia="zh-CN"/>
        </w:rPr>
        <w:t>0</w:t>
      </w:r>
      <w:r>
        <w:rPr>
          <w:rFonts w:hint="eastAsia"/>
          <w:lang w:val="en-US" w:eastAsia="zh-CN"/>
        </w:rPr>
        <w:t>万元，</w:t>
      </w:r>
      <w:r>
        <w:t>财政专户核拨收入 0 万元，</w:t>
      </w:r>
      <w:r>
        <w:rPr>
          <w:rFonts w:hint="eastAsia"/>
          <w:lang w:eastAsia="zh-CN"/>
        </w:rPr>
        <w:t>单位资金收入</w:t>
      </w:r>
      <w:r>
        <w:rPr>
          <w:rFonts w:hint="default"/>
          <w:lang w:val="en-US" w:eastAsia="zh-CN"/>
        </w:rPr>
        <w:t>0</w:t>
      </w:r>
      <w:r>
        <w:rPr>
          <w:rFonts w:hint="eastAsia"/>
          <w:lang w:val="en-US" w:eastAsia="zh-CN"/>
        </w:rPr>
        <w:t>万元，上年结转结余</w:t>
      </w:r>
      <w:r>
        <w:t>0 万元。</w:t>
      </w:r>
    </w:p>
    <w:p>
      <w:pPr>
        <w:pStyle w:val="19"/>
      </w:pPr>
      <w:r>
        <w:t>2、支出说明</w:t>
      </w:r>
    </w:p>
    <w:p>
      <w:pPr>
        <w:pStyle w:val="19"/>
      </w:pPr>
      <w:r>
        <w:t>收支预算总表支出栏、基本支出表、项目支出表按经济分类和支出功能分类科目编制，反映</w:t>
      </w:r>
      <w:r>
        <w:rPr>
          <w:rFonts w:hint="eastAsia"/>
          <w:lang w:eastAsia="zh-CN"/>
        </w:rPr>
        <w:t>中共石家庄市委党史研究室</w:t>
      </w:r>
      <w:r>
        <w:t>部门预算中支出预算的总体情况。202</w:t>
      </w:r>
      <w:r>
        <w:rPr>
          <w:rFonts w:hint="eastAsia"/>
          <w:lang w:val="en-US" w:eastAsia="zh-CN"/>
        </w:rPr>
        <w:t>5</w:t>
      </w:r>
      <w:r>
        <w:t>年支出预算</w:t>
      </w:r>
      <w:r>
        <w:rPr>
          <w:rFonts w:hint="default"/>
          <w:lang w:val="en-US" w:eastAsia="zh-CN"/>
        </w:rPr>
        <w:t>575.71</w:t>
      </w:r>
      <w:r>
        <w:t>万元，其中基本支出</w:t>
      </w:r>
      <w:r>
        <w:rPr>
          <w:rFonts w:hint="default"/>
          <w:lang w:val="en-US"/>
        </w:rPr>
        <w:t>537.31</w:t>
      </w:r>
      <w:r>
        <w:t>万元，包括人员经费</w:t>
      </w:r>
      <w:r>
        <w:rPr>
          <w:rFonts w:hint="default"/>
          <w:lang w:val="en-US"/>
        </w:rPr>
        <w:t>487.49</w:t>
      </w:r>
      <w:r>
        <w:t>万元和日常公用经费</w:t>
      </w:r>
      <w:r>
        <w:rPr>
          <w:rFonts w:hint="default"/>
          <w:lang w:val="en-US"/>
        </w:rPr>
        <w:t>49.82</w:t>
      </w:r>
      <w:r>
        <w:t>万元；项目支出</w:t>
      </w:r>
      <w:r>
        <w:rPr>
          <w:rFonts w:hint="default"/>
          <w:lang w:val="en-US"/>
        </w:rPr>
        <w:t>38.40</w:t>
      </w:r>
      <w:r>
        <w:t>万元。</w:t>
      </w:r>
    </w:p>
    <w:p>
      <w:pPr>
        <w:pStyle w:val="19"/>
      </w:pPr>
      <w:r>
        <w:t>3、比上年增减情况</w:t>
      </w:r>
    </w:p>
    <w:p>
      <w:pPr>
        <w:pStyle w:val="19"/>
      </w:pPr>
      <w:r>
        <w:t>202</w:t>
      </w:r>
      <w:r>
        <w:rPr>
          <w:rFonts w:hint="eastAsia"/>
          <w:lang w:val="en-US" w:eastAsia="zh-CN"/>
        </w:rPr>
        <w:t>5</w:t>
      </w:r>
      <w:r>
        <w:t>年预算收支安排</w:t>
      </w:r>
      <w:r>
        <w:rPr>
          <w:rFonts w:hint="default"/>
          <w:lang w:val="en-US" w:eastAsia="zh-CN"/>
        </w:rPr>
        <w:t>575.71</w:t>
      </w:r>
      <w:r>
        <w:t>万元，较202</w:t>
      </w:r>
      <w:r>
        <w:rPr>
          <w:rFonts w:hint="eastAsia"/>
          <w:lang w:val="en-US" w:eastAsia="zh-CN"/>
        </w:rPr>
        <w:t>4</w:t>
      </w:r>
      <w:r>
        <w:t>年预算</w:t>
      </w:r>
      <w:r>
        <w:rPr>
          <w:rFonts w:hint="eastAsia"/>
          <w:lang w:eastAsia="zh-CN"/>
        </w:rPr>
        <w:t>减少</w:t>
      </w:r>
      <w:r>
        <w:t>了</w:t>
      </w:r>
      <w:r>
        <w:rPr>
          <w:rFonts w:hint="default"/>
          <w:lang w:val="en-US" w:eastAsia="zh-CN"/>
        </w:rPr>
        <w:t>83.70</w:t>
      </w:r>
      <w:r>
        <w:t>万元，其中：基本支出</w:t>
      </w:r>
      <w:r>
        <w:rPr>
          <w:rFonts w:hint="eastAsia"/>
          <w:lang w:eastAsia="zh-CN"/>
        </w:rPr>
        <w:t>减少</w:t>
      </w:r>
      <w:r>
        <w:rPr>
          <w:rFonts w:hint="default"/>
          <w:lang w:val="en-US" w:eastAsia="zh-CN"/>
        </w:rPr>
        <w:t>30.26</w:t>
      </w:r>
      <w:r>
        <w:t>万元，主要是</w:t>
      </w:r>
      <w:r>
        <w:rPr>
          <w:rFonts w:hint="eastAsia"/>
          <w:lang w:eastAsia="zh-CN"/>
        </w:rPr>
        <w:t>减少</w:t>
      </w:r>
      <w:r>
        <w:t>了人员经费；项目支出</w:t>
      </w:r>
      <w:r>
        <w:rPr>
          <w:rFonts w:hint="default"/>
          <w:lang w:val="en-US"/>
        </w:rPr>
        <w:t>38.40</w:t>
      </w:r>
      <w:r>
        <w:t>万元，</w:t>
      </w:r>
      <w:r>
        <w:rPr>
          <w:rFonts w:hint="eastAsia"/>
          <w:lang w:eastAsia="zh-CN"/>
        </w:rPr>
        <w:t>较</w:t>
      </w:r>
      <w:r>
        <w:rPr>
          <w:rFonts w:hint="eastAsia"/>
          <w:lang w:val="en-US" w:eastAsia="zh-CN"/>
        </w:rPr>
        <w:t>2024年度减少了</w:t>
      </w:r>
      <w:r>
        <w:rPr>
          <w:rFonts w:hint="default"/>
          <w:lang w:val="en-US" w:eastAsia="zh-CN"/>
        </w:rPr>
        <w:t>53.44</w:t>
      </w:r>
      <w:r>
        <w:rPr>
          <w:rFonts w:hint="eastAsia"/>
          <w:lang w:val="en-US" w:eastAsia="zh-CN"/>
        </w:rPr>
        <w:t>万元，主要是减少了一次性支出项目以及按照市财政局要求压减</w:t>
      </w:r>
      <w:r>
        <w:rPr>
          <w:rFonts w:hint="default"/>
          <w:lang w:val="en-US" w:eastAsia="zh-CN"/>
        </w:rPr>
        <w:t>2025</w:t>
      </w:r>
      <w:r>
        <w:rPr>
          <w:rFonts w:hint="eastAsia"/>
          <w:lang w:val="en-US" w:eastAsia="zh-CN"/>
        </w:rPr>
        <w:t>年的项目资金</w:t>
      </w:r>
      <w:r>
        <w:t>。</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lang w:val="en-US" w:eastAsia="uk-UA"/>
        </w:rPr>
        <w:t>202</w:t>
      </w:r>
      <w:r>
        <w:rPr>
          <w:rFonts w:hint="eastAsia"/>
          <w:lang w:val="en-US" w:eastAsia="zh-CN"/>
        </w:rPr>
        <w:t>5</w:t>
      </w:r>
      <w:r>
        <w:rPr>
          <w:lang w:val="en-US" w:eastAsia="uk-UA"/>
        </w:rPr>
        <w:t>年，我</w:t>
      </w:r>
      <w:r>
        <w:rPr>
          <w:rFonts w:hint="eastAsia"/>
          <w:lang w:val="en-US" w:eastAsia="zh-CN"/>
        </w:rPr>
        <w:t>室</w:t>
      </w:r>
      <w:r>
        <w:rPr>
          <w:lang w:val="en-US" w:eastAsia="uk-UA"/>
        </w:rPr>
        <w:t>机关运行经费共计安排</w:t>
      </w:r>
      <w:r>
        <w:rPr>
          <w:rFonts w:hint="default"/>
          <w:lang w:val="en-US" w:eastAsia="zh-CN"/>
        </w:rPr>
        <w:t>49.82</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rPr>
          <w:rFonts w:hint="default"/>
          <w:lang w:val="en-US"/>
        </w:rPr>
        <w:t>2.30</w:t>
      </w:r>
      <w:r>
        <w:rPr>
          <w:lang w:val="en-US" w:eastAsia="uk-UA"/>
        </w:rPr>
        <w:t>万元，公务用车运行维护费</w:t>
      </w:r>
      <w:r>
        <w:t>4.60</w:t>
      </w:r>
      <w:r>
        <w:rPr>
          <w:lang w:val="en-US" w:eastAsia="uk-UA"/>
        </w:rPr>
        <w:t>万元，公务交通补贴</w:t>
      </w:r>
      <w:r>
        <w:rPr>
          <w:rFonts w:hint="default"/>
          <w:lang w:val="en-US"/>
        </w:rPr>
        <w:t>14.36</w:t>
      </w:r>
      <w:r>
        <w:rPr>
          <w:lang w:val="en-US" w:eastAsia="uk-UA"/>
        </w:rPr>
        <w:t>万元，邮电费</w:t>
      </w:r>
      <w:r>
        <w:rPr>
          <w:rFonts w:hint="default"/>
          <w:lang w:val="en-US"/>
        </w:rPr>
        <w:t>11.46</w:t>
      </w:r>
      <w:r>
        <w:rPr>
          <w:lang w:val="en-US" w:eastAsia="uk-UA"/>
        </w:rPr>
        <w:t>万元，差旅费</w:t>
      </w:r>
      <w:r>
        <w:rPr>
          <w:rFonts w:hint="default"/>
          <w:lang w:val="en-US"/>
        </w:rPr>
        <w:t>5.40</w:t>
      </w:r>
      <w:r>
        <w:rPr>
          <w:lang w:val="en-US" w:eastAsia="uk-UA"/>
        </w:rPr>
        <w:t>万元，一般会议费</w:t>
      </w:r>
      <w:r>
        <w:rPr>
          <w:rFonts w:hint="default"/>
          <w:lang w:val="en-US" w:eastAsia="uk-UA"/>
        </w:rPr>
        <w:t>0.48</w:t>
      </w:r>
      <w:r>
        <w:rPr>
          <w:lang w:val="en-US" w:eastAsia="uk-UA"/>
        </w:rPr>
        <w:t>万元，职工教育费</w:t>
      </w:r>
      <w:r>
        <w:rPr>
          <w:rFonts w:hint="default"/>
          <w:lang w:val="en-US" w:eastAsia="uk-UA"/>
        </w:rPr>
        <w:t>1.08</w:t>
      </w:r>
      <w:r>
        <w:rPr>
          <w:lang w:val="en-US" w:eastAsia="uk-UA"/>
        </w:rPr>
        <w:t>万元，招待费0.</w:t>
      </w:r>
      <w:r>
        <w:rPr>
          <w:rFonts w:hint="default"/>
          <w:lang w:val="en-US" w:eastAsia="uk-UA"/>
        </w:rPr>
        <w:t>01</w:t>
      </w:r>
      <w:r>
        <w:rPr>
          <w:lang w:val="en-US" w:eastAsia="uk-UA"/>
        </w:rPr>
        <w:t>万元，福利费</w:t>
      </w:r>
      <w:r>
        <w:rPr>
          <w:rFonts w:hint="default"/>
          <w:lang w:val="en-US"/>
        </w:rPr>
        <w:t>2.25</w:t>
      </w:r>
      <w:r>
        <w:rPr>
          <w:lang w:val="en-US" w:eastAsia="uk-UA"/>
        </w:rPr>
        <w:t>万元，工会经费</w:t>
      </w:r>
      <w:r>
        <w:rPr>
          <w:rFonts w:hint="default"/>
          <w:lang w:val="en-US"/>
        </w:rPr>
        <w:t>3.10</w:t>
      </w:r>
      <w:r>
        <w:rPr>
          <w:lang w:val="en-US" w:eastAsia="uk-UA"/>
        </w:rPr>
        <w:t>万元，</w:t>
      </w:r>
      <w:r>
        <w:rPr>
          <w:rFonts w:hint="eastAsia"/>
          <w:lang w:val="en-US" w:eastAsia="zh-CN"/>
        </w:rPr>
        <w:t>其他</w:t>
      </w:r>
      <w:r>
        <w:rPr>
          <w:rFonts w:hint="default"/>
          <w:lang w:val="en-US"/>
        </w:rPr>
        <w:t>4.78</w:t>
      </w:r>
      <w:r>
        <w:rPr>
          <w:lang w:val="en-US" w:eastAsia="uk-UA"/>
        </w:rPr>
        <w:t>万元。</w:t>
      </w:r>
    </w:p>
    <w:p>
      <w:pPr>
        <w:pStyle w:val="20"/>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0"/>
        <w:rPr>
          <w:lang w:val="en-US" w:eastAsia="uk-UA"/>
        </w:rPr>
      </w:pPr>
      <w:r>
        <w:rPr>
          <w:lang w:val="en-US" w:eastAsia="uk-UA"/>
        </w:rPr>
        <w:t>202</w:t>
      </w:r>
      <w:r>
        <w:rPr>
          <w:rFonts w:hint="eastAsia"/>
          <w:lang w:val="en-US" w:eastAsia="zh-CN"/>
        </w:rPr>
        <w:t>5</w:t>
      </w:r>
      <w:r>
        <w:rPr>
          <w:lang w:val="en-US" w:eastAsia="uk-UA"/>
        </w:rPr>
        <w:t>年，我</w:t>
      </w:r>
      <w:r>
        <w:rPr>
          <w:rFonts w:hint="eastAsia"/>
          <w:lang w:val="en-US" w:eastAsia="zh-CN"/>
        </w:rPr>
        <w:t>室</w:t>
      </w:r>
      <w:r>
        <w:rPr>
          <w:lang w:val="en-US" w:eastAsia="uk-UA"/>
        </w:rPr>
        <w:t>财政拨款“三公”经费预算安排</w:t>
      </w:r>
      <w:r>
        <w:rPr>
          <w:rFonts w:hint="default"/>
          <w:lang w:val="en-US" w:eastAsia="uk-UA"/>
        </w:rPr>
        <w:t>4.61</w:t>
      </w:r>
      <w:r>
        <w:rPr>
          <w:lang w:val="en-US" w:eastAsia="uk-UA"/>
        </w:rPr>
        <w:t>万元，其中：因公出国（境）费0万元；公务用车购置及运维费4.6万元（其中：公务用车购置费0万元，公务用车运维费4.6万元)；公务接待费0.</w:t>
      </w:r>
      <w:r>
        <w:rPr>
          <w:rFonts w:hint="default"/>
          <w:lang w:val="en-US" w:eastAsia="uk-UA"/>
        </w:rPr>
        <w:t>01</w:t>
      </w:r>
      <w:r>
        <w:rPr>
          <w:lang w:val="en-US" w:eastAsia="uk-UA"/>
        </w:rPr>
        <w:t>万元。“三公”经费与上年</w:t>
      </w:r>
      <w:r>
        <w:rPr>
          <w:rFonts w:hint="eastAsia"/>
          <w:lang w:val="en-US" w:eastAsia="zh-CN"/>
        </w:rPr>
        <w:t>减少1.4万元，主要减少了公务用车运行维护费</w:t>
      </w:r>
      <w:r>
        <w:rPr>
          <w:lang w:val="en-US" w:eastAsia="uk-UA"/>
        </w:rPr>
        <w:t>。</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b/>
          <w:bCs/>
        </w:rPr>
      </w:pPr>
      <w:r>
        <w:rPr>
          <w:rFonts w:hint="eastAsia" w:eastAsia="方正仿宋_GBK" w:cs="Times New Roman"/>
          <w:b/>
          <w:bCs/>
          <w:color w:val="000000"/>
          <w:sz w:val="28"/>
          <w:lang w:eastAsia="zh-CN"/>
        </w:rPr>
        <w:t>（一）</w:t>
      </w:r>
      <w:r>
        <w:rPr>
          <w:rFonts w:ascii="Times New Roman" w:hAnsi="Times New Roman" w:eastAsia="方正仿宋_GBK" w:cs="Times New Roman"/>
          <w:b/>
          <w:bCs/>
          <w:color w:val="000000"/>
          <w:sz w:val="28"/>
        </w:rPr>
        <w:t>总体绩效目标</w:t>
      </w:r>
    </w:p>
    <w:p>
      <w:pPr>
        <w:pStyle w:val="22"/>
      </w:pPr>
      <w:r>
        <w:t>以习近平新时代中国特色社会主义思想为指导，坚持“一突出、两跟进”，研究中共石家庄历史，征集、整理、编纂中共石家庄历史资料，推出更多有价值的研究成果，做好党史宣教工作，传承红色基因，讲好中国共产党故事，宣传石家庄红色文化，推进党史“七进”，促进党史研究成果转化。让广大党员干部群众全面、系统地了解我市地方党组织的历史发展脉络。加强党史人才建设，举办全市党史干部业务培训班。努力建设一支具有丰富的党史知识，具有较高的理论素养和研究能力的党史工作者队伍。</w:t>
      </w:r>
    </w:p>
    <w:p>
      <w:pPr>
        <w:pStyle w:val="22"/>
      </w:pPr>
      <w:r>
        <w:t>2025年计划编写党史基本著作《中国共产党石家庄历史大事记》（2024））1000册，征集、整理、研究党史方面相关资料100余项，开展2场党史宣传及培训活动。</w:t>
      </w:r>
    </w:p>
    <w:p>
      <w:pPr>
        <w:spacing w:before="0" w:after="0" w:line="500" w:lineRule="exact"/>
        <w:ind w:firstLine="560"/>
        <w:jc w:val="left"/>
        <w:outlineLvl w:val="9"/>
        <w:rPr>
          <w:b/>
          <w:bCs/>
        </w:rPr>
      </w:pPr>
      <w:r>
        <w:rPr>
          <w:rFonts w:hint="eastAsia" w:eastAsia="方正仿宋_GBK" w:cs="Times New Roman"/>
          <w:b/>
          <w:bCs/>
          <w:color w:val="000000"/>
          <w:sz w:val="28"/>
          <w:lang w:eastAsia="zh-CN"/>
        </w:rPr>
        <w:t>（二）</w:t>
      </w:r>
      <w:r>
        <w:rPr>
          <w:rFonts w:ascii="Times New Roman" w:hAnsi="Times New Roman" w:eastAsia="方正仿宋_GBK" w:cs="Times New Roman"/>
          <w:b/>
          <w:bCs/>
          <w:color w:val="000000"/>
          <w:sz w:val="28"/>
        </w:rPr>
        <w:t>分项绩效目标</w:t>
      </w:r>
    </w:p>
    <w:p>
      <w:pPr>
        <w:pStyle w:val="23"/>
      </w:pPr>
      <w:r>
        <w:rPr>
          <w:rFonts w:hint="default"/>
          <w:lang w:val="en-US"/>
        </w:rPr>
        <w:t>1</w:t>
      </w:r>
      <w:r>
        <w:rPr>
          <w:rFonts w:hint="eastAsia"/>
          <w:lang w:val="en-US" w:eastAsia="zh-CN"/>
        </w:rPr>
        <w:t>、</w:t>
      </w:r>
      <w:r>
        <w:t>征集整理党史资料</w:t>
      </w:r>
    </w:p>
    <w:p>
      <w:pPr>
        <w:pStyle w:val="23"/>
      </w:pPr>
      <w:r>
        <w:t>绩效目标：以公开征集、实地调研、专人采访等有效措施，对相关历史文献及资料进行综合收集整理，并对整理后的资料进行深入研究及编写。为《中国共产党石家庄历史》第三卷编写工作做必要的资料准备。</w:t>
      </w:r>
    </w:p>
    <w:p>
      <w:pPr>
        <w:pStyle w:val="23"/>
      </w:pPr>
      <w:r>
        <w:t>绩效指标：对中国共产党石家庄历史（改革开放时期）的专题资料及历史情况进行系统谋划。收集整理重要口述历史资料、重要党史人物回忆录，搜集、整理和研究市内外有关石家庄历史的信息资料，将征集资料整理打印成电子版，形成专题资料、口述资料、影音资料等党史方面相关资料40余项，并且归类保存。</w:t>
      </w:r>
    </w:p>
    <w:p>
      <w:pPr>
        <w:pStyle w:val="23"/>
      </w:pPr>
      <w:r>
        <w:rPr>
          <w:rFonts w:hint="default"/>
          <w:lang w:val="en-US"/>
        </w:rPr>
        <w:t>2</w:t>
      </w:r>
      <w:r>
        <w:rPr>
          <w:rFonts w:hint="eastAsia"/>
          <w:lang w:val="en-US" w:eastAsia="zh-CN"/>
        </w:rPr>
        <w:t>、</w:t>
      </w:r>
      <w:r>
        <w:t xml:space="preserve">编写党史基本著作  </w:t>
      </w:r>
    </w:p>
    <w:p>
      <w:pPr>
        <w:pStyle w:val="23"/>
      </w:pPr>
      <w:r>
        <w:t>绩效目标：继续深化新民主主义时期、社会主义革命和建设时期党史研究，出版印刷党史书籍，为党的建设服务，同时为广大读者了解市委工作决策部署等提供党史专门读物。</w:t>
      </w:r>
    </w:p>
    <w:p>
      <w:pPr>
        <w:pStyle w:val="23"/>
      </w:pPr>
      <w:r>
        <w:t>绩效指标：按照我室重点工作项目化管理办法，出版印刷《中国共产党石家庄历史大事记》（2024）1000册</w:t>
      </w:r>
    </w:p>
    <w:p>
      <w:pPr>
        <w:spacing w:before="0" w:after="0" w:line="500" w:lineRule="exact"/>
        <w:ind w:firstLine="560"/>
        <w:jc w:val="left"/>
        <w:outlineLvl w:val="9"/>
      </w:pPr>
      <w:r>
        <w:rPr>
          <w:rFonts w:hint="default" w:eastAsia="方正仿宋_GBK" w:cs="Times New Roman"/>
          <w:color w:val="000000"/>
          <w:sz w:val="28"/>
          <w:lang w:val="en-US"/>
        </w:rPr>
        <w:t>3</w:t>
      </w:r>
      <w:r>
        <w:rPr>
          <w:rFonts w:hint="eastAsia" w:eastAsia="方正仿宋_GBK" w:cs="Times New Roman"/>
          <w:color w:val="000000"/>
          <w:sz w:val="28"/>
          <w:lang w:val="en-US" w:eastAsia="zh-CN"/>
        </w:rPr>
        <w:t>、</w:t>
      </w:r>
      <w:r>
        <w:rPr>
          <w:rFonts w:ascii="Times New Roman" w:hAnsi="Times New Roman" w:eastAsia="方正仿宋_GBK" w:cs="Times New Roman"/>
          <w:color w:val="000000"/>
          <w:sz w:val="28"/>
        </w:rPr>
        <w:t>工作保障措施</w:t>
      </w:r>
    </w:p>
    <w:p>
      <w:pPr>
        <w:pStyle w:val="24"/>
      </w:pPr>
      <w:r>
        <w:t>加强组织领导。建立统筹协调、分工协作、密切配合、合力推进的工作机制。成立由室主要领导同志任组长、各分管室领导任副组长、各处室主要负责人为组员的预算绩效工作领导小组，领导小组下设办公室，围绕年度总体绩效目标和分类绩效目标，细化工作方案，明确责任主体、实施进度要求，确保如期完成。</w:t>
      </w:r>
    </w:p>
    <w:p>
      <w:pPr>
        <w:pStyle w:val="24"/>
      </w:pPr>
      <w:r>
        <w:t>实施专项资金和重点工作项目化管理办法。严格落实我室《专项资金和重点工作项目化管理办法（试行）》（石党研字〔2018〕3号）要求，按照中央、省委党史研究室室工作安排以及本室五年规划，结合下一年度本地党的历史大事件，由各分管的领导班子成员组织相关处室在当年第三季度编制下一年度重点工作和重大项目，提交室务会研究，研究决定后，由办公室统一向财政局申报下一年度的专项资金和重点工作所需的资金预算。财政审核批准并下发年度预算书后，经室务会研究最终确定我室的重点工作和专项资金的使用方向和范围；确定项目负责人，成立项目工作组。</w:t>
      </w:r>
    </w:p>
    <w:p>
      <w:pPr>
        <w:pStyle w:val="24"/>
      </w:pPr>
      <w:r>
        <w:t>强化预算管理。开展绩效运行监控管理，项目工作组按照项目的工作内容、质量标准、完成时限、成果效果等作出计划并推动实施。项目工作组要定期向室务会汇报工作进展情况。按照时间节点完成支出任务，及早发挥财政资金效益。</w:t>
      </w:r>
    </w:p>
    <w:p>
      <w:pPr>
        <w:pStyle w:val="24"/>
      </w:pPr>
      <w:r>
        <w:t>完善评价机制。在预算绩效领导小组领导下，按照要求扎实开展绩效自评。各项目组和责任处室制定评价工作方案，明确评价内容、评价方法等。必要时，聘请第三方机构独立开展评价。对在绩效评价发现的问题，研究解决对策，及时整改，调整优化支出结构，提高财政资金使用效益。</w:t>
      </w:r>
    </w:p>
    <w:p>
      <w:pPr>
        <w:pStyle w:val="24"/>
        <w:sectPr>
          <w:pgSz w:w="16840" w:h="11900" w:orient="landscape"/>
          <w:pgMar w:top="1361" w:right="1020" w:bottom="1361" w:left="1020" w:header="720" w:footer="720" w:gutter="0"/>
          <w:cols w:space="720" w:num="1"/>
        </w:sectPr>
      </w:pPr>
      <w:r>
        <w:t>加强宣传培训。参加有关部门组织的业务培训，提高本室干部职工业务素质，强化预算绩效管理意识，掌握工作方法，提升管理能力。加大绩效预算宣传力度，利用多途径、多方式宣传绩效理念，营造良好舆论氛围，促进预算绩效管理水平提升。</w:t>
      </w:r>
    </w:p>
    <w:p>
      <w:pPr>
        <w:numPr>
          <w:numId w:val="0"/>
        </w:numPr>
        <w:spacing w:before="10" w:after="10" w:line="360" w:lineRule="auto"/>
        <w:ind w:left="640" w:left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中共石家庄市委党史研究室2025年无主管专项资金预算。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13010025P00971110460W</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用于保障机关党支部开展日常活动所需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1.保障机关党支部日常工作正常开展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5386" w:type="dxa"/>
            <w:vAlign w:val="center"/>
          </w:tcPr>
          <w:p>
            <w:pPr>
              <w:pStyle w:val="13"/>
            </w:pPr>
            <w:r>
              <w:t>组织党员活动数量</w:t>
            </w:r>
          </w:p>
        </w:tc>
        <w:tc>
          <w:tcPr>
            <w:tcW w:w="2268" w:type="dxa"/>
            <w:vAlign w:val="center"/>
          </w:tcPr>
          <w:p>
            <w:pPr>
              <w:pStyle w:val="13"/>
            </w:pPr>
            <w:r>
              <w:t>≥1次</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党组织活动开展质量水平</w:t>
            </w:r>
          </w:p>
        </w:tc>
        <w:tc>
          <w:tcPr>
            <w:tcW w:w="2268" w:type="dxa"/>
            <w:vAlign w:val="center"/>
          </w:tcPr>
          <w:p>
            <w:pPr>
              <w:pStyle w:val="13"/>
            </w:pPr>
            <w:r>
              <w:t>不断提升</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活动完成时效</w:t>
            </w:r>
          </w:p>
        </w:tc>
        <w:tc>
          <w:tcPr>
            <w:tcW w:w="5386" w:type="dxa"/>
            <w:vAlign w:val="center"/>
          </w:tcPr>
          <w:p>
            <w:pPr>
              <w:pStyle w:val="13"/>
            </w:pPr>
            <w:r>
              <w:t>组织活动完成时间</w:t>
            </w:r>
          </w:p>
        </w:tc>
        <w:tc>
          <w:tcPr>
            <w:tcW w:w="2268" w:type="dxa"/>
            <w:vAlign w:val="center"/>
          </w:tcPr>
          <w:p>
            <w:pPr>
              <w:pStyle w:val="13"/>
            </w:pPr>
            <w:r>
              <w:t>2025年12月31日前</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党组织活动支出总成本</w:t>
            </w:r>
          </w:p>
        </w:tc>
        <w:tc>
          <w:tcPr>
            <w:tcW w:w="2268" w:type="dxa"/>
            <w:vAlign w:val="center"/>
          </w:tcPr>
          <w:p>
            <w:pPr>
              <w:pStyle w:val="13"/>
            </w:pPr>
            <w:r>
              <w:t>≤1万元</w:t>
            </w:r>
          </w:p>
        </w:tc>
        <w:tc>
          <w:tcPr>
            <w:tcW w:w="1276" w:type="dxa"/>
            <w:vAlign w:val="center"/>
          </w:tcPr>
          <w:p>
            <w:pPr>
              <w:pStyle w:val="13"/>
            </w:pPr>
            <w:r>
              <w:t>按照预算批复控制总成本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用于每名党员参加党组织活动的费用</w:t>
            </w:r>
          </w:p>
        </w:tc>
        <w:tc>
          <w:tcPr>
            <w:tcW w:w="2268" w:type="dxa"/>
            <w:vAlign w:val="center"/>
          </w:tcPr>
          <w:p>
            <w:pPr>
              <w:pStyle w:val="13"/>
            </w:pPr>
            <w:r>
              <w:t>≤0.05万元</w:t>
            </w:r>
          </w:p>
        </w:tc>
        <w:tc>
          <w:tcPr>
            <w:tcW w:w="1276" w:type="dxa"/>
            <w:vAlign w:val="center"/>
          </w:tcPr>
          <w:p>
            <w:pPr>
              <w:pStyle w:val="13"/>
            </w:pPr>
            <w:r>
              <w:t>按照单位党员人数核算支出成本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提高各级党组织战斗力</w:t>
            </w:r>
          </w:p>
        </w:tc>
        <w:tc>
          <w:tcPr>
            <w:tcW w:w="5386" w:type="dxa"/>
            <w:vAlign w:val="center"/>
          </w:tcPr>
          <w:p>
            <w:pPr>
              <w:pStyle w:val="13"/>
            </w:pPr>
            <w:r>
              <w:t>加强基层党组织建设提高各级党组织战斗力</w:t>
            </w:r>
          </w:p>
        </w:tc>
        <w:tc>
          <w:tcPr>
            <w:tcW w:w="2268" w:type="dxa"/>
            <w:vAlign w:val="center"/>
          </w:tcPr>
          <w:p>
            <w:pPr>
              <w:pStyle w:val="13"/>
            </w:pPr>
            <w:r>
              <w:t>进一步加强</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党员干部满意率</w:t>
            </w:r>
          </w:p>
        </w:tc>
        <w:tc>
          <w:tcPr>
            <w:tcW w:w="2268" w:type="dxa"/>
            <w:vAlign w:val="center"/>
          </w:tcPr>
          <w:p>
            <w:pPr>
              <w:pStyle w:val="13"/>
            </w:pPr>
            <w:r>
              <w:t>≥90%</w:t>
            </w:r>
          </w:p>
        </w:tc>
        <w:tc>
          <w:tcPr>
            <w:tcW w:w="1276" w:type="dxa"/>
            <w:vAlign w:val="center"/>
          </w:tcPr>
          <w:p>
            <w:pPr>
              <w:pStyle w:val="13"/>
            </w:pPr>
            <w:r>
              <w:t>依据活动计划及工作总结</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2、党史著作出版宣传经费绩效目标表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13010025P00976510197Q</w:t>
            </w:r>
          </w:p>
        </w:tc>
        <w:tc>
          <w:tcPr>
            <w:tcW w:w="2835" w:type="dxa"/>
            <w:vAlign w:val="center"/>
          </w:tcPr>
          <w:p>
            <w:pPr>
              <w:pStyle w:val="11"/>
            </w:pPr>
            <w:r>
              <w:t>项目名称</w:t>
            </w:r>
          </w:p>
        </w:tc>
        <w:tc>
          <w:tcPr>
            <w:tcW w:w="6095" w:type="dxa"/>
            <w:gridSpan w:val="3"/>
            <w:vAlign w:val="center"/>
          </w:tcPr>
          <w:p>
            <w:pPr>
              <w:pStyle w:val="13"/>
            </w:pPr>
            <w:r>
              <w:t>党史著作出版宣传经费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24.64</w:t>
            </w:r>
          </w:p>
        </w:tc>
        <w:tc>
          <w:tcPr>
            <w:tcW w:w="2835" w:type="dxa"/>
            <w:vAlign w:val="center"/>
          </w:tcPr>
          <w:p>
            <w:pPr>
              <w:pStyle w:val="11"/>
            </w:pPr>
            <w:r>
              <w:t>其中：财政    资金</w:t>
            </w:r>
          </w:p>
        </w:tc>
        <w:tc>
          <w:tcPr>
            <w:tcW w:w="2551" w:type="dxa"/>
            <w:vAlign w:val="center"/>
          </w:tcPr>
          <w:p>
            <w:pPr>
              <w:pStyle w:val="13"/>
            </w:pPr>
            <w:r>
              <w:t>24.64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用于支付公开出版《中国共产党石家庄历史大事记》（2024）的内容设计审核及版权书号费和印刷费和党史宣传活动费用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1.用于支付党史宣传活动费用，通过开展各类宣传普及活动，达到扩大党史知识覆盖面的目的。</w:t>
            </w:r>
          </w:p>
          <w:p>
            <w:pPr>
              <w:pStyle w:val="13"/>
            </w:pPr>
            <w:r>
              <w:t>2.用于支付公开出版《中国共产党石家庄历史大事记》（2024）的内容设计审核及版权书号费和印刷费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出版数量</w:t>
            </w:r>
          </w:p>
        </w:tc>
        <w:tc>
          <w:tcPr>
            <w:tcW w:w="5386" w:type="dxa"/>
            <w:vAlign w:val="center"/>
          </w:tcPr>
          <w:p>
            <w:pPr>
              <w:pStyle w:val="13"/>
            </w:pPr>
            <w:r>
              <w:t>出版党史著作数量</w:t>
            </w:r>
          </w:p>
        </w:tc>
        <w:tc>
          <w:tcPr>
            <w:tcW w:w="2268" w:type="dxa"/>
            <w:vAlign w:val="center"/>
          </w:tcPr>
          <w:p>
            <w:pPr>
              <w:pStyle w:val="13"/>
            </w:pPr>
            <w:r>
              <w:t>≥1种</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党史著作出版物产品验收合格比率%</w:t>
            </w:r>
          </w:p>
        </w:tc>
        <w:tc>
          <w:tcPr>
            <w:tcW w:w="2268" w:type="dxa"/>
            <w:vAlign w:val="center"/>
          </w:tcPr>
          <w:p>
            <w:pPr>
              <w:pStyle w:val="13"/>
            </w:pPr>
            <w:r>
              <w:t>100%</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党史著作出版物版权时间</w:t>
            </w:r>
          </w:p>
        </w:tc>
        <w:tc>
          <w:tcPr>
            <w:tcW w:w="2268" w:type="dxa"/>
            <w:vAlign w:val="center"/>
          </w:tcPr>
          <w:p>
            <w:pPr>
              <w:pStyle w:val="13"/>
            </w:pPr>
            <w:r>
              <w:t>2024年12月31日前</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宣传活动成本</w:t>
            </w:r>
          </w:p>
        </w:tc>
        <w:tc>
          <w:tcPr>
            <w:tcW w:w="2268" w:type="dxa"/>
            <w:vAlign w:val="center"/>
          </w:tcPr>
          <w:p>
            <w:pPr>
              <w:pStyle w:val="13"/>
            </w:pPr>
            <w:r>
              <w:t>≤5万元</w:t>
            </w:r>
          </w:p>
        </w:tc>
        <w:tc>
          <w:tcPr>
            <w:tcW w:w="1276" w:type="dxa"/>
            <w:vAlign w:val="center"/>
          </w:tcPr>
          <w:p>
            <w:pPr>
              <w:pStyle w:val="13"/>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出版印刷费</w:t>
            </w:r>
          </w:p>
        </w:tc>
        <w:tc>
          <w:tcPr>
            <w:tcW w:w="5386" w:type="dxa"/>
            <w:vAlign w:val="center"/>
          </w:tcPr>
          <w:p>
            <w:pPr>
              <w:pStyle w:val="13"/>
            </w:pPr>
            <w:r>
              <w:t>党史著作出版印刷成本</w:t>
            </w:r>
          </w:p>
        </w:tc>
        <w:tc>
          <w:tcPr>
            <w:tcW w:w="2268" w:type="dxa"/>
            <w:vAlign w:val="center"/>
          </w:tcPr>
          <w:p>
            <w:pPr>
              <w:pStyle w:val="13"/>
            </w:pPr>
            <w:r>
              <w:t>≤19.64万元</w:t>
            </w:r>
          </w:p>
        </w:tc>
        <w:tc>
          <w:tcPr>
            <w:tcW w:w="1276" w:type="dxa"/>
            <w:vAlign w:val="center"/>
          </w:tcPr>
          <w:p>
            <w:pPr>
              <w:pStyle w:val="13"/>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覆盖范围扩大效果</w:t>
            </w:r>
          </w:p>
        </w:tc>
        <w:tc>
          <w:tcPr>
            <w:tcW w:w="5386" w:type="dxa"/>
            <w:vAlign w:val="center"/>
          </w:tcPr>
          <w:p>
            <w:pPr>
              <w:pStyle w:val="13"/>
            </w:pPr>
            <w:r>
              <w:t>党史宣传活动覆盖人数</w:t>
            </w:r>
          </w:p>
        </w:tc>
        <w:tc>
          <w:tcPr>
            <w:tcW w:w="2268" w:type="dxa"/>
            <w:vAlign w:val="center"/>
          </w:tcPr>
          <w:p>
            <w:pPr>
              <w:pStyle w:val="13"/>
            </w:pPr>
            <w:r>
              <w:t>≥1000人</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社会公众及相关部门对出版物满意度</w:t>
            </w:r>
          </w:p>
        </w:tc>
        <w:tc>
          <w:tcPr>
            <w:tcW w:w="2268" w:type="dxa"/>
            <w:vAlign w:val="center"/>
          </w:tcPr>
          <w:p>
            <w:pPr>
              <w:pStyle w:val="13"/>
            </w:pPr>
            <w:r>
              <w:t>≥90%</w:t>
            </w:r>
          </w:p>
        </w:tc>
        <w:tc>
          <w:tcPr>
            <w:tcW w:w="1276" w:type="dxa"/>
            <w:vAlign w:val="center"/>
          </w:tcPr>
          <w:p>
            <w:pPr>
              <w:pStyle w:val="13"/>
            </w:pPr>
            <w:r>
              <w:t>依据活动计划及工作总结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3、党史资料收集整理研究及保存经费绩效目标表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13010025P004E2B10005U</w:t>
            </w:r>
          </w:p>
        </w:tc>
        <w:tc>
          <w:tcPr>
            <w:tcW w:w="2835" w:type="dxa"/>
            <w:vAlign w:val="center"/>
          </w:tcPr>
          <w:p>
            <w:pPr>
              <w:pStyle w:val="11"/>
            </w:pPr>
            <w:r>
              <w:t>项目名称</w:t>
            </w:r>
          </w:p>
        </w:tc>
        <w:tc>
          <w:tcPr>
            <w:tcW w:w="6095" w:type="dxa"/>
            <w:gridSpan w:val="3"/>
            <w:vAlign w:val="center"/>
          </w:tcPr>
          <w:p>
            <w:pPr>
              <w:pStyle w:val="13"/>
            </w:pPr>
            <w:r>
              <w:t>党史资料收集整理研究及保存经费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12.76</w:t>
            </w:r>
          </w:p>
        </w:tc>
        <w:tc>
          <w:tcPr>
            <w:tcW w:w="2835" w:type="dxa"/>
            <w:vAlign w:val="center"/>
          </w:tcPr>
          <w:p>
            <w:pPr>
              <w:pStyle w:val="11"/>
            </w:pPr>
            <w:r>
              <w:t>其中：财政    资金</w:t>
            </w:r>
          </w:p>
        </w:tc>
        <w:tc>
          <w:tcPr>
            <w:tcW w:w="2551" w:type="dxa"/>
            <w:vAlign w:val="center"/>
          </w:tcPr>
          <w:p>
            <w:pPr>
              <w:pStyle w:val="13"/>
            </w:pPr>
            <w:r>
              <w:t>12.76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完成年度工作规划中的党史资料收集整理研究及保存工作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1.完成年度工作规划中的党史资料收集整理研究及保存工作，保障相关部门对研究成果的利用。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征集档案数量</w:t>
            </w:r>
          </w:p>
        </w:tc>
        <w:tc>
          <w:tcPr>
            <w:tcW w:w="5386" w:type="dxa"/>
            <w:vAlign w:val="center"/>
          </w:tcPr>
          <w:p>
            <w:pPr>
              <w:pStyle w:val="13"/>
            </w:pPr>
            <w:r>
              <w:t>征集保存党史档案资料数量</w:t>
            </w:r>
          </w:p>
        </w:tc>
        <w:tc>
          <w:tcPr>
            <w:tcW w:w="2268" w:type="dxa"/>
            <w:vAlign w:val="center"/>
          </w:tcPr>
          <w:p>
            <w:pPr>
              <w:pStyle w:val="13"/>
            </w:pPr>
            <w:r>
              <w:t>≥120篇</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保存完好率</w:t>
            </w:r>
          </w:p>
        </w:tc>
        <w:tc>
          <w:tcPr>
            <w:tcW w:w="5386" w:type="dxa"/>
            <w:vAlign w:val="center"/>
          </w:tcPr>
          <w:p>
            <w:pPr>
              <w:pStyle w:val="13"/>
            </w:pPr>
            <w:r>
              <w:t>党史资料保存完好率</w:t>
            </w:r>
          </w:p>
        </w:tc>
        <w:tc>
          <w:tcPr>
            <w:tcW w:w="2268" w:type="dxa"/>
            <w:vAlign w:val="center"/>
          </w:tcPr>
          <w:p>
            <w:pPr>
              <w:pStyle w:val="13"/>
            </w:pPr>
            <w:r>
              <w:t>100%</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党史资料征集研究保存完成时间</w:t>
            </w:r>
          </w:p>
        </w:tc>
        <w:tc>
          <w:tcPr>
            <w:tcW w:w="2268" w:type="dxa"/>
            <w:vAlign w:val="center"/>
          </w:tcPr>
          <w:p>
            <w:pPr>
              <w:pStyle w:val="13"/>
            </w:pPr>
            <w:r>
              <w:t>2024年12月31日前完成</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调研成本</w:t>
            </w:r>
          </w:p>
        </w:tc>
        <w:tc>
          <w:tcPr>
            <w:tcW w:w="5386" w:type="dxa"/>
            <w:vAlign w:val="center"/>
          </w:tcPr>
          <w:p>
            <w:pPr>
              <w:pStyle w:val="13"/>
            </w:pPr>
            <w:r>
              <w:t>研究参考成本</w:t>
            </w:r>
          </w:p>
        </w:tc>
        <w:tc>
          <w:tcPr>
            <w:tcW w:w="2268" w:type="dxa"/>
            <w:vAlign w:val="center"/>
          </w:tcPr>
          <w:p>
            <w:pPr>
              <w:pStyle w:val="13"/>
            </w:pPr>
            <w:r>
              <w:t>≤4万元</w:t>
            </w:r>
          </w:p>
        </w:tc>
        <w:tc>
          <w:tcPr>
            <w:tcW w:w="1276" w:type="dxa"/>
            <w:vAlign w:val="center"/>
          </w:tcPr>
          <w:p>
            <w:pPr>
              <w:pStyle w:val="13"/>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档案整理费用</w:t>
            </w:r>
          </w:p>
        </w:tc>
        <w:tc>
          <w:tcPr>
            <w:tcW w:w="5386" w:type="dxa"/>
            <w:vAlign w:val="center"/>
          </w:tcPr>
          <w:p>
            <w:pPr>
              <w:pStyle w:val="13"/>
            </w:pPr>
            <w:r>
              <w:t>档案整理成本</w:t>
            </w:r>
          </w:p>
        </w:tc>
        <w:tc>
          <w:tcPr>
            <w:tcW w:w="2268" w:type="dxa"/>
            <w:vAlign w:val="center"/>
          </w:tcPr>
          <w:p>
            <w:pPr>
              <w:pStyle w:val="13"/>
            </w:pPr>
            <w:r>
              <w:t>≤5万元</w:t>
            </w:r>
          </w:p>
        </w:tc>
        <w:tc>
          <w:tcPr>
            <w:tcW w:w="1276" w:type="dxa"/>
            <w:vAlign w:val="center"/>
          </w:tcPr>
          <w:p>
            <w:pPr>
              <w:pStyle w:val="13"/>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≤12.76万元</w:t>
            </w:r>
          </w:p>
        </w:tc>
        <w:tc>
          <w:tcPr>
            <w:tcW w:w="1276" w:type="dxa"/>
            <w:vAlign w:val="center"/>
          </w:tcPr>
          <w:p>
            <w:pPr>
              <w:pStyle w:val="13"/>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研究成果可利用性</w:t>
            </w:r>
          </w:p>
        </w:tc>
        <w:tc>
          <w:tcPr>
            <w:tcW w:w="5386" w:type="dxa"/>
            <w:vAlign w:val="center"/>
          </w:tcPr>
          <w:p>
            <w:pPr>
              <w:pStyle w:val="13"/>
            </w:pPr>
            <w:r>
              <w:t>党史资料及研究成果的长期使用性</w:t>
            </w:r>
          </w:p>
        </w:tc>
        <w:tc>
          <w:tcPr>
            <w:tcW w:w="2268" w:type="dxa"/>
            <w:vAlign w:val="center"/>
          </w:tcPr>
          <w:p>
            <w:pPr>
              <w:pStyle w:val="13"/>
            </w:pPr>
            <w:r>
              <w:t>≥5年</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社会促进情况</w:t>
            </w:r>
          </w:p>
        </w:tc>
        <w:tc>
          <w:tcPr>
            <w:tcW w:w="5386" w:type="dxa"/>
            <w:vAlign w:val="center"/>
          </w:tcPr>
          <w:p>
            <w:pPr>
              <w:pStyle w:val="13"/>
            </w:pPr>
            <w:r>
              <w:t>党史资料研究成果转化社会促进情况</w:t>
            </w:r>
          </w:p>
        </w:tc>
        <w:tc>
          <w:tcPr>
            <w:tcW w:w="2268" w:type="dxa"/>
            <w:vAlign w:val="center"/>
          </w:tcPr>
          <w:p>
            <w:pPr>
              <w:pStyle w:val="13"/>
            </w:pPr>
            <w:r>
              <w:t>可以保障相关部门对研究成果的利用</w:t>
            </w:r>
          </w:p>
        </w:tc>
        <w:tc>
          <w:tcPr>
            <w:tcW w:w="1276" w:type="dxa"/>
            <w:vAlign w:val="center"/>
          </w:tcPr>
          <w:p>
            <w:pPr>
              <w:pStyle w:val="13"/>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综合业务管理人员满意度</w:t>
            </w:r>
          </w:p>
        </w:tc>
        <w:tc>
          <w:tcPr>
            <w:tcW w:w="5386" w:type="dxa"/>
            <w:vAlign w:val="center"/>
          </w:tcPr>
          <w:p>
            <w:pPr>
              <w:pStyle w:val="13"/>
            </w:pPr>
            <w:r>
              <w:t>综合业务管理及使用人员满意度</w:t>
            </w:r>
          </w:p>
        </w:tc>
        <w:tc>
          <w:tcPr>
            <w:tcW w:w="2268" w:type="dxa"/>
            <w:vAlign w:val="center"/>
          </w:tcPr>
          <w:p>
            <w:pPr>
              <w:pStyle w:val="13"/>
            </w:pPr>
            <w:r>
              <w:t>≥90%</w:t>
            </w:r>
          </w:p>
        </w:tc>
        <w:tc>
          <w:tcPr>
            <w:tcW w:w="1276" w:type="dxa"/>
            <w:vAlign w:val="center"/>
          </w:tcPr>
          <w:p>
            <w:pPr>
              <w:pStyle w:val="13"/>
            </w:pPr>
            <w:r>
              <w:t>依据活动计划及工作总结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283中共石家庄市委党史研究室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中共石家庄市委党史研究室（含所属单位）上年末固定资产金额为</w:t>
      </w:r>
      <w:r>
        <w:rPr>
          <w:rFonts w:hint="default" w:eastAsia="方正仿宋_GBK" w:cs="Times New Roman"/>
          <w:b w:val="0"/>
          <w:color w:val="000000"/>
          <w:sz w:val="28"/>
          <w:lang w:val="en-US"/>
        </w:rPr>
        <w:t>115.71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283中共石家庄市委党史研究室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835" w:type="dxa"/>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default" w:eastAsia="方正书宋_GBK"/>
                <w:lang w:val="en" w:eastAsia="zh-CN"/>
              </w:rPr>
              <w:t>1</w:t>
            </w:r>
            <w:r>
              <w:rPr>
                <w:rFonts w:hint="default"/>
                <w:lang w:val="en-US" w:eastAsia="zh-CN"/>
              </w:rPr>
              <w:t>15.71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1.房屋（平方米）</w:t>
            </w:r>
          </w:p>
        </w:tc>
        <w:tc>
          <w:tcPr>
            <w:tcW w:w="0" w:type="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 xml:space="preserve">    其中：办公用房（平方米）</w:t>
            </w:r>
          </w:p>
        </w:tc>
        <w:tc>
          <w:tcPr>
            <w:tcW w:w="0" w:type="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2.车辆（台、辆）</w:t>
            </w:r>
          </w:p>
        </w:tc>
        <w:tc>
          <w:tcPr>
            <w:tcW w:w="0" w:type="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default"/>
                <w:lang w:val="en" w:eastAsia="zh-CN"/>
              </w:rPr>
              <w:t>3</w:t>
            </w:r>
            <w:r>
              <w:rPr>
                <w:rFonts w:hint="default"/>
                <w:lang w:val="en-US" w:eastAsia="zh-CN"/>
              </w:rP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3.单价在50万元以上的设备</w:t>
            </w:r>
          </w:p>
        </w:tc>
        <w:tc>
          <w:tcPr>
            <w:tcW w:w="0" w:type="auto"/>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eastAsia="方正书宋_GBK" w:cs="方正书宋_GBK"/>
                <w:sz w:val="21"/>
                <w:szCs w:val="24"/>
                <w:lang w:val="en-US" w:eastAsia="zh-CN" w:bidi="ar-SA"/>
              </w:rPr>
              <w:t>——</w:t>
            </w:r>
          </w:p>
        </w:tc>
        <w:tc>
          <w:tcPr>
            <w:tcW w:w="0" w:type="auto"/>
            <w:vAlign w:val="center"/>
          </w:tcPr>
          <w:p>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default"/>
                <w:lang w:val="en-US" w:eastAsia="zh-CN"/>
              </w:rPr>
              <w:t>78.91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E54BE0"/>
    <w:multiLevelType w:val="singleLevel"/>
    <w:tmpl w:val="2CE54BE0"/>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6368E"/>
    <w:rsid w:val="19F81BD2"/>
    <w:rsid w:val="1A523B00"/>
    <w:rsid w:val="72B22A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19</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2025-01-27T02:19:00Z</dcterms:created>
  <dc:creator>Administrator</dc:creator>
  <cp:lastModifiedBy>豆儿</cp:lastModifiedBy>
  <dcterms:modified xsi:type="dcterms:W3CDTF">2025-01-26T19:47:21Z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8C7C6850323B48B0A1DAD206E26516F0</vt:lpwstr>
  </property>
</Properties>
</file>