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一、石家庄市社会科学院本级收支预算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一、石家庄市社会科学院本级收支预算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492001石家庄市社会科学院本级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1026.68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717.11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211.63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43.61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54.33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1026.68</w:t>
            </w:r>
          </w:p>
        </w:tc>
        <w:tc>
          <w:tcPr>
            <w:tcW w:w="4535" w:type="dxa"/>
            <w:vAlign w:val="center"/>
          </w:tcPr>
          <w:p>
            <w:pPr>
              <w:pStyle w:val="14"/>
            </w:pPr>
            <w:r>
              <w:t>本年支出合计</w:t>
            </w:r>
          </w:p>
        </w:tc>
        <w:tc>
          <w:tcPr>
            <w:tcW w:w="2126" w:type="dxa"/>
            <w:vAlign w:val="center"/>
          </w:tcPr>
          <w:p>
            <w:pPr>
              <w:pStyle w:val="15"/>
            </w:pPr>
            <w:r>
              <w:t>1026.68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1026.68</w:t>
            </w:r>
          </w:p>
        </w:tc>
        <w:tc>
          <w:tcPr>
            <w:tcW w:w="4535" w:type="dxa"/>
            <w:vAlign w:val="center"/>
          </w:tcPr>
          <w:p>
            <w:pPr>
              <w:pStyle w:val="14"/>
            </w:pPr>
            <w:r>
              <w:t>支出总计</w:t>
            </w:r>
          </w:p>
        </w:tc>
        <w:tc>
          <w:tcPr>
            <w:tcW w:w="2126" w:type="dxa"/>
            <w:vAlign w:val="center"/>
          </w:tcPr>
          <w:p>
            <w:pPr>
              <w:pStyle w:val="15"/>
            </w:pPr>
            <w:r>
              <w:t>1026.68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492001石家庄市社会科学院本级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1026.68</w:t>
            </w:r>
          </w:p>
        </w:tc>
        <w:tc>
          <w:tcPr>
            <w:tcW w:w="1134" w:type="dxa"/>
            <w:vAlign w:val="center"/>
          </w:tcPr>
          <w:p>
            <w:pPr>
              <w:pStyle w:val="15"/>
            </w:pPr>
            <w:r>
              <w:t>1026.68</w:t>
            </w:r>
          </w:p>
        </w:tc>
        <w:tc>
          <w:tcPr>
            <w:tcW w:w="1134" w:type="dxa"/>
            <w:vAlign w:val="center"/>
          </w:tcPr>
          <w:p>
            <w:pPr>
              <w:pStyle w:val="15"/>
            </w:pPr>
            <w:r>
              <w:t>1026.68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717.11</w:t>
            </w:r>
          </w:p>
        </w:tc>
        <w:tc>
          <w:tcPr>
            <w:tcW w:w="1134" w:type="dxa"/>
            <w:vAlign w:val="center"/>
          </w:tcPr>
          <w:p>
            <w:pPr>
              <w:pStyle w:val="11"/>
            </w:pPr>
            <w:r>
              <w:t>717.11</w:t>
            </w:r>
          </w:p>
        </w:tc>
        <w:tc>
          <w:tcPr>
            <w:tcW w:w="1134" w:type="dxa"/>
            <w:vAlign w:val="center"/>
          </w:tcPr>
          <w:p>
            <w:pPr>
              <w:pStyle w:val="11"/>
            </w:pPr>
            <w:r>
              <w:t>717.11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20606</w:t>
            </w:r>
          </w:p>
        </w:tc>
        <w:tc>
          <w:tcPr>
            <w:tcW w:w="1559" w:type="dxa"/>
            <w:vAlign w:val="center"/>
          </w:tcPr>
          <w:p>
            <w:pPr>
              <w:pStyle w:val="12"/>
            </w:pPr>
            <w:r>
              <w:t>社会科学</w:t>
            </w:r>
          </w:p>
        </w:tc>
        <w:tc>
          <w:tcPr>
            <w:tcW w:w="1134" w:type="dxa"/>
            <w:vAlign w:val="center"/>
          </w:tcPr>
          <w:p>
            <w:pPr>
              <w:pStyle w:val="11"/>
            </w:pPr>
            <w:r>
              <w:t>717.11</w:t>
            </w:r>
          </w:p>
        </w:tc>
        <w:tc>
          <w:tcPr>
            <w:tcW w:w="1134" w:type="dxa"/>
            <w:vAlign w:val="center"/>
          </w:tcPr>
          <w:p>
            <w:pPr>
              <w:pStyle w:val="11"/>
            </w:pPr>
            <w:r>
              <w:t>717.11</w:t>
            </w:r>
          </w:p>
        </w:tc>
        <w:tc>
          <w:tcPr>
            <w:tcW w:w="1134" w:type="dxa"/>
            <w:vAlign w:val="center"/>
          </w:tcPr>
          <w:p>
            <w:pPr>
              <w:pStyle w:val="11"/>
            </w:pPr>
            <w:r>
              <w:t>717.11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2060601</w:t>
            </w:r>
          </w:p>
        </w:tc>
        <w:tc>
          <w:tcPr>
            <w:tcW w:w="1559" w:type="dxa"/>
            <w:vAlign w:val="center"/>
          </w:tcPr>
          <w:p>
            <w:pPr>
              <w:pStyle w:val="12"/>
            </w:pPr>
            <w:r>
              <w:t>社会科学研究机构</w:t>
            </w:r>
          </w:p>
        </w:tc>
        <w:tc>
          <w:tcPr>
            <w:tcW w:w="1134" w:type="dxa"/>
            <w:vAlign w:val="center"/>
          </w:tcPr>
          <w:p>
            <w:pPr>
              <w:pStyle w:val="11"/>
            </w:pPr>
            <w:r>
              <w:t>603.56</w:t>
            </w:r>
          </w:p>
        </w:tc>
        <w:tc>
          <w:tcPr>
            <w:tcW w:w="1134" w:type="dxa"/>
            <w:vAlign w:val="center"/>
          </w:tcPr>
          <w:p>
            <w:pPr>
              <w:pStyle w:val="11"/>
            </w:pPr>
            <w:r>
              <w:t>603.56</w:t>
            </w:r>
          </w:p>
        </w:tc>
        <w:tc>
          <w:tcPr>
            <w:tcW w:w="1134" w:type="dxa"/>
            <w:vAlign w:val="center"/>
          </w:tcPr>
          <w:p>
            <w:pPr>
              <w:pStyle w:val="11"/>
            </w:pPr>
            <w:r>
              <w:t>603.56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2060602</w:t>
            </w:r>
          </w:p>
        </w:tc>
        <w:tc>
          <w:tcPr>
            <w:tcW w:w="1559" w:type="dxa"/>
            <w:vAlign w:val="center"/>
          </w:tcPr>
          <w:p>
            <w:pPr>
              <w:pStyle w:val="12"/>
            </w:pPr>
            <w:r>
              <w:t>社会科学研究</w:t>
            </w:r>
          </w:p>
        </w:tc>
        <w:tc>
          <w:tcPr>
            <w:tcW w:w="1134" w:type="dxa"/>
            <w:vAlign w:val="center"/>
          </w:tcPr>
          <w:p>
            <w:pPr>
              <w:pStyle w:val="11"/>
            </w:pPr>
            <w:r>
              <w:t>113.55</w:t>
            </w:r>
          </w:p>
        </w:tc>
        <w:tc>
          <w:tcPr>
            <w:tcW w:w="1134" w:type="dxa"/>
            <w:vAlign w:val="center"/>
          </w:tcPr>
          <w:p>
            <w:pPr>
              <w:pStyle w:val="11"/>
            </w:pPr>
            <w:r>
              <w:t>113.55</w:t>
            </w:r>
          </w:p>
        </w:tc>
        <w:tc>
          <w:tcPr>
            <w:tcW w:w="1134" w:type="dxa"/>
            <w:vAlign w:val="center"/>
          </w:tcPr>
          <w:p>
            <w:pPr>
              <w:pStyle w:val="11"/>
            </w:pPr>
            <w:r>
              <w:t>113.55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211.63</w:t>
            </w:r>
          </w:p>
        </w:tc>
        <w:tc>
          <w:tcPr>
            <w:tcW w:w="1134" w:type="dxa"/>
            <w:vAlign w:val="center"/>
          </w:tcPr>
          <w:p>
            <w:pPr>
              <w:pStyle w:val="11"/>
            </w:pPr>
            <w:r>
              <w:t>211.63</w:t>
            </w:r>
          </w:p>
        </w:tc>
        <w:tc>
          <w:tcPr>
            <w:tcW w:w="1134" w:type="dxa"/>
            <w:vAlign w:val="center"/>
          </w:tcPr>
          <w:p>
            <w:pPr>
              <w:pStyle w:val="11"/>
            </w:pPr>
            <w:r>
              <w:t>211.63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210.17</w:t>
            </w:r>
          </w:p>
        </w:tc>
        <w:tc>
          <w:tcPr>
            <w:tcW w:w="1134" w:type="dxa"/>
            <w:vAlign w:val="center"/>
          </w:tcPr>
          <w:p>
            <w:pPr>
              <w:pStyle w:val="11"/>
            </w:pPr>
            <w:r>
              <w:t>210.17</w:t>
            </w:r>
          </w:p>
        </w:tc>
        <w:tc>
          <w:tcPr>
            <w:tcW w:w="1134" w:type="dxa"/>
            <w:vAlign w:val="center"/>
          </w:tcPr>
          <w:p>
            <w:pPr>
              <w:pStyle w:val="11"/>
            </w:pPr>
            <w:r>
              <w:t>210.17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147.73</w:t>
            </w:r>
          </w:p>
        </w:tc>
        <w:tc>
          <w:tcPr>
            <w:tcW w:w="1134" w:type="dxa"/>
            <w:vAlign w:val="center"/>
          </w:tcPr>
          <w:p>
            <w:pPr>
              <w:pStyle w:val="11"/>
            </w:pPr>
            <w:r>
              <w:t>147.73</w:t>
            </w:r>
          </w:p>
        </w:tc>
        <w:tc>
          <w:tcPr>
            <w:tcW w:w="1134" w:type="dxa"/>
            <w:vAlign w:val="center"/>
          </w:tcPr>
          <w:p>
            <w:pPr>
              <w:pStyle w:val="11"/>
            </w:pPr>
            <w:r>
              <w:t>147.73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62.44</w:t>
            </w:r>
          </w:p>
        </w:tc>
        <w:tc>
          <w:tcPr>
            <w:tcW w:w="1134" w:type="dxa"/>
            <w:vAlign w:val="center"/>
          </w:tcPr>
          <w:p>
            <w:pPr>
              <w:pStyle w:val="11"/>
            </w:pPr>
            <w:r>
              <w:t>62.44</w:t>
            </w:r>
          </w:p>
        </w:tc>
        <w:tc>
          <w:tcPr>
            <w:tcW w:w="1134" w:type="dxa"/>
            <w:vAlign w:val="center"/>
          </w:tcPr>
          <w:p>
            <w:pPr>
              <w:pStyle w:val="11"/>
            </w:pPr>
            <w:r>
              <w:t>62.44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1.46</w:t>
            </w:r>
          </w:p>
        </w:tc>
        <w:tc>
          <w:tcPr>
            <w:tcW w:w="1134" w:type="dxa"/>
            <w:vAlign w:val="center"/>
          </w:tcPr>
          <w:p>
            <w:pPr>
              <w:pStyle w:val="11"/>
            </w:pPr>
            <w:r>
              <w:t>1.46</w:t>
            </w:r>
          </w:p>
        </w:tc>
        <w:tc>
          <w:tcPr>
            <w:tcW w:w="1134" w:type="dxa"/>
            <w:vAlign w:val="center"/>
          </w:tcPr>
          <w:p>
            <w:pPr>
              <w:pStyle w:val="11"/>
            </w:pPr>
            <w:r>
              <w:t>1.46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1.46</w:t>
            </w:r>
          </w:p>
        </w:tc>
        <w:tc>
          <w:tcPr>
            <w:tcW w:w="1134" w:type="dxa"/>
            <w:vAlign w:val="center"/>
          </w:tcPr>
          <w:p>
            <w:pPr>
              <w:pStyle w:val="11"/>
            </w:pPr>
            <w:r>
              <w:t>1.46</w:t>
            </w:r>
          </w:p>
        </w:tc>
        <w:tc>
          <w:tcPr>
            <w:tcW w:w="1134" w:type="dxa"/>
            <w:vAlign w:val="center"/>
          </w:tcPr>
          <w:p>
            <w:pPr>
              <w:pStyle w:val="11"/>
            </w:pPr>
            <w:r>
              <w:t>1.46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43.61</w:t>
            </w:r>
          </w:p>
        </w:tc>
        <w:tc>
          <w:tcPr>
            <w:tcW w:w="1134" w:type="dxa"/>
            <w:vAlign w:val="center"/>
          </w:tcPr>
          <w:p>
            <w:pPr>
              <w:pStyle w:val="11"/>
            </w:pPr>
            <w:r>
              <w:t>43.61</w:t>
            </w:r>
          </w:p>
        </w:tc>
        <w:tc>
          <w:tcPr>
            <w:tcW w:w="1134" w:type="dxa"/>
            <w:vAlign w:val="center"/>
          </w:tcPr>
          <w:p>
            <w:pPr>
              <w:pStyle w:val="11"/>
            </w:pPr>
            <w:r>
              <w:t>43.61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43.61</w:t>
            </w:r>
          </w:p>
        </w:tc>
        <w:tc>
          <w:tcPr>
            <w:tcW w:w="1134" w:type="dxa"/>
            <w:vAlign w:val="center"/>
          </w:tcPr>
          <w:p>
            <w:pPr>
              <w:pStyle w:val="11"/>
            </w:pPr>
            <w:r>
              <w:t>43.61</w:t>
            </w:r>
          </w:p>
        </w:tc>
        <w:tc>
          <w:tcPr>
            <w:tcW w:w="1134" w:type="dxa"/>
            <w:vAlign w:val="center"/>
          </w:tcPr>
          <w:p>
            <w:pPr>
              <w:pStyle w:val="11"/>
            </w:pPr>
            <w:r>
              <w:t>43.61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24.59</w:t>
            </w:r>
          </w:p>
        </w:tc>
        <w:tc>
          <w:tcPr>
            <w:tcW w:w="1134" w:type="dxa"/>
            <w:vAlign w:val="center"/>
          </w:tcPr>
          <w:p>
            <w:pPr>
              <w:pStyle w:val="11"/>
            </w:pPr>
            <w:r>
              <w:t>24.59</w:t>
            </w:r>
          </w:p>
        </w:tc>
        <w:tc>
          <w:tcPr>
            <w:tcW w:w="1134" w:type="dxa"/>
            <w:vAlign w:val="center"/>
          </w:tcPr>
          <w:p>
            <w:pPr>
              <w:pStyle w:val="11"/>
            </w:pPr>
            <w:r>
              <w:t>24.59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19.02</w:t>
            </w:r>
          </w:p>
        </w:tc>
        <w:tc>
          <w:tcPr>
            <w:tcW w:w="1134" w:type="dxa"/>
            <w:vAlign w:val="center"/>
          </w:tcPr>
          <w:p>
            <w:pPr>
              <w:pStyle w:val="11"/>
            </w:pPr>
            <w:r>
              <w:t>19.02</w:t>
            </w:r>
          </w:p>
        </w:tc>
        <w:tc>
          <w:tcPr>
            <w:tcW w:w="1134" w:type="dxa"/>
            <w:vAlign w:val="center"/>
          </w:tcPr>
          <w:p>
            <w:pPr>
              <w:pStyle w:val="11"/>
            </w:pPr>
            <w:r>
              <w:t>19.02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54.33</w:t>
            </w:r>
          </w:p>
        </w:tc>
        <w:tc>
          <w:tcPr>
            <w:tcW w:w="1134" w:type="dxa"/>
            <w:vAlign w:val="center"/>
          </w:tcPr>
          <w:p>
            <w:pPr>
              <w:pStyle w:val="11"/>
            </w:pPr>
            <w:r>
              <w:t>54.33</w:t>
            </w:r>
          </w:p>
        </w:tc>
        <w:tc>
          <w:tcPr>
            <w:tcW w:w="1134" w:type="dxa"/>
            <w:vAlign w:val="center"/>
          </w:tcPr>
          <w:p>
            <w:pPr>
              <w:pStyle w:val="11"/>
            </w:pPr>
            <w:r>
              <w:t>54.33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54.33</w:t>
            </w:r>
          </w:p>
        </w:tc>
        <w:tc>
          <w:tcPr>
            <w:tcW w:w="1134" w:type="dxa"/>
            <w:vAlign w:val="center"/>
          </w:tcPr>
          <w:p>
            <w:pPr>
              <w:pStyle w:val="11"/>
            </w:pPr>
            <w:r>
              <w:t>54.33</w:t>
            </w:r>
          </w:p>
        </w:tc>
        <w:tc>
          <w:tcPr>
            <w:tcW w:w="1134" w:type="dxa"/>
            <w:vAlign w:val="center"/>
          </w:tcPr>
          <w:p>
            <w:pPr>
              <w:pStyle w:val="11"/>
            </w:pPr>
            <w:r>
              <w:t>54.33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54.33</w:t>
            </w:r>
          </w:p>
        </w:tc>
        <w:tc>
          <w:tcPr>
            <w:tcW w:w="1134" w:type="dxa"/>
            <w:vAlign w:val="center"/>
          </w:tcPr>
          <w:p>
            <w:pPr>
              <w:pStyle w:val="11"/>
            </w:pPr>
            <w:r>
              <w:t>54.33</w:t>
            </w:r>
          </w:p>
        </w:tc>
        <w:tc>
          <w:tcPr>
            <w:tcW w:w="1134" w:type="dxa"/>
            <w:vAlign w:val="center"/>
          </w:tcPr>
          <w:p>
            <w:pPr>
              <w:pStyle w:val="11"/>
            </w:pPr>
            <w:r>
              <w:t>54.33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492001石家庄市社会科学院本级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1026.68</w:t>
            </w:r>
          </w:p>
        </w:tc>
        <w:tc>
          <w:tcPr>
            <w:tcW w:w="1361" w:type="dxa"/>
            <w:vAlign w:val="center"/>
          </w:tcPr>
          <w:p>
            <w:pPr>
              <w:pStyle w:val="15"/>
            </w:pPr>
            <w:r>
              <w:t>913.13</w:t>
            </w:r>
          </w:p>
        </w:tc>
        <w:tc>
          <w:tcPr>
            <w:tcW w:w="1361" w:type="dxa"/>
            <w:vAlign w:val="center"/>
          </w:tcPr>
          <w:p>
            <w:pPr>
              <w:pStyle w:val="15"/>
            </w:pPr>
            <w:r>
              <w:t>113.55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717.11</w:t>
            </w:r>
          </w:p>
        </w:tc>
        <w:tc>
          <w:tcPr>
            <w:tcW w:w="1361" w:type="dxa"/>
            <w:vAlign w:val="center"/>
          </w:tcPr>
          <w:p>
            <w:pPr>
              <w:pStyle w:val="11"/>
            </w:pPr>
            <w:r>
              <w:t>603.56</w:t>
            </w:r>
          </w:p>
        </w:tc>
        <w:tc>
          <w:tcPr>
            <w:tcW w:w="1361" w:type="dxa"/>
            <w:vAlign w:val="center"/>
          </w:tcPr>
          <w:p>
            <w:pPr>
              <w:pStyle w:val="11"/>
            </w:pPr>
            <w:r>
              <w:t>113.55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20606</w:t>
            </w:r>
          </w:p>
        </w:tc>
        <w:tc>
          <w:tcPr>
            <w:tcW w:w="4535" w:type="dxa"/>
            <w:vAlign w:val="center"/>
          </w:tcPr>
          <w:p>
            <w:pPr>
              <w:pStyle w:val="12"/>
            </w:pPr>
            <w:r>
              <w:t>社会科学</w:t>
            </w:r>
          </w:p>
        </w:tc>
        <w:tc>
          <w:tcPr>
            <w:tcW w:w="1361" w:type="dxa"/>
            <w:vAlign w:val="center"/>
          </w:tcPr>
          <w:p>
            <w:pPr>
              <w:pStyle w:val="11"/>
            </w:pPr>
            <w:r>
              <w:t>717.11</w:t>
            </w:r>
          </w:p>
        </w:tc>
        <w:tc>
          <w:tcPr>
            <w:tcW w:w="1361" w:type="dxa"/>
            <w:vAlign w:val="center"/>
          </w:tcPr>
          <w:p>
            <w:pPr>
              <w:pStyle w:val="11"/>
            </w:pPr>
            <w:r>
              <w:t>603.56</w:t>
            </w:r>
          </w:p>
        </w:tc>
        <w:tc>
          <w:tcPr>
            <w:tcW w:w="1361" w:type="dxa"/>
            <w:vAlign w:val="center"/>
          </w:tcPr>
          <w:p>
            <w:pPr>
              <w:pStyle w:val="11"/>
            </w:pPr>
            <w:r>
              <w:t>113.55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2060601</w:t>
            </w:r>
          </w:p>
        </w:tc>
        <w:tc>
          <w:tcPr>
            <w:tcW w:w="4535" w:type="dxa"/>
            <w:vAlign w:val="center"/>
          </w:tcPr>
          <w:p>
            <w:pPr>
              <w:pStyle w:val="12"/>
            </w:pPr>
            <w:r>
              <w:t>社会科学研究机构</w:t>
            </w:r>
          </w:p>
        </w:tc>
        <w:tc>
          <w:tcPr>
            <w:tcW w:w="1361" w:type="dxa"/>
            <w:vAlign w:val="center"/>
          </w:tcPr>
          <w:p>
            <w:pPr>
              <w:pStyle w:val="11"/>
            </w:pPr>
            <w:r>
              <w:t>603.56</w:t>
            </w:r>
          </w:p>
        </w:tc>
        <w:tc>
          <w:tcPr>
            <w:tcW w:w="1361" w:type="dxa"/>
            <w:vAlign w:val="center"/>
          </w:tcPr>
          <w:p>
            <w:pPr>
              <w:pStyle w:val="11"/>
            </w:pPr>
            <w:r>
              <w:t>603.56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2060602</w:t>
            </w:r>
          </w:p>
        </w:tc>
        <w:tc>
          <w:tcPr>
            <w:tcW w:w="4535" w:type="dxa"/>
            <w:vAlign w:val="center"/>
          </w:tcPr>
          <w:p>
            <w:pPr>
              <w:pStyle w:val="12"/>
            </w:pPr>
            <w:r>
              <w:t>社会科学研究</w:t>
            </w:r>
          </w:p>
        </w:tc>
        <w:tc>
          <w:tcPr>
            <w:tcW w:w="1361" w:type="dxa"/>
            <w:vAlign w:val="center"/>
          </w:tcPr>
          <w:p>
            <w:pPr>
              <w:pStyle w:val="11"/>
            </w:pPr>
            <w:r>
              <w:t>113.55</w:t>
            </w:r>
          </w:p>
        </w:tc>
        <w:tc>
          <w:tcPr>
            <w:tcW w:w="1361" w:type="dxa"/>
            <w:vAlign w:val="center"/>
          </w:tcPr>
          <w:p>
            <w:pPr>
              <w:pStyle w:val="11"/>
            </w:pPr>
          </w:p>
        </w:tc>
        <w:tc>
          <w:tcPr>
            <w:tcW w:w="1361" w:type="dxa"/>
            <w:vAlign w:val="center"/>
          </w:tcPr>
          <w:p>
            <w:pPr>
              <w:pStyle w:val="11"/>
            </w:pPr>
            <w:r>
              <w:t>113.55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211.63</w:t>
            </w:r>
          </w:p>
        </w:tc>
        <w:tc>
          <w:tcPr>
            <w:tcW w:w="1361" w:type="dxa"/>
            <w:vAlign w:val="center"/>
          </w:tcPr>
          <w:p>
            <w:pPr>
              <w:pStyle w:val="11"/>
            </w:pPr>
            <w:r>
              <w:t>211.63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210.17</w:t>
            </w:r>
          </w:p>
        </w:tc>
        <w:tc>
          <w:tcPr>
            <w:tcW w:w="1361" w:type="dxa"/>
            <w:vAlign w:val="center"/>
          </w:tcPr>
          <w:p>
            <w:pPr>
              <w:pStyle w:val="11"/>
            </w:pPr>
            <w:r>
              <w:t>210.17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147.73</w:t>
            </w:r>
          </w:p>
        </w:tc>
        <w:tc>
          <w:tcPr>
            <w:tcW w:w="1361" w:type="dxa"/>
            <w:vAlign w:val="center"/>
          </w:tcPr>
          <w:p>
            <w:pPr>
              <w:pStyle w:val="11"/>
            </w:pPr>
            <w:r>
              <w:t>147.73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62.44</w:t>
            </w:r>
          </w:p>
        </w:tc>
        <w:tc>
          <w:tcPr>
            <w:tcW w:w="1361" w:type="dxa"/>
            <w:vAlign w:val="center"/>
          </w:tcPr>
          <w:p>
            <w:pPr>
              <w:pStyle w:val="11"/>
            </w:pPr>
            <w:r>
              <w:t>62.44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1.46</w:t>
            </w:r>
          </w:p>
        </w:tc>
        <w:tc>
          <w:tcPr>
            <w:tcW w:w="1361" w:type="dxa"/>
            <w:vAlign w:val="center"/>
          </w:tcPr>
          <w:p>
            <w:pPr>
              <w:pStyle w:val="11"/>
            </w:pPr>
            <w:r>
              <w:t>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1.46</w:t>
            </w:r>
          </w:p>
        </w:tc>
        <w:tc>
          <w:tcPr>
            <w:tcW w:w="1361" w:type="dxa"/>
            <w:vAlign w:val="center"/>
          </w:tcPr>
          <w:p>
            <w:pPr>
              <w:pStyle w:val="11"/>
            </w:pPr>
            <w:r>
              <w:t>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43.61</w:t>
            </w:r>
          </w:p>
        </w:tc>
        <w:tc>
          <w:tcPr>
            <w:tcW w:w="1361" w:type="dxa"/>
            <w:vAlign w:val="center"/>
          </w:tcPr>
          <w:p>
            <w:pPr>
              <w:pStyle w:val="11"/>
            </w:pPr>
            <w:r>
              <w:t>43.61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43.61</w:t>
            </w:r>
          </w:p>
        </w:tc>
        <w:tc>
          <w:tcPr>
            <w:tcW w:w="1361" w:type="dxa"/>
            <w:vAlign w:val="center"/>
          </w:tcPr>
          <w:p>
            <w:pPr>
              <w:pStyle w:val="11"/>
            </w:pPr>
            <w:r>
              <w:t>43.61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24.59</w:t>
            </w:r>
          </w:p>
        </w:tc>
        <w:tc>
          <w:tcPr>
            <w:tcW w:w="1361" w:type="dxa"/>
            <w:vAlign w:val="center"/>
          </w:tcPr>
          <w:p>
            <w:pPr>
              <w:pStyle w:val="11"/>
            </w:pPr>
            <w:r>
              <w:t>24.59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19.02</w:t>
            </w:r>
          </w:p>
        </w:tc>
        <w:tc>
          <w:tcPr>
            <w:tcW w:w="1361" w:type="dxa"/>
            <w:vAlign w:val="center"/>
          </w:tcPr>
          <w:p>
            <w:pPr>
              <w:pStyle w:val="11"/>
            </w:pPr>
            <w:r>
              <w:t>19.02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54.33</w:t>
            </w:r>
          </w:p>
        </w:tc>
        <w:tc>
          <w:tcPr>
            <w:tcW w:w="1361" w:type="dxa"/>
            <w:vAlign w:val="center"/>
          </w:tcPr>
          <w:p>
            <w:pPr>
              <w:pStyle w:val="11"/>
            </w:pPr>
            <w:r>
              <w:t>54.33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54.33</w:t>
            </w:r>
          </w:p>
        </w:tc>
        <w:tc>
          <w:tcPr>
            <w:tcW w:w="1361" w:type="dxa"/>
            <w:vAlign w:val="center"/>
          </w:tcPr>
          <w:p>
            <w:pPr>
              <w:pStyle w:val="11"/>
            </w:pPr>
            <w:r>
              <w:t>54.33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54.33</w:t>
            </w:r>
          </w:p>
        </w:tc>
        <w:tc>
          <w:tcPr>
            <w:tcW w:w="1361" w:type="dxa"/>
            <w:vAlign w:val="center"/>
          </w:tcPr>
          <w:p>
            <w:pPr>
              <w:pStyle w:val="11"/>
            </w:pPr>
            <w:r>
              <w:t>54.33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492001石家庄市社会科学院本级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1026.68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717.11</w:t>
            </w:r>
          </w:p>
        </w:tc>
        <w:tc>
          <w:tcPr>
            <w:tcW w:w="1474" w:type="dxa"/>
            <w:vAlign w:val="center"/>
          </w:tcPr>
          <w:p>
            <w:pPr>
              <w:pStyle w:val="11"/>
            </w:pPr>
            <w:r>
              <w:t>717.11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211.63</w:t>
            </w:r>
          </w:p>
        </w:tc>
        <w:tc>
          <w:tcPr>
            <w:tcW w:w="1474" w:type="dxa"/>
            <w:vAlign w:val="center"/>
          </w:tcPr>
          <w:p>
            <w:pPr>
              <w:pStyle w:val="11"/>
            </w:pPr>
            <w:r>
              <w:t>211.63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43.61</w:t>
            </w:r>
          </w:p>
        </w:tc>
        <w:tc>
          <w:tcPr>
            <w:tcW w:w="1474" w:type="dxa"/>
            <w:vAlign w:val="center"/>
          </w:tcPr>
          <w:p>
            <w:pPr>
              <w:pStyle w:val="11"/>
            </w:pPr>
            <w:r>
              <w:t>43.61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54.33</w:t>
            </w:r>
          </w:p>
        </w:tc>
        <w:tc>
          <w:tcPr>
            <w:tcW w:w="1474" w:type="dxa"/>
            <w:vAlign w:val="center"/>
          </w:tcPr>
          <w:p>
            <w:pPr>
              <w:pStyle w:val="11"/>
            </w:pPr>
            <w:r>
              <w:t>54.33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1026.68</w:t>
            </w:r>
          </w:p>
        </w:tc>
        <w:tc>
          <w:tcPr>
            <w:tcW w:w="3402" w:type="dxa"/>
            <w:vAlign w:val="center"/>
          </w:tcPr>
          <w:p>
            <w:pPr>
              <w:pStyle w:val="14"/>
            </w:pPr>
            <w:r>
              <w:t>本年支出合计</w:t>
            </w:r>
          </w:p>
        </w:tc>
        <w:tc>
          <w:tcPr>
            <w:tcW w:w="1474" w:type="dxa"/>
            <w:vAlign w:val="center"/>
          </w:tcPr>
          <w:p>
            <w:pPr>
              <w:pStyle w:val="15"/>
            </w:pPr>
            <w:r>
              <w:t>1026.68</w:t>
            </w:r>
          </w:p>
        </w:tc>
        <w:tc>
          <w:tcPr>
            <w:tcW w:w="1474" w:type="dxa"/>
            <w:vAlign w:val="center"/>
          </w:tcPr>
          <w:p>
            <w:pPr>
              <w:pStyle w:val="15"/>
            </w:pPr>
            <w:r>
              <w:t>1026.68</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1026.68</w:t>
            </w:r>
          </w:p>
        </w:tc>
        <w:tc>
          <w:tcPr>
            <w:tcW w:w="3402" w:type="dxa"/>
            <w:vAlign w:val="center"/>
          </w:tcPr>
          <w:p>
            <w:pPr>
              <w:pStyle w:val="14"/>
            </w:pPr>
            <w:r>
              <w:t>支出总计</w:t>
            </w:r>
          </w:p>
        </w:tc>
        <w:tc>
          <w:tcPr>
            <w:tcW w:w="1474" w:type="dxa"/>
            <w:vAlign w:val="center"/>
          </w:tcPr>
          <w:p>
            <w:pPr>
              <w:pStyle w:val="15"/>
            </w:pPr>
            <w:r>
              <w:t>1026.68</w:t>
            </w:r>
          </w:p>
        </w:tc>
        <w:tc>
          <w:tcPr>
            <w:tcW w:w="1474" w:type="dxa"/>
            <w:vAlign w:val="center"/>
          </w:tcPr>
          <w:p>
            <w:pPr>
              <w:pStyle w:val="15"/>
            </w:pPr>
            <w:r>
              <w:t>1026.68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492001石家庄市社会科学院本级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1026.68</w:t>
            </w:r>
          </w:p>
        </w:tc>
        <w:tc>
          <w:tcPr>
            <w:tcW w:w="2551" w:type="dxa"/>
            <w:vAlign w:val="center"/>
          </w:tcPr>
          <w:p>
            <w:pPr>
              <w:pStyle w:val="15"/>
            </w:pPr>
            <w:r>
              <w:t>913.13</w:t>
            </w:r>
          </w:p>
        </w:tc>
        <w:tc>
          <w:tcPr>
            <w:tcW w:w="2551" w:type="dxa"/>
            <w:vAlign w:val="center"/>
          </w:tcPr>
          <w:p>
            <w:pPr>
              <w:pStyle w:val="15"/>
            </w:pPr>
            <w:r>
              <w:t>113.55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717.11</w:t>
            </w:r>
          </w:p>
        </w:tc>
        <w:tc>
          <w:tcPr>
            <w:tcW w:w="2551" w:type="dxa"/>
            <w:vAlign w:val="center"/>
          </w:tcPr>
          <w:p>
            <w:pPr>
              <w:pStyle w:val="11"/>
            </w:pPr>
            <w:r>
              <w:t>603.56</w:t>
            </w:r>
          </w:p>
        </w:tc>
        <w:tc>
          <w:tcPr>
            <w:tcW w:w="2551" w:type="dxa"/>
            <w:vAlign w:val="center"/>
          </w:tcPr>
          <w:p>
            <w:pPr>
              <w:pStyle w:val="11"/>
            </w:pPr>
            <w:r>
              <w:t>113.55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20606</w:t>
            </w:r>
          </w:p>
        </w:tc>
        <w:tc>
          <w:tcPr>
            <w:tcW w:w="4535" w:type="dxa"/>
            <w:vAlign w:val="center"/>
          </w:tcPr>
          <w:p>
            <w:pPr>
              <w:pStyle w:val="12"/>
            </w:pPr>
            <w:r>
              <w:t>社会科学</w:t>
            </w:r>
          </w:p>
        </w:tc>
        <w:tc>
          <w:tcPr>
            <w:tcW w:w="2551" w:type="dxa"/>
            <w:vAlign w:val="center"/>
          </w:tcPr>
          <w:p>
            <w:pPr>
              <w:pStyle w:val="11"/>
            </w:pPr>
            <w:r>
              <w:t>717.11</w:t>
            </w:r>
          </w:p>
        </w:tc>
        <w:tc>
          <w:tcPr>
            <w:tcW w:w="2551" w:type="dxa"/>
            <w:vAlign w:val="center"/>
          </w:tcPr>
          <w:p>
            <w:pPr>
              <w:pStyle w:val="11"/>
            </w:pPr>
            <w:r>
              <w:t>603.56</w:t>
            </w:r>
          </w:p>
        </w:tc>
        <w:tc>
          <w:tcPr>
            <w:tcW w:w="2551" w:type="dxa"/>
            <w:vAlign w:val="center"/>
          </w:tcPr>
          <w:p>
            <w:pPr>
              <w:pStyle w:val="11"/>
            </w:pPr>
            <w:r>
              <w:t>113.55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2060601</w:t>
            </w:r>
          </w:p>
        </w:tc>
        <w:tc>
          <w:tcPr>
            <w:tcW w:w="4535" w:type="dxa"/>
            <w:vAlign w:val="center"/>
          </w:tcPr>
          <w:p>
            <w:pPr>
              <w:pStyle w:val="12"/>
            </w:pPr>
            <w:r>
              <w:t>社会科学研究机构</w:t>
            </w:r>
          </w:p>
        </w:tc>
        <w:tc>
          <w:tcPr>
            <w:tcW w:w="2551" w:type="dxa"/>
            <w:vAlign w:val="center"/>
          </w:tcPr>
          <w:p>
            <w:pPr>
              <w:pStyle w:val="11"/>
            </w:pPr>
            <w:r>
              <w:t>603.56</w:t>
            </w:r>
          </w:p>
        </w:tc>
        <w:tc>
          <w:tcPr>
            <w:tcW w:w="2551" w:type="dxa"/>
            <w:vAlign w:val="center"/>
          </w:tcPr>
          <w:p>
            <w:pPr>
              <w:pStyle w:val="11"/>
            </w:pPr>
            <w:r>
              <w:t>603.56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2060602</w:t>
            </w:r>
          </w:p>
        </w:tc>
        <w:tc>
          <w:tcPr>
            <w:tcW w:w="4535" w:type="dxa"/>
            <w:vAlign w:val="center"/>
          </w:tcPr>
          <w:p>
            <w:pPr>
              <w:pStyle w:val="12"/>
            </w:pPr>
            <w:r>
              <w:t>社会科学研究</w:t>
            </w:r>
          </w:p>
        </w:tc>
        <w:tc>
          <w:tcPr>
            <w:tcW w:w="2551" w:type="dxa"/>
            <w:vAlign w:val="center"/>
          </w:tcPr>
          <w:p>
            <w:pPr>
              <w:pStyle w:val="11"/>
            </w:pPr>
            <w:r>
              <w:t>113.55</w:t>
            </w:r>
          </w:p>
        </w:tc>
        <w:tc>
          <w:tcPr>
            <w:tcW w:w="2551" w:type="dxa"/>
            <w:vAlign w:val="center"/>
          </w:tcPr>
          <w:p>
            <w:pPr>
              <w:pStyle w:val="11"/>
            </w:pPr>
          </w:p>
        </w:tc>
        <w:tc>
          <w:tcPr>
            <w:tcW w:w="2551" w:type="dxa"/>
            <w:vAlign w:val="center"/>
          </w:tcPr>
          <w:p>
            <w:pPr>
              <w:pStyle w:val="11"/>
            </w:pPr>
            <w:r>
              <w:t>113.55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211.63</w:t>
            </w:r>
          </w:p>
        </w:tc>
        <w:tc>
          <w:tcPr>
            <w:tcW w:w="2551" w:type="dxa"/>
            <w:vAlign w:val="center"/>
          </w:tcPr>
          <w:p>
            <w:pPr>
              <w:pStyle w:val="11"/>
            </w:pPr>
            <w:r>
              <w:t>211.63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210.17</w:t>
            </w:r>
          </w:p>
        </w:tc>
        <w:tc>
          <w:tcPr>
            <w:tcW w:w="2551" w:type="dxa"/>
            <w:vAlign w:val="center"/>
          </w:tcPr>
          <w:p>
            <w:pPr>
              <w:pStyle w:val="11"/>
            </w:pPr>
            <w:r>
              <w:t>210.17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147.73</w:t>
            </w:r>
          </w:p>
        </w:tc>
        <w:tc>
          <w:tcPr>
            <w:tcW w:w="2551" w:type="dxa"/>
            <w:vAlign w:val="center"/>
          </w:tcPr>
          <w:p>
            <w:pPr>
              <w:pStyle w:val="11"/>
            </w:pPr>
            <w:r>
              <w:t>147.73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62.44</w:t>
            </w:r>
          </w:p>
        </w:tc>
        <w:tc>
          <w:tcPr>
            <w:tcW w:w="2551" w:type="dxa"/>
            <w:vAlign w:val="center"/>
          </w:tcPr>
          <w:p>
            <w:pPr>
              <w:pStyle w:val="11"/>
            </w:pPr>
            <w:r>
              <w:t>62.44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1.46</w:t>
            </w:r>
          </w:p>
        </w:tc>
        <w:tc>
          <w:tcPr>
            <w:tcW w:w="2551" w:type="dxa"/>
            <w:vAlign w:val="center"/>
          </w:tcPr>
          <w:p>
            <w:pPr>
              <w:pStyle w:val="11"/>
            </w:pPr>
            <w:r>
              <w:t>1.46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1.46</w:t>
            </w:r>
          </w:p>
        </w:tc>
        <w:tc>
          <w:tcPr>
            <w:tcW w:w="2551" w:type="dxa"/>
            <w:vAlign w:val="center"/>
          </w:tcPr>
          <w:p>
            <w:pPr>
              <w:pStyle w:val="11"/>
            </w:pPr>
            <w:r>
              <w:t>1.46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43.61</w:t>
            </w:r>
          </w:p>
        </w:tc>
        <w:tc>
          <w:tcPr>
            <w:tcW w:w="2551" w:type="dxa"/>
            <w:vAlign w:val="center"/>
          </w:tcPr>
          <w:p>
            <w:pPr>
              <w:pStyle w:val="11"/>
            </w:pPr>
            <w:r>
              <w:t>43.61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43.61</w:t>
            </w:r>
          </w:p>
        </w:tc>
        <w:tc>
          <w:tcPr>
            <w:tcW w:w="2551" w:type="dxa"/>
            <w:vAlign w:val="center"/>
          </w:tcPr>
          <w:p>
            <w:pPr>
              <w:pStyle w:val="11"/>
            </w:pPr>
            <w:r>
              <w:t>43.61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24.59</w:t>
            </w:r>
          </w:p>
        </w:tc>
        <w:tc>
          <w:tcPr>
            <w:tcW w:w="2551" w:type="dxa"/>
            <w:vAlign w:val="center"/>
          </w:tcPr>
          <w:p>
            <w:pPr>
              <w:pStyle w:val="11"/>
            </w:pPr>
            <w:r>
              <w:t>24.59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19.02</w:t>
            </w:r>
          </w:p>
        </w:tc>
        <w:tc>
          <w:tcPr>
            <w:tcW w:w="2551" w:type="dxa"/>
            <w:vAlign w:val="center"/>
          </w:tcPr>
          <w:p>
            <w:pPr>
              <w:pStyle w:val="11"/>
            </w:pPr>
            <w:r>
              <w:t>19.02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54.33</w:t>
            </w:r>
          </w:p>
        </w:tc>
        <w:tc>
          <w:tcPr>
            <w:tcW w:w="2551" w:type="dxa"/>
            <w:vAlign w:val="center"/>
          </w:tcPr>
          <w:p>
            <w:pPr>
              <w:pStyle w:val="11"/>
            </w:pPr>
            <w:r>
              <w:t>54.33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54.33</w:t>
            </w:r>
          </w:p>
        </w:tc>
        <w:tc>
          <w:tcPr>
            <w:tcW w:w="2551" w:type="dxa"/>
            <w:vAlign w:val="center"/>
          </w:tcPr>
          <w:p>
            <w:pPr>
              <w:pStyle w:val="11"/>
            </w:pPr>
            <w:r>
              <w:t>54.33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54.33</w:t>
            </w:r>
          </w:p>
        </w:tc>
        <w:tc>
          <w:tcPr>
            <w:tcW w:w="2551" w:type="dxa"/>
            <w:vAlign w:val="center"/>
          </w:tcPr>
          <w:p>
            <w:pPr>
              <w:pStyle w:val="11"/>
            </w:pPr>
            <w:r>
              <w:t>54.33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492001石家庄市社会科学院本级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913.13</w:t>
            </w:r>
          </w:p>
        </w:tc>
        <w:tc>
          <w:tcPr>
            <w:tcW w:w="2551" w:type="dxa"/>
            <w:vAlign w:val="center"/>
          </w:tcPr>
          <w:p>
            <w:pPr>
              <w:pStyle w:val="15"/>
            </w:pPr>
            <w:r>
              <w:t>826.09</w:t>
            </w:r>
          </w:p>
        </w:tc>
        <w:tc>
          <w:tcPr>
            <w:tcW w:w="2551" w:type="dxa"/>
            <w:vAlign w:val="center"/>
          </w:tcPr>
          <w:p>
            <w:pPr>
              <w:pStyle w:val="15"/>
            </w:pPr>
            <w:r>
              <w:t>87.04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659.58</w:t>
            </w:r>
          </w:p>
        </w:tc>
        <w:tc>
          <w:tcPr>
            <w:tcW w:w="2551" w:type="dxa"/>
            <w:vAlign w:val="center"/>
          </w:tcPr>
          <w:p>
            <w:pPr>
              <w:pStyle w:val="11"/>
            </w:pPr>
            <w:r>
              <w:t>659.58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166.11</w:t>
            </w:r>
          </w:p>
        </w:tc>
        <w:tc>
          <w:tcPr>
            <w:tcW w:w="2551" w:type="dxa"/>
            <w:vAlign w:val="center"/>
          </w:tcPr>
          <w:p>
            <w:pPr>
              <w:pStyle w:val="11"/>
            </w:pPr>
            <w:r>
              <w:t>166.11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147.00</w:t>
            </w:r>
          </w:p>
        </w:tc>
        <w:tc>
          <w:tcPr>
            <w:tcW w:w="2551" w:type="dxa"/>
            <w:vAlign w:val="center"/>
          </w:tcPr>
          <w:p>
            <w:pPr>
              <w:pStyle w:val="11"/>
            </w:pPr>
            <w:r>
              <w:t>147.00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165.09</w:t>
            </w:r>
          </w:p>
        </w:tc>
        <w:tc>
          <w:tcPr>
            <w:tcW w:w="2551" w:type="dxa"/>
            <w:vAlign w:val="center"/>
          </w:tcPr>
          <w:p>
            <w:pPr>
              <w:pStyle w:val="11"/>
            </w:pPr>
            <w:r>
              <w:t>165.09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62.44</w:t>
            </w:r>
          </w:p>
        </w:tc>
        <w:tc>
          <w:tcPr>
            <w:tcW w:w="2551" w:type="dxa"/>
            <w:vAlign w:val="center"/>
          </w:tcPr>
          <w:p>
            <w:pPr>
              <w:pStyle w:val="11"/>
            </w:pPr>
            <w:r>
              <w:t>62.44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24.59</w:t>
            </w:r>
          </w:p>
        </w:tc>
        <w:tc>
          <w:tcPr>
            <w:tcW w:w="2551" w:type="dxa"/>
            <w:vAlign w:val="center"/>
          </w:tcPr>
          <w:p>
            <w:pPr>
              <w:pStyle w:val="11"/>
            </w:pPr>
            <w:r>
              <w:t>24.59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19.02</w:t>
            </w:r>
          </w:p>
        </w:tc>
        <w:tc>
          <w:tcPr>
            <w:tcW w:w="2551" w:type="dxa"/>
            <w:vAlign w:val="center"/>
          </w:tcPr>
          <w:p>
            <w:pPr>
              <w:pStyle w:val="11"/>
            </w:pPr>
            <w:r>
              <w:t>19.02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1.46</w:t>
            </w:r>
          </w:p>
        </w:tc>
        <w:tc>
          <w:tcPr>
            <w:tcW w:w="2551" w:type="dxa"/>
            <w:vAlign w:val="center"/>
          </w:tcPr>
          <w:p>
            <w:pPr>
              <w:pStyle w:val="11"/>
            </w:pPr>
            <w:r>
              <w:t>1.46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54.33</w:t>
            </w:r>
          </w:p>
        </w:tc>
        <w:tc>
          <w:tcPr>
            <w:tcW w:w="2551" w:type="dxa"/>
            <w:vAlign w:val="center"/>
          </w:tcPr>
          <w:p>
            <w:pPr>
              <w:pStyle w:val="11"/>
            </w:pPr>
            <w:r>
              <w:t>54.33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19.54</w:t>
            </w:r>
          </w:p>
        </w:tc>
        <w:tc>
          <w:tcPr>
            <w:tcW w:w="2551" w:type="dxa"/>
            <w:vAlign w:val="center"/>
          </w:tcPr>
          <w:p>
            <w:pPr>
              <w:pStyle w:val="11"/>
            </w:pPr>
            <w:r>
              <w:t>19.54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87.04</w:t>
            </w:r>
          </w:p>
        </w:tc>
        <w:tc>
          <w:tcPr>
            <w:tcW w:w="2551" w:type="dxa"/>
            <w:vAlign w:val="center"/>
          </w:tcPr>
          <w:p>
            <w:pPr>
              <w:pStyle w:val="11"/>
            </w:pPr>
          </w:p>
        </w:tc>
        <w:tc>
          <w:tcPr>
            <w:tcW w:w="2551" w:type="dxa"/>
            <w:vAlign w:val="center"/>
          </w:tcPr>
          <w:p>
            <w:pPr>
              <w:pStyle w:val="11"/>
            </w:pPr>
            <w:r>
              <w:t>87.04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4.36</w:t>
            </w:r>
          </w:p>
        </w:tc>
        <w:tc>
          <w:tcPr>
            <w:tcW w:w="2551" w:type="dxa"/>
            <w:vAlign w:val="center"/>
          </w:tcPr>
          <w:p>
            <w:pPr>
              <w:pStyle w:val="11"/>
            </w:pPr>
          </w:p>
        </w:tc>
        <w:tc>
          <w:tcPr>
            <w:tcW w:w="2551" w:type="dxa"/>
            <w:vAlign w:val="center"/>
          </w:tcPr>
          <w:p>
            <w:pPr>
              <w:pStyle w:val="11"/>
            </w:pPr>
            <w:r>
              <w:t>4.36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24.32</w:t>
            </w:r>
          </w:p>
        </w:tc>
        <w:tc>
          <w:tcPr>
            <w:tcW w:w="2551" w:type="dxa"/>
            <w:vAlign w:val="center"/>
          </w:tcPr>
          <w:p>
            <w:pPr>
              <w:pStyle w:val="11"/>
            </w:pPr>
          </w:p>
        </w:tc>
        <w:tc>
          <w:tcPr>
            <w:tcW w:w="2551" w:type="dxa"/>
            <w:vAlign w:val="center"/>
          </w:tcPr>
          <w:p>
            <w:pPr>
              <w:pStyle w:val="11"/>
            </w:pPr>
            <w:r>
              <w:t>24.32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9.20</w:t>
            </w:r>
          </w:p>
        </w:tc>
        <w:tc>
          <w:tcPr>
            <w:tcW w:w="2551" w:type="dxa"/>
            <w:vAlign w:val="center"/>
          </w:tcPr>
          <w:p>
            <w:pPr>
              <w:pStyle w:val="11"/>
            </w:pPr>
          </w:p>
        </w:tc>
        <w:tc>
          <w:tcPr>
            <w:tcW w:w="2551" w:type="dxa"/>
            <w:vAlign w:val="center"/>
          </w:tcPr>
          <w:p>
            <w:pPr>
              <w:pStyle w:val="11"/>
            </w:pPr>
            <w:r>
              <w:t>9.20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1.14</w:t>
            </w:r>
          </w:p>
        </w:tc>
        <w:tc>
          <w:tcPr>
            <w:tcW w:w="2551" w:type="dxa"/>
            <w:vAlign w:val="center"/>
          </w:tcPr>
          <w:p>
            <w:pPr>
              <w:pStyle w:val="11"/>
            </w:pPr>
          </w:p>
        </w:tc>
        <w:tc>
          <w:tcPr>
            <w:tcW w:w="2551" w:type="dxa"/>
            <w:vAlign w:val="center"/>
          </w:tcPr>
          <w:p>
            <w:pPr>
              <w:pStyle w:val="11"/>
            </w:pPr>
            <w:r>
              <w:t>1.14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1.73</w:t>
            </w:r>
          </w:p>
        </w:tc>
        <w:tc>
          <w:tcPr>
            <w:tcW w:w="2551" w:type="dxa"/>
            <w:vAlign w:val="center"/>
          </w:tcPr>
          <w:p>
            <w:pPr>
              <w:pStyle w:val="11"/>
            </w:pPr>
          </w:p>
        </w:tc>
        <w:tc>
          <w:tcPr>
            <w:tcW w:w="2551" w:type="dxa"/>
            <w:vAlign w:val="center"/>
          </w:tcPr>
          <w:p>
            <w:pPr>
              <w:pStyle w:val="11"/>
            </w:pPr>
            <w:r>
              <w:t>1.73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0.45</w:t>
            </w:r>
          </w:p>
        </w:tc>
        <w:tc>
          <w:tcPr>
            <w:tcW w:w="2551" w:type="dxa"/>
            <w:vAlign w:val="center"/>
          </w:tcPr>
          <w:p>
            <w:pPr>
              <w:pStyle w:val="11"/>
            </w:pPr>
          </w:p>
        </w:tc>
        <w:tc>
          <w:tcPr>
            <w:tcW w:w="2551" w:type="dxa"/>
            <w:vAlign w:val="center"/>
          </w:tcPr>
          <w:p>
            <w:pPr>
              <w:pStyle w:val="11"/>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5.82</w:t>
            </w:r>
          </w:p>
        </w:tc>
        <w:tc>
          <w:tcPr>
            <w:tcW w:w="2551" w:type="dxa"/>
            <w:vAlign w:val="center"/>
          </w:tcPr>
          <w:p>
            <w:pPr>
              <w:pStyle w:val="11"/>
            </w:pPr>
          </w:p>
        </w:tc>
        <w:tc>
          <w:tcPr>
            <w:tcW w:w="2551" w:type="dxa"/>
            <w:vAlign w:val="center"/>
          </w:tcPr>
          <w:p>
            <w:pPr>
              <w:pStyle w:val="11"/>
            </w:pPr>
            <w:r>
              <w:t>5.82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4.15</w:t>
            </w:r>
          </w:p>
        </w:tc>
        <w:tc>
          <w:tcPr>
            <w:tcW w:w="2551" w:type="dxa"/>
            <w:vAlign w:val="center"/>
          </w:tcPr>
          <w:p>
            <w:pPr>
              <w:pStyle w:val="11"/>
            </w:pPr>
          </w:p>
        </w:tc>
        <w:tc>
          <w:tcPr>
            <w:tcW w:w="2551" w:type="dxa"/>
            <w:vAlign w:val="center"/>
          </w:tcPr>
          <w:p>
            <w:pPr>
              <w:pStyle w:val="11"/>
            </w:pPr>
            <w:r>
              <w:t>4.15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4.60</w:t>
            </w:r>
          </w:p>
        </w:tc>
        <w:tc>
          <w:tcPr>
            <w:tcW w:w="2551" w:type="dxa"/>
            <w:vAlign w:val="center"/>
          </w:tcPr>
          <w:p>
            <w:pPr>
              <w:pStyle w:val="11"/>
            </w:pPr>
          </w:p>
        </w:tc>
        <w:tc>
          <w:tcPr>
            <w:tcW w:w="2551" w:type="dxa"/>
            <w:vAlign w:val="center"/>
          </w:tcPr>
          <w:p>
            <w:pPr>
              <w:pStyle w:val="11"/>
            </w:pPr>
            <w:r>
              <w:t>4.60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26.68</w:t>
            </w:r>
          </w:p>
        </w:tc>
        <w:tc>
          <w:tcPr>
            <w:tcW w:w="2551" w:type="dxa"/>
            <w:vAlign w:val="center"/>
          </w:tcPr>
          <w:p>
            <w:pPr>
              <w:pStyle w:val="11"/>
            </w:pPr>
          </w:p>
        </w:tc>
        <w:tc>
          <w:tcPr>
            <w:tcW w:w="2551" w:type="dxa"/>
            <w:vAlign w:val="center"/>
          </w:tcPr>
          <w:p>
            <w:pPr>
              <w:pStyle w:val="11"/>
            </w:pPr>
            <w:r>
              <w:t>26.68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4.59</w:t>
            </w:r>
          </w:p>
        </w:tc>
        <w:tc>
          <w:tcPr>
            <w:tcW w:w="2551" w:type="dxa"/>
            <w:vAlign w:val="center"/>
          </w:tcPr>
          <w:p>
            <w:pPr>
              <w:pStyle w:val="11"/>
            </w:pPr>
          </w:p>
        </w:tc>
        <w:tc>
          <w:tcPr>
            <w:tcW w:w="2551" w:type="dxa"/>
            <w:vAlign w:val="center"/>
          </w:tcPr>
          <w:p>
            <w:pPr>
              <w:pStyle w:val="11"/>
            </w:pPr>
            <w:r>
              <w:t>4.59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166.51</w:t>
            </w:r>
          </w:p>
        </w:tc>
        <w:tc>
          <w:tcPr>
            <w:tcW w:w="2551" w:type="dxa"/>
            <w:vAlign w:val="center"/>
          </w:tcPr>
          <w:p>
            <w:pPr>
              <w:pStyle w:val="11"/>
            </w:pPr>
            <w:r>
              <w:t>166.51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147.73</w:t>
            </w:r>
          </w:p>
        </w:tc>
        <w:tc>
          <w:tcPr>
            <w:tcW w:w="2551" w:type="dxa"/>
            <w:vAlign w:val="center"/>
          </w:tcPr>
          <w:p>
            <w:pPr>
              <w:pStyle w:val="11"/>
            </w:pPr>
            <w:r>
              <w:t>147.73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17.80</w:t>
            </w:r>
          </w:p>
        </w:tc>
        <w:tc>
          <w:tcPr>
            <w:tcW w:w="2551" w:type="dxa"/>
            <w:vAlign w:val="center"/>
          </w:tcPr>
          <w:p>
            <w:pPr>
              <w:pStyle w:val="11"/>
            </w:pPr>
            <w:r>
              <w:t>17.80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0.92</w:t>
            </w:r>
          </w:p>
        </w:tc>
        <w:tc>
          <w:tcPr>
            <w:tcW w:w="2551" w:type="dxa"/>
            <w:vAlign w:val="center"/>
          </w:tcPr>
          <w:p>
            <w:pPr>
              <w:pStyle w:val="11"/>
            </w:pPr>
            <w:r>
              <w:t>0.92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0.06</w:t>
            </w:r>
          </w:p>
        </w:tc>
        <w:tc>
          <w:tcPr>
            <w:tcW w:w="2551" w:type="dxa"/>
            <w:vAlign w:val="center"/>
          </w:tcPr>
          <w:p>
            <w:pPr>
              <w:pStyle w:val="11"/>
            </w:pPr>
            <w:r>
              <w:t>0.06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492001石家庄市社会科学院本级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492001石家庄市社会科学院本级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492001石家庄市社会科学院本级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5.05</w:t>
            </w:r>
          </w:p>
        </w:tc>
        <w:tc>
          <w:tcPr>
            <w:tcW w:w="2381" w:type="dxa"/>
            <w:vAlign w:val="center"/>
          </w:tcPr>
          <w:p>
            <w:pPr>
              <w:pStyle w:val="15"/>
            </w:pPr>
            <w:r>
              <w:t>5.05</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4.60</w:t>
            </w:r>
          </w:p>
        </w:tc>
        <w:tc>
          <w:tcPr>
            <w:tcW w:w="2381" w:type="dxa"/>
            <w:vAlign w:val="center"/>
          </w:tcPr>
          <w:p>
            <w:pPr>
              <w:pStyle w:val="11"/>
            </w:pPr>
            <w:r>
              <w:t>4.60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4.60</w:t>
            </w:r>
          </w:p>
        </w:tc>
        <w:tc>
          <w:tcPr>
            <w:tcW w:w="2381" w:type="dxa"/>
            <w:vAlign w:val="center"/>
          </w:tcPr>
          <w:p>
            <w:pPr>
              <w:pStyle w:val="11"/>
            </w:pPr>
            <w:r>
              <w:t>4.60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r>
              <w:t>0.45</w:t>
            </w:r>
          </w:p>
        </w:tc>
        <w:tc>
          <w:tcPr>
            <w:tcW w:w="2381" w:type="dxa"/>
            <w:vAlign w:val="center"/>
          </w:tcPr>
          <w:p>
            <w:pPr>
              <w:pStyle w:val="11"/>
            </w:pPr>
            <w:r>
              <w:t>0.45</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石家庄市社会科学院本级2025年单位预算信息公开情况说明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按照《中华人民共和国预算法》、《地方预决算公开操作规程》和《关于进一步推进预算公开工作的实施意见》规定，现将石家庄市社会科学院本级2025年单位预算公开如下：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240" w:lineRule="auto"/>
        <w:ind w:firstLine="640"/>
        <w:jc w:val="left"/>
        <w:outlineLvl w:val="9"/>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（一）</w:t>
      </w:r>
      <w:r>
        <w:rPr>
          <w:rFonts w:ascii="Times New Roman" w:hAnsi="Times New Roman" w:eastAsia="方正仿宋_GBK" w:cs="Times New Roman"/>
          <w:sz w:val="28"/>
          <w:szCs w:val="24"/>
          <w:lang w:val="en-US" w:eastAsia="uk-UA" w:bidi="ar-SA"/>
        </w:rPr>
        <w:t>组织开展中国特色社会主义理论体系以及马克思主义基本理论的研究。</w:t>
      </w:r>
    </w:p>
    <w:p>
      <w:pPr>
        <w:pStyle w:val="22"/>
      </w:pPr>
      <w:r>
        <w:rPr>
          <w:rFonts w:hint="eastAsia"/>
          <w:lang w:eastAsia="zh-CN"/>
        </w:rPr>
        <w:t>（</w:t>
      </w:r>
      <w:r>
        <w:t>二</w:t>
      </w:r>
      <w:r>
        <w:rPr>
          <w:rFonts w:hint="eastAsia"/>
          <w:lang w:eastAsia="zh-CN"/>
        </w:rPr>
        <w:t>）</w:t>
      </w:r>
      <w:r>
        <w:t>围绕市委、市政府中心工作，进行经济、政治、文化和社会发展应用对策研究，为市委、市政府科学决策提供理论支撑。</w:t>
      </w:r>
    </w:p>
    <w:p>
      <w:pPr>
        <w:pStyle w:val="22"/>
      </w:pPr>
      <w:r>
        <w:rPr>
          <w:rFonts w:hint="eastAsia"/>
          <w:lang w:eastAsia="zh-CN"/>
        </w:rPr>
        <w:t>（</w:t>
      </w:r>
      <w:r>
        <w:t>三</w:t>
      </w:r>
      <w:r>
        <w:rPr>
          <w:rFonts w:hint="eastAsia"/>
          <w:lang w:eastAsia="zh-CN"/>
        </w:rPr>
        <w:t>）</w:t>
      </w:r>
      <w:r>
        <w:t>建立学术研究交流平台，整合资源，协调组织社会科学理论研讨，开展国内、国际学术交流。负责重大社会科学研究项目招标、资助的组织实施工作。</w:t>
      </w:r>
    </w:p>
    <w:p>
      <w:pPr>
        <w:pStyle w:val="22"/>
      </w:pPr>
      <w:r>
        <w:rPr>
          <w:rFonts w:hint="eastAsia"/>
          <w:lang w:eastAsia="zh-CN"/>
        </w:rPr>
        <w:t>（</w:t>
      </w:r>
      <w:r>
        <w:t>四</w:t>
      </w:r>
      <w:r>
        <w:rPr>
          <w:rFonts w:hint="eastAsia"/>
          <w:lang w:eastAsia="zh-CN"/>
        </w:rPr>
        <w:t>）</w:t>
      </w:r>
      <w:r>
        <w:t>编辑出版综合性理论刊物《石家庄社会科学》、《时事形势理论报告选》和《中心组学习参考》等学术资料。</w:t>
      </w:r>
    </w:p>
    <w:p>
      <w:pPr>
        <w:pStyle w:val="22"/>
      </w:pPr>
      <w:r>
        <w:rPr>
          <w:rFonts w:hint="eastAsia"/>
          <w:lang w:eastAsia="zh-CN"/>
        </w:rPr>
        <w:t>（</w:t>
      </w:r>
      <w:r>
        <w:t>五</w:t>
      </w:r>
      <w:r>
        <w:rPr>
          <w:rFonts w:hint="eastAsia"/>
          <w:lang w:eastAsia="zh-CN"/>
        </w:rPr>
        <w:t>）</w:t>
      </w:r>
      <w:r>
        <w:t>负责制定全市干部理论教学计划，编写教学大纲及辅导材料。</w:t>
      </w:r>
    </w:p>
    <w:p>
      <w:pPr>
        <w:pStyle w:val="22"/>
      </w:pPr>
      <w:r>
        <w:rPr>
          <w:rFonts w:hint="eastAsia"/>
          <w:lang w:eastAsia="zh-CN"/>
        </w:rPr>
        <w:t>（</w:t>
      </w:r>
      <w:r>
        <w:t>六</w:t>
      </w:r>
      <w:r>
        <w:rPr>
          <w:rFonts w:hint="eastAsia"/>
          <w:lang w:eastAsia="zh-CN"/>
        </w:rPr>
        <w:t>）</w:t>
      </w:r>
      <w:r>
        <w:t>承担中国特色社会主义理论体系、中央、省、市重要会议精神和形势政策宣讲工作。</w:t>
      </w:r>
    </w:p>
    <w:p>
      <w:pPr>
        <w:pStyle w:val="22"/>
      </w:pPr>
      <w:r>
        <w:rPr>
          <w:rFonts w:hint="eastAsia"/>
          <w:lang w:eastAsia="zh-CN"/>
        </w:rPr>
        <w:t>（</w:t>
      </w:r>
      <w:r>
        <w:t>七</w:t>
      </w:r>
      <w:r>
        <w:rPr>
          <w:rFonts w:hint="eastAsia"/>
          <w:lang w:eastAsia="zh-CN"/>
        </w:rPr>
        <w:t>）</w:t>
      </w:r>
      <w:r>
        <w:t>组织全市理论骨干培训、交流和管理工作。</w:t>
      </w:r>
    </w:p>
    <w:p>
      <w:pPr>
        <w:pStyle w:val="22"/>
      </w:pPr>
      <w:r>
        <w:rPr>
          <w:rFonts w:hint="eastAsia"/>
          <w:lang w:eastAsia="zh-CN"/>
        </w:rPr>
        <w:t>（</w:t>
      </w:r>
      <w:r>
        <w:t>八</w:t>
      </w:r>
      <w:r>
        <w:rPr>
          <w:rFonts w:hint="eastAsia"/>
          <w:lang w:eastAsia="zh-CN"/>
        </w:rPr>
        <w:t>）</w:t>
      </w:r>
      <w:r>
        <w:t>负责理论下基层及县(市)、区党委中心组理论学习辅导工作。</w:t>
      </w:r>
    </w:p>
    <w:p>
      <w:pPr>
        <w:pStyle w:val="22"/>
      </w:pPr>
      <w:r>
        <w:rPr>
          <w:rFonts w:hint="eastAsia"/>
          <w:lang w:eastAsia="zh-CN"/>
        </w:rPr>
        <w:t>（</w:t>
      </w:r>
      <w:r>
        <w:t>九</w:t>
      </w:r>
      <w:r>
        <w:rPr>
          <w:rFonts w:hint="eastAsia"/>
          <w:lang w:eastAsia="zh-CN"/>
        </w:rPr>
        <w:t>）</w:t>
      </w:r>
      <w:r>
        <w:t>制定全市社会科学发展规划，指导全市哲学社会科学学会，坚持马克思主义指导思想，坚持科学发展观，以经济建设为中心，倡导社会主义荣辱观，弘扬社会主义先进文化。</w:t>
      </w:r>
    </w:p>
    <w:p>
      <w:pPr>
        <w:pStyle w:val="22"/>
      </w:pPr>
      <w:r>
        <w:rPr>
          <w:rFonts w:hint="eastAsia"/>
          <w:lang w:eastAsia="zh-CN"/>
        </w:rPr>
        <w:t>（</w:t>
      </w:r>
      <w:r>
        <w:t>十</w:t>
      </w:r>
      <w:r>
        <w:rPr>
          <w:rFonts w:hint="eastAsia"/>
          <w:lang w:eastAsia="zh-CN"/>
        </w:rPr>
        <w:t>）</w:t>
      </w:r>
      <w:r>
        <w:t>负责全市社会科学学术团体的资格审查，对其工作进行业务指导和组织协调。</w:t>
      </w:r>
    </w:p>
    <w:p>
      <w:pPr>
        <w:pStyle w:val="22"/>
      </w:pPr>
      <w:r>
        <w:rPr>
          <w:rFonts w:hint="eastAsia"/>
          <w:lang w:eastAsia="zh-CN"/>
        </w:rPr>
        <w:t>（</w:t>
      </w:r>
      <w:r>
        <w:t>十一</w:t>
      </w:r>
      <w:r>
        <w:rPr>
          <w:rFonts w:hint="eastAsia"/>
          <w:lang w:eastAsia="zh-CN"/>
        </w:rPr>
        <w:t>）</w:t>
      </w:r>
      <w:r>
        <w:t>负责市级社会科学成果评奖及管理工作;负责市级社会科学优秀青年专家的评选及管理工作。负责全市社会科学专家的管理和培养工作。</w:t>
      </w:r>
    </w:p>
    <w:p>
      <w:pPr>
        <w:pStyle w:val="22"/>
      </w:pPr>
      <w:r>
        <w:rPr>
          <w:rFonts w:hint="eastAsia"/>
          <w:lang w:eastAsia="zh-CN"/>
        </w:rPr>
        <w:t>（</w:t>
      </w:r>
      <w:r>
        <w:t>十二</w:t>
      </w:r>
      <w:r>
        <w:rPr>
          <w:rFonts w:hint="eastAsia"/>
          <w:lang w:eastAsia="zh-CN"/>
        </w:rPr>
        <w:t>）</w:t>
      </w:r>
      <w:r>
        <w:t>承担全市社会科学普及工作的统筹、协调，组织各学术团体开展社会科学普及活动，总结、推广科普工作经验。</w:t>
      </w:r>
    </w:p>
    <w:p>
      <w:pPr>
        <w:pStyle w:val="22"/>
      </w:pPr>
      <w:r>
        <w:rPr>
          <w:rFonts w:hint="eastAsia"/>
          <w:lang w:eastAsia="zh-CN"/>
        </w:rPr>
        <w:t>（</w:t>
      </w:r>
      <w:r>
        <w:t>十三</w:t>
      </w:r>
      <w:r>
        <w:rPr>
          <w:rFonts w:hint="eastAsia"/>
          <w:lang w:eastAsia="zh-CN"/>
        </w:rPr>
        <w:t>）</w:t>
      </w:r>
      <w:r>
        <w:t>组织协调社会科学各学科之间、社会科学界与自然科学界之间，以及理论研究部门与实际工作部门之间的联系与协作。组织社会科学团体秘书长、学术骨干进行业务培训</w:t>
      </w:r>
    </w:p>
    <w:p>
      <w:pPr>
        <w:pStyle w:val="22"/>
      </w:pPr>
      <w:r>
        <w:rPr>
          <w:rFonts w:hint="eastAsia"/>
          <w:lang w:eastAsia="zh-CN"/>
        </w:rPr>
        <w:t>（</w:t>
      </w:r>
      <w:r>
        <w:t>十四</w:t>
      </w:r>
      <w:r>
        <w:rPr>
          <w:rFonts w:hint="eastAsia"/>
          <w:lang w:eastAsia="zh-CN"/>
        </w:rPr>
        <w:t>）</w:t>
      </w:r>
      <w:r>
        <w:t>沟通市委、市政府与社会科学工作者之间的联系，反映社会科学工作者的愿望和要求，维护其合法权益。</w:t>
      </w:r>
    </w:p>
    <w:p>
      <w:pPr>
        <w:pStyle w:val="17"/>
      </w:pPr>
      <w:r>
        <w:rPr>
          <w:rFonts w:hint="eastAsia"/>
          <w:lang w:eastAsia="zh-CN"/>
        </w:rPr>
        <w:t>（</w:t>
      </w:r>
      <w:r>
        <w:t>十五</w:t>
      </w:r>
      <w:r>
        <w:rPr>
          <w:rFonts w:hint="eastAsia"/>
          <w:lang w:eastAsia="zh-CN"/>
        </w:rPr>
        <w:t>）</w:t>
      </w:r>
      <w:r>
        <w:t>承担市委、市政府交办的其他事项。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石家庄市社会科学院本级</w:t>
            </w:r>
          </w:p>
        </w:tc>
        <w:tc>
          <w:tcPr>
            <w:tcW w:w="1843" w:type="dxa"/>
            <w:vAlign w:val="center"/>
          </w:tcPr>
          <w:p>
            <w:pPr>
              <w:pStyle w:val="13"/>
            </w:pPr>
            <w:r>
              <w:t>事业</w:t>
            </w:r>
          </w:p>
        </w:tc>
        <w:tc>
          <w:tcPr>
            <w:tcW w:w="2126" w:type="dxa"/>
            <w:vAlign w:val="center"/>
          </w:tcPr>
          <w:p>
            <w:pPr>
              <w:pStyle w:val="13"/>
            </w:pPr>
            <w:r>
              <w:t>正处（县）级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3"/>
      </w:pPr>
      <w:r>
        <w:t>按照预算管理有关规定，目前我</w:t>
      </w:r>
      <w:r>
        <w:rPr>
          <w:rFonts w:hint="eastAsia"/>
          <w:lang w:eastAsia="zh-CN"/>
        </w:rPr>
        <w:t>市单位</w:t>
      </w:r>
      <w:r>
        <w:t>预算的编制实行综合预算管理，即全部收入和支出都反映在预算中。</w:t>
      </w:r>
    </w:p>
    <w:p>
      <w:pPr>
        <w:pStyle w:val="23"/>
      </w:pPr>
      <w:r>
        <w:t>1、收入说明</w:t>
      </w:r>
    </w:p>
    <w:p>
      <w:pPr>
        <w:pStyle w:val="23"/>
      </w:pPr>
      <w:r>
        <w:t>反映本</w:t>
      </w:r>
      <w:r>
        <w:rPr>
          <w:rFonts w:hint="eastAsia"/>
          <w:lang w:eastAsia="zh-CN"/>
        </w:rPr>
        <w:t>单位</w:t>
      </w:r>
      <w:r>
        <w:t>当年全部收入。202</w:t>
      </w:r>
      <w:r>
        <w:rPr>
          <w:rFonts w:hint="eastAsia"/>
          <w:lang w:val="en-US" w:eastAsia="zh-CN"/>
        </w:rPr>
        <w:t>5</w:t>
      </w:r>
      <w:r>
        <w:t>年预算收入</w:t>
      </w:r>
      <w:r>
        <w:rPr>
          <w:rFonts w:hint="eastAsia"/>
          <w:lang w:val="en-US" w:eastAsia="zh-CN"/>
        </w:rPr>
        <w:t>1026</w:t>
      </w:r>
      <w:r>
        <w:rPr>
          <w:rFonts w:hint="default"/>
          <w:lang w:val="en" w:eastAsia="zh-CN"/>
        </w:rPr>
        <w:t>.</w:t>
      </w:r>
      <w:r>
        <w:rPr>
          <w:rFonts w:hint="eastAsia"/>
          <w:lang w:val="en-US" w:eastAsia="zh-CN"/>
        </w:rPr>
        <w:t>68</w:t>
      </w:r>
      <w:r>
        <w:t>万元，其中：一般公共预算收入</w:t>
      </w:r>
      <w:r>
        <w:rPr>
          <w:rFonts w:hint="eastAsia"/>
          <w:lang w:val="en-US" w:eastAsia="zh-CN"/>
        </w:rPr>
        <w:t>1026</w:t>
      </w:r>
      <w:r>
        <w:rPr>
          <w:rFonts w:hint="default"/>
          <w:lang w:val="en" w:eastAsia="zh-CN"/>
        </w:rPr>
        <w:t>.</w:t>
      </w:r>
      <w:r>
        <w:rPr>
          <w:rFonts w:hint="eastAsia"/>
          <w:lang w:val="en-US" w:eastAsia="zh-CN"/>
        </w:rPr>
        <w:t>68</w:t>
      </w:r>
      <w:r>
        <w:t>万元，基金预算收入 0 万元，财政专户核拨收入 0 万元，其他来源收入0 万元。</w:t>
      </w:r>
    </w:p>
    <w:p>
      <w:pPr>
        <w:pStyle w:val="23"/>
      </w:pPr>
      <w:r>
        <w:t>2、支出说明</w:t>
      </w:r>
    </w:p>
    <w:p>
      <w:pPr>
        <w:pStyle w:val="23"/>
      </w:pPr>
      <w:r>
        <w:t>收支预算总表支出栏、基本支出表、项目支出表按经济分类和支出功能分类科目编制，反映本</w:t>
      </w:r>
      <w:r>
        <w:rPr>
          <w:rFonts w:hint="eastAsia"/>
          <w:lang w:eastAsia="zh-CN"/>
        </w:rPr>
        <w:t>单位</w:t>
      </w:r>
      <w:r>
        <w:t>预算中支出预算的总体情况。202</w:t>
      </w:r>
      <w:r>
        <w:rPr>
          <w:rFonts w:hint="eastAsia"/>
          <w:lang w:val="en-US" w:eastAsia="zh-CN"/>
        </w:rPr>
        <w:t>5</w:t>
      </w:r>
      <w:r>
        <w:t>年支出预算</w:t>
      </w:r>
      <w:r>
        <w:rPr>
          <w:rFonts w:hint="eastAsia"/>
          <w:lang w:val="en-US" w:eastAsia="zh-CN"/>
        </w:rPr>
        <w:t>1026</w:t>
      </w:r>
      <w:r>
        <w:rPr>
          <w:rFonts w:hint="default"/>
          <w:lang w:val="en" w:eastAsia="zh-CN"/>
        </w:rPr>
        <w:t>.</w:t>
      </w:r>
      <w:r>
        <w:rPr>
          <w:rFonts w:hint="eastAsia"/>
          <w:lang w:val="en-US" w:eastAsia="zh-CN"/>
        </w:rPr>
        <w:t>68</w:t>
      </w:r>
      <w:r>
        <w:t>万元，其中基本支出913.13万元，包括人员经费826.09万元和日常公用经费87.04万元；项目支出 113.55万元。</w:t>
      </w:r>
    </w:p>
    <w:p>
      <w:pPr>
        <w:pStyle w:val="23"/>
      </w:pPr>
      <w:r>
        <w:t>3、比上年增减情况</w:t>
      </w:r>
    </w:p>
    <w:p>
      <w:pPr>
        <w:pStyle w:val="18"/>
      </w:pPr>
      <w:r>
        <w:t>202</w:t>
      </w:r>
      <w:r>
        <w:rPr>
          <w:rFonts w:hint="eastAsia"/>
          <w:lang w:val="en-US" w:eastAsia="zh-CN"/>
        </w:rPr>
        <w:t>5</w:t>
      </w:r>
      <w:r>
        <w:t>年预算收支安排</w:t>
      </w:r>
      <w:r>
        <w:rPr>
          <w:rFonts w:hint="eastAsia"/>
          <w:lang w:val="en-US" w:eastAsia="zh-CN"/>
        </w:rPr>
        <w:t>1026</w:t>
      </w:r>
      <w:r>
        <w:rPr>
          <w:rFonts w:hint="default"/>
          <w:lang w:val="en" w:eastAsia="zh-CN"/>
        </w:rPr>
        <w:t>.</w:t>
      </w:r>
      <w:r>
        <w:rPr>
          <w:rFonts w:hint="eastAsia"/>
          <w:lang w:val="en-US" w:eastAsia="zh-CN"/>
        </w:rPr>
        <w:t>68</w:t>
      </w:r>
      <w:r>
        <w:t>万元，较202</w:t>
      </w:r>
      <w:r>
        <w:rPr>
          <w:rFonts w:hint="eastAsia"/>
          <w:lang w:val="en-US" w:eastAsia="zh-CN"/>
        </w:rPr>
        <w:t>4</w:t>
      </w:r>
      <w:r>
        <w:t>年预算</w:t>
      </w:r>
      <w:r>
        <w:rPr>
          <w:rFonts w:hint="eastAsia"/>
          <w:lang w:eastAsia="zh-CN"/>
        </w:rPr>
        <w:t>减少</w:t>
      </w:r>
      <w:r>
        <w:t>了</w:t>
      </w:r>
      <w:r>
        <w:rPr>
          <w:rFonts w:hint="eastAsia"/>
          <w:lang w:val="en-US" w:eastAsia="zh-CN"/>
        </w:rPr>
        <w:t>110</w:t>
      </w:r>
      <w:r>
        <w:rPr>
          <w:rFonts w:hint="default"/>
          <w:lang w:val="en" w:eastAsia="zh-CN"/>
        </w:rPr>
        <w:t>.</w:t>
      </w:r>
      <w:r>
        <w:rPr>
          <w:rFonts w:hint="eastAsia"/>
          <w:lang w:val="en-US" w:eastAsia="zh-CN"/>
        </w:rPr>
        <w:t>35</w:t>
      </w:r>
      <w:r>
        <w:t>万元，其中：基本支出</w:t>
      </w:r>
      <w:r>
        <w:rPr>
          <w:rFonts w:hint="eastAsia"/>
          <w:lang w:eastAsia="zh-CN"/>
        </w:rPr>
        <w:t>减少</w:t>
      </w:r>
      <w:r>
        <w:rPr>
          <w:rFonts w:hint="eastAsia"/>
          <w:lang w:val="en-US" w:eastAsia="zh-CN"/>
        </w:rPr>
        <w:t>19</w:t>
      </w:r>
      <w:r>
        <w:rPr>
          <w:rFonts w:hint="default"/>
          <w:lang w:val="en" w:eastAsia="zh-CN"/>
        </w:rPr>
        <w:t>.</w:t>
      </w:r>
      <w:r>
        <w:rPr>
          <w:rFonts w:hint="eastAsia"/>
          <w:lang w:val="en-US" w:eastAsia="zh-CN"/>
        </w:rPr>
        <w:t>39</w:t>
      </w:r>
      <w:r>
        <w:t>万元，主要是</w:t>
      </w:r>
      <w:r>
        <w:rPr>
          <w:rFonts w:hint="eastAsia"/>
          <w:lang w:eastAsia="zh-CN"/>
        </w:rPr>
        <w:t>减少</w:t>
      </w:r>
      <w:r>
        <w:t>了人员经费；项目支出  113.55万元，</w:t>
      </w:r>
      <w:r>
        <w:rPr>
          <w:rFonts w:hint="eastAsia"/>
          <w:lang w:eastAsia="zh-CN"/>
        </w:rPr>
        <w:t>较</w:t>
      </w:r>
      <w:r>
        <w:rPr>
          <w:rFonts w:hint="eastAsia"/>
          <w:lang w:val="en-US" w:eastAsia="zh-CN"/>
        </w:rPr>
        <w:t>2024年度减少了90.96万元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lang w:val="en-US" w:eastAsia="uk-UA"/>
        </w:rPr>
        <w:t>202</w:t>
      </w:r>
      <w:r>
        <w:rPr>
          <w:rFonts w:hint="eastAsia"/>
          <w:lang w:val="en-US" w:eastAsia="zh-CN"/>
        </w:rPr>
        <w:t>5</w:t>
      </w:r>
      <w:r>
        <w:rPr>
          <w:lang w:val="en-US" w:eastAsia="uk-UA"/>
        </w:rPr>
        <w:t>年，我院机关运行经费共计安排</w:t>
      </w:r>
      <w:r>
        <w:rPr>
          <w:rFonts w:hint="eastAsia"/>
          <w:lang w:val="en-US" w:eastAsia="zh-CN"/>
        </w:rPr>
        <w:t>87</w:t>
      </w:r>
      <w:r>
        <w:rPr>
          <w:lang w:val="en-US" w:eastAsia="uk-UA"/>
        </w:rPr>
        <w:t>.</w:t>
      </w:r>
      <w:r>
        <w:rPr>
          <w:rFonts w:hint="eastAsia"/>
          <w:lang w:val="en-US" w:eastAsia="zh-CN"/>
        </w:rPr>
        <w:t>04</w:t>
      </w:r>
      <w:r>
        <w:rPr>
          <w:lang w:val="en-US" w:eastAsia="uk-UA"/>
        </w:rPr>
        <w:t>万元，主要用于日常办公费、邮电费、车辆运行</w:t>
      </w:r>
      <w:r>
        <w:rPr>
          <w:rFonts w:hint="eastAsia"/>
          <w:lang w:val="en-US" w:eastAsia="zh-CN"/>
        </w:rPr>
        <w:t>维护</w:t>
      </w:r>
      <w:r>
        <w:rPr>
          <w:lang w:val="en-US" w:eastAsia="uk-UA"/>
        </w:rPr>
        <w:t>费等日常运行支出。其中办公费</w:t>
      </w:r>
      <w:r>
        <w:t>4.36</w:t>
      </w:r>
      <w:r>
        <w:rPr>
          <w:lang w:val="en-US" w:eastAsia="uk-UA"/>
        </w:rPr>
        <w:t>万元，公务用车运行维护费</w:t>
      </w:r>
      <w:r>
        <w:t>4.60</w:t>
      </w:r>
      <w:r>
        <w:rPr>
          <w:lang w:val="en-US" w:eastAsia="uk-UA"/>
        </w:rPr>
        <w:t>万元，公务交通补贴</w:t>
      </w:r>
      <w:r>
        <w:t>26.68</w:t>
      </w:r>
      <w:r>
        <w:rPr>
          <w:lang w:val="en-US" w:eastAsia="uk-UA"/>
        </w:rPr>
        <w:t>万元，邮电费</w:t>
      </w:r>
      <w:r>
        <w:t>24.32</w:t>
      </w:r>
      <w:r>
        <w:rPr>
          <w:lang w:val="en-US" w:eastAsia="uk-UA"/>
        </w:rPr>
        <w:t>万元，差旅费</w:t>
      </w:r>
      <w:r>
        <w:t>9.20</w:t>
      </w:r>
      <w:r>
        <w:rPr>
          <w:lang w:val="en-US" w:eastAsia="uk-UA"/>
        </w:rPr>
        <w:t>万元，一般会议费</w:t>
      </w:r>
      <w:r>
        <w:rPr>
          <w:rFonts w:hint="default"/>
          <w:lang w:val="en-US" w:eastAsia="uk-UA"/>
        </w:rPr>
        <w:t>1.14</w:t>
      </w:r>
      <w:r>
        <w:rPr>
          <w:lang w:val="en-US" w:eastAsia="uk-UA"/>
        </w:rPr>
        <w:t>万元，职工教育费1.73万元，招待费0.45万元，福利费</w:t>
      </w:r>
      <w:r>
        <w:t>4.15</w:t>
      </w:r>
      <w:r>
        <w:rPr>
          <w:lang w:val="en-US" w:eastAsia="uk-UA"/>
        </w:rPr>
        <w:t>万元，工会经费</w:t>
      </w:r>
      <w:r>
        <w:t>5.82</w:t>
      </w:r>
      <w:r>
        <w:rPr>
          <w:lang w:val="en-US" w:eastAsia="uk-UA"/>
        </w:rPr>
        <w:t>万元，退休干部公用经费</w:t>
      </w:r>
      <w:r>
        <w:t>1.82</w:t>
      </w:r>
      <w:r>
        <w:rPr>
          <w:lang w:val="en-US" w:eastAsia="uk-UA"/>
        </w:rPr>
        <w:t>万元</w:t>
      </w:r>
      <w:r>
        <w:rPr>
          <w:rFonts w:hint="eastAsia"/>
          <w:lang w:val="en-US" w:eastAsia="zh-CN"/>
        </w:rPr>
        <w:t>，</w:t>
      </w:r>
      <w:r>
        <w:rPr>
          <w:lang w:val="en-US" w:eastAsia="uk-UA"/>
        </w:rPr>
        <w:t>退休干部特需费</w:t>
      </w:r>
      <w:r>
        <w:t>1.08</w:t>
      </w:r>
      <w:r>
        <w:rPr>
          <w:lang w:val="en-US" w:eastAsia="uk-UA"/>
        </w:rPr>
        <w:t>万元，退休干部福利费</w:t>
      </w:r>
      <w:r>
        <w:t>1.69</w:t>
      </w:r>
      <w:r>
        <w:rPr>
          <w:lang w:val="en-US" w:eastAsia="uk-UA"/>
        </w:rPr>
        <w:t>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rPr>
          <w:lang w:val="en-US" w:eastAsia="uk-UA"/>
        </w:rPr>
        <w:t>202</w:t>
      </w:r>
      <w:r>
        <w:rPr>
          <w:rFonts w:hint="eastAsia"/>
          <w:lang w:val="en-US" w:eastAsia="zh-CN"/>
        </w:rPr>
        <w:t>5</w:t>
      </w:r>
      <w:r>
        <w:rPr>
          <w:lang w:val="en-US" w:eastAsia="uk-UA"/>
        </w:rPr>
        <w:t>年，我院财政拨款“三公”经费预算安排</w:t>
      </w:r>
      <w:r>
        <w:t>5.0</w:t>
      </w:r>
      <w:r>
        <w:rPr>
          <w:lang w:val="en-US" w:eastAsia="uk-UA"/>
        </w:rPr>
        <w:t>5万元，其中：因公出国（境）费0万元；公务用车购置及运维费</w:t>
      </w:r>
      <w:r>
        <w:t>4.6</w:t>
      </w:r>
      <w:r>
        <w:rPr>
          <w:lang w:val="en-US" w:eastAsia="uk-UA"/>
        </w:rPr>
        <w:t>万元（其中：公务用车购置费0万元，公务用车运维费</w:t>
      </w:r>
      <w:r>
        <w:t>4.6</w:t>
      </w:r>
      <w:r>
        <w:rPr>
          <w:lang w:val="en-US" w:eastAsia="uk-UA"/>
        </w:rPr>
        <w:t>万元)；公务接待费0.45万元。“三公”经费与上年</w:t>
      </w:r>
      <w:r>
        <w:rPr>
          <w:rFonts w:hint="eastAsia"/>
          <w:lang w:val="en-US" w:eastAsia="zh-CN"/>
        </w:rPr>
        <w:t>减少1.4万元，主要减少了公务用车运行维护费</w:t>
      </w:r>
      <w:r>
        <w:rPr>
          <w:lang w:val="en-US" w:eastAsia="uk-UA"/>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13010025P00971110456N</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1.77</w:t>
            </w:r>
          </w:p>
        </w:tc>
        <w:tc>
          <w:tcPr>
            <w:tcW w:w="2835" w:type="dxa"/>
            <w:vAlign w:val="center"/>
          </w:tcPr>
          <w:p>
            <w:pPr>
              <w:pStyle w:val="10"/>
            </w:pPr>
            <w:r>
              <w:t>其中：财政    资金</w:t>
            </w:r>
          </w:p>
        </w:tc>
        <w:tc>
          <w:tcPr>
            <w:tcW w:w="2551" w:type="dxa"/>
            <w:vAlign w:val="center"/>
          </w:tcPr>
          <w:p>
            <w:pPr>
              <w:pStyle w:val="12"/>
            </w:pPr>
            <w:r>
              <w:t>1.77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购置党建活动资料、租赁活动场地和车辆，开展党员慰问等各类党建活动。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1.通过开展各类党建活动，提升党员党性修养，建强党组织基层“堡垒”。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参加活动人数</w:t>
            </w:r>
          </w:p>
        </w:tc>
        <w:tc>
          <w:tcPr>
            <w:tcW w:w="5386" w:type="dxa"/>
            <w:vAlign w:val="center"/>
          </w:tcPr>
          <w:p>
            <w:pPr>
              <w:pStyle w:val="12"/>
            </w:pPr>
            <w:r>
              <w:t>参加党组织活动的党员人数</w:t>
            </w:r>
          </w:p>
        </w:tc>
        <w:tc>
          <w:tcPr>
            <w:tcW w:w="2268" w:type="dxa"/>
            <w:vAlign w:val="center"/>
          </w:tcPr>
          <w:p>
            <w:pPr>
              <w:pStyle w:val="12"/>
            </w:pPr>
            <w:r>
              <w:t>≥38人</w:t>
            </w:r>
          </w:p>
        </w:tc>
        <w:tc>
          <w:tcPr>
            <w:tcW w:w="1276" w:type="dxa"/>
            <w:vAlign w:val="center"/>
          </w:tcPr>
          <w:p>
            <w:pPr>
              <w:pStyle w:val="12"/>
            </w:pPr>
            <w:r>
              <w:t>单位党员人数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**活动参与率</w:t>
            </w:r>
          </w:p>
        </w:tc>
        <w:tc>
          <w:tcPr>
            <w:tcW w:w="5386" w:type="dxa"/>
            <w:vAlign w:val="center"/>
          </w:tcPr>
          <w:p>
            <w:pPr>
              <w:pStyle w:val="12"/>
            </w:pPr>
            <w:r>
              <w:t>实际参加党组织活动人数占应参加人数的比例</w:t>
            </w:r>
          </w:p>
        </w:tc>
        <w:tc>
          <w:tcPr>
            <w:tcW w:w="2268" w:type="dxa"/>
            <w:vAlign w:val="center"/>
          </w:tcPr>
          <w:p>
            <w:pPr>
              <w:pStyle w:val="12"/>
            </w:pPr>
            <w:r>
              <w:t>≥95%</w:t>
            </w:r>
          </w:p>
        </w:tc>
        <w:tc>
          <w:tcPr>
            <w:tcW w:w="1276" w:type="dxa"/>
            <w:vAlign w:val="center"/>
          </w:tcPr>
          <w:p>
            <w:pPr>
              <w:pStyle w:val="12"/>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工作完成时间</w:t>
            </w:r>
          </w:p>
        </w:tc>
        <w:tc>
          <w:tcPr>
            <w:tcW w:w="5386" w:type="dxa"/>
            <w:vAlign w:val="center"/>
          </w:tcPr>
          <w:p>
            <w:pPr>
              <w:pStyle w:val="12"/>
            </w:pPr>
            <w:r>
              <w:t>党组织活动完成时间</w:t>
            </w:r>
          </w:p>
        </w:tc>
        <w:tc>
          <w:tcPr>
            <w:tcW w:w="2268" w:type="dxa"/>
            <w:vAlign w:val="center"/>
          </w:tcPr>
          <w:p>
            <w:pPr>
              <w:pStyle w:val="12"/>
            </w:pPr>
            <w:r>
              <w:t>2025年12月31日前</w:t>
            </w:r>
          </w:p>
        </w:tc>
        <w:tc>
          <w:tcPr>
            <w:tcW w:w="1276" w:type="dxa"/>
            <w:vAlign w:val="center"/>
          </w:tcPr>
          <w:p>
            <w:pPr>
              <w:pStyle w:val="12"/>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5386" w:type="dxa"/>
            <w:vAlign w:val="center"/>
          </w:tcPr>
          <w:p>
            <w:pPr>
              <w:pStyle w:val="12"/>
            </w:pPr>
            <w:r>
              <w:t>用于每名党员参加党组织活动的经费标准</w:t>
            </w:r>
          </w:p>
        </w:tc>
        <w:tc>
          <w:tcPr>
            <w:tcW w:w="2268" w:type="dxa"/>
            <w:vAlign w:val="center"/>
          </w:tcPr>
          <w:p>
            <w:pPr>
              <w:pStyle w:val="12"/>
            </w:pPr>
            <w:r>
              <w:t>≤0.05万元</w:t>
            </w:r>
          </w:p>
        </w:tc>
        <w:tc>
          <w:tcPr>
            <w:tcW w:w="1276" w:type="dxa"/>
            <w:vAlign w:val="center"/>
          </w:tcPr>
          <w:p>
            <w:pPr>
              <w:pStyle w:val="12"/>
            </w:pPr>
            <w:r>
              <w:t>单位党组织活动需求测算表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总成本控制</w:t>
            </w:r>
          </w:p>
        </w:tc>
        <w:tc>
          <w:tcPr>
            <w:tcW w:w="5386" w:type="dxa"/>
            <w:vAlign w:val="center"/>
          </w:tcPr>
          <w:p>
            <w:pPr>
              <w:pStyle w:val="12"/>
            </w:pPr>
            <w:r>
              <w:t>组织党员活动的总成本</w:t>
            </w:r>
          </w:p>
        </w:tc>
        <w:tc>
          <w:tcPr>
            <w:tcW w:w="2268" w:type="dxa"/>
            <w:vAlign w:val="center"/>
          </w:tcPr>
          <w:p>
            <w:pPr>
              <w:pStyle w:val="12"/>
            </w:pPr>
            <w:r>
              <w:t>≤1.77万元</w:t>
            </w:r>
          </w:p>
        </w:tc>
        <w:tc>
          <w:tcPr>
            <w:tcW w:w="1276" w:type="dxa"/>
            <w:vAlign w:val="center"/>
          </w:tcPr>
          <w:p>
            <w:pPr>
              <w:pStyle w:val="12"/>
            </w:pPr>
            <w:r>
              <w:t>单位党组织活动需求测算表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培养忠诚、干净、担当的党员领导</w:t>
            </w:r>
          </w:p>
        </w:tc>
        <w:tc>
          <w:tcPr>
            <w:tcW w:w="5386" w:type="dxa"/>
            <w:vAlign w:val="center"/>
          </w:tcPr>
          <w:p>
            <w:pPr>
              <w:pStyle w:val="12"/>
            </w:pPr>
            <w:r>
              <w:t>培养忠诚、干净、担当的党员领导干部队伍。</w:t>
            </w:r>
          </w:p>
        </w:tc>
        <w:tc>
          <w:tcPr>
            <w:tcW w:w="2268" w:type="dxa"/>
            <w:vAlign w:val="center"/>
          </w:tcPr>
          <w:p>
            <w:pPr>
              <w:pStyle w:val="12"/>
            </w:pPr>
            <w:r>
              <w:t>实现党建与业务融合发展，提升党组织凝聚力</w:t>
            </w:r>
          </w:p>
        </w:tc>
        <w:tc>
          <w:tcPr>
            <w:tcW w:w="1276" w:type="dxa"/>
            <w:vAlign w:val="center"/>
          </w:tcPr>
          <w:p>
            <w:pPr>
              <w:pStyle w:val="12"/>
            </w:pPr>
            <w:r>
              <w:t>单位党组织活动计划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参加各类活动的党员对活动安排满</w:t>
            </w:r>
          </w:p>
        </w:tc>
        <w:tc>
          <w:tcPr>
            <w:tcW w:w="5386" w:type="dxa"/>
            <w:vAlign w:val="center"/>
          </w:tcPr>
          <w:p>
            <w:pPr>
              <w:pStyle w:val="12"/>
            </w:pPr>
            <w:r>
              <w:t>党员对党组织活动的满意度</w:t>
            </w:r>
          </w:p>
        </w:tc>
        <w:tc>
          <w:tcPr>
            <w:tcW w:w="2268" w:type="dxa"/>
            <w:vAlign w:val="center"/>
          </w:tcPr>
          <w:p>
            <w:pPr>
              <w:pStyle w:val="12"/>
            </w:pPr>
            <w:r>
              <w:t>≥95%</w:t>
            </w:r>
          </w:p>
        </w:tc>
        <w:tc>
          <w:tcPr>
            <w:tcW w:w="1276" w:type="dxa"/>
            <w:vAlign w:val="center"/>
          </w:tcPr>
          <w:p>
            <w:pPr>
              <w:pStyle w:val="12"/>
            </w:pPr>
            <w:r>
              <w:t>调查问卷/反馈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2、法律顾问经费绩效目标表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13010025P00924510053C</w:t>
            </w:r>
          </w:p>
        </w:tc>
        <w:tc>
          <w:tcPr>
            <w:tcW w:w="2835" w:type="dxa"/>
            <w:vAlign w:val="center"/>
          </w:tcPr>
          <w:p>
            <w:pPr>
              <w:pStyle w:val="10"/>
            </w:pPr>
            <w:r>
              <w:t>项目名称</w:t>
            </w:r>
          </w:p>
        </w:tc>
        <w:tc>
          <w:tcPr>
            <w:tcW w:w="6095" w:type="dxa"/>
            <w:gridSpan w:val="3"/>
            <w:vAlign w:val="center"/>
          </w:tcPr>
          <w:p>
            <w:pPr>
              <w:pStyle w:val="12"/>
            </w:pPr>
            <w:r>
              <w:t>法律顾问经费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通过与法律顾问事务所签订委托协议，对我院开展理论武装、研究阐释、服务决策、社科普及等各项工作签订协议开展法制审核，确保依法行政工作水平。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1.及时聘用法治顾问，确保社科研究、理论宣讲、社科普及等工作依法依规开展。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年度服务部门数量</w:t>
            </w:r>
          </w:p>
        </w:tc>
        <w:tc>
          <w:tcPr>
            <w:tcW w:w="5386" w:type="dxa"/>
            <w:vAlign w:val="center"/>
          </w:tcPr>
          <w:p>
            <w:pPr>
              <w:pStyle w:val="12"/>
            </w:pPr>
            <w:r>
              <w:t>聘请法律服务单位数量</w:t>
            </w:r>
          </w:p>
        </w:tc>
        <w:tc>
          <w:tcPr>
            <w:tcW w:w="2268" w:type="dxa"/>
            <w:vAlign w:val="center"/>
          </w:tcPr>
          <w:p>
            <w:pPr>
              <w:pStyle w:val="12"/>
            </w:pPr>
            <w:r>
              <w:t>1个</w:t>
            </w:r>
          </w:p>
        </w:tc>
        <w:tc>
          <w:tcPr>
            <w:tcW w:w="1276" w:type="dxa"/>
            <w:vAlign w:val="center"/>
          </w:tcPr>
          <w:p>
            <w:pPr>
              <w:pStyle w:val="12"/>
            </w:pPr>
            <w:r>
              <w:t>部门2025年工作计划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法律服务质量</w:t>
            </w:r>
          </w:p>
        </w:tc>
        <w:tc>
          <w:tcPr>
            <w:tcW w:w="5386" w:type="dxa"/>
            <w:vAlign w:val="center"/>
          </w:tcPr>
          <w:p>
            <w:pPr>
              <w:pStyle w:val="12"/>
            </w:pPr>
            <w:r>
              <w:t>考察聘请法律顾问达标的情况</w:t>
            </w:r>
          </w:p>
        </w:tc>
        <w:tc>
          <w:tcPr>
            <w:tcW w:w="2268" w:type="dxa"/>
            <w:vAlign w:val="center"/>
          </w:tcPr>
          <w:p>
            <w:pPr>
              <w:pStyle w:val="12"/>
            </w:pPr>
            <w:r>
              <w:t>100%</w:t>
            </w:r>
          </w:p>
        </w:tc>
        <w:tc>
          <w:tcPr>
            <w:tcW w:w="1276" w:type="dxa"/>
            <w:vAlign w:val="center"/>
          </w:tcPr>
          <w:p>
            <w:pPr>
              <w:pStyle w:val="12"/>
            </w:pPr>
            <w:r>
              <w:t>部门2025年工作计划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按时间节点完成工作情况</w:t>
            </w:r>
          </w:p>
        </w:tc>
        <w:tc>
          <w:tcPr>
            <w:tcW w:w="2268" w:type="dxa"/>
            <w:vAlign w:val="center"/>
          </w:tcPr>
          <w:p>
            <w:pPr>
              <w:pStyle w:val="12"/>
            </w:pPr>
            <w:r>
              <w:t>100%</w:t>
            </w:r>
          </w:p>
        </w:tc>
        <w:tc>
          <w:tcPr>
            <w:tcW w:w="1276" w:type="dxa"/>
            <w:vAlign w:val="center"/>
          </w:tcPr>
          <w:p>
            <w:pPr>
              <w:pStyle w:val="12"/>
            </w:pPr>
            <w:r>
              <w:t>部门2025年工作计划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平均每月咨询成本</w:t>
            </w:r>
          </w:p>
        </w:tc>
        <w:tc>
          <w:tcPr>
            <w:tcW w:w="2268" w:type="dxa"/>
            <w:vAlign w:val="center"/>
          </w:tcPr>
          <w:p>
            <w:pPr>
              <w:pStyle w:val="12"/>
            </w:pPr>
            <w:r>
              <w:t>≤0.17万元/月</w:t>
            </w:r>
          </w:p>
        </w:tc>
        <w:tc>
          <w:tcPr>
            <w:tcW w:w="1276" w:type="dxa"/>
            <w:vAlign w:val="center"/>
          </w:tcPr>
          <w:p>
            <w:pPr>
              <w:pStyle w:val="12"/>
            </w:pPr>
            <w:r>
              <w:t>部门2025年工作计划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总成本控制</w:t>
            </w:r>
          </w:p>
        </w:tc>
        <w:tc>
          <w:tcPr>
            <w:tcW w:w="5386" w:type="dxa"/>
            <w:vAlign w:val="center"/>
          </w:tcPr>
          <w:p>
            <w:pPr>
              <w:pStyle w:val="12"/>
            </w:pPr>
            <w:r>
              <w:t>法律服务委托业务成本</w:t>
            </w:r>
          </w:p>
        </w:tc>
        <w:tc>
          <w:tcPr>
            <w:tcW w:w="2268" w:type="dxa"/>
            <w:vAlign w:val="center"/>
          </w:tcPr>
          <w:p>
            <w:pPr>
              <w:pStyle w:val="12"/>
            </w:pPr>
            <w:r>
              <w:t>≤2万元</w:t>
            </w:r>
          </w:p>
        </w:tc>
        <w:tc>
          <w:tcPr>
            <w:tcW w:w="1276" w:type="dxa"/>
            <w:vAlign w:val="center"/>
          </w:tcPr>
          <w:p>
            <w:pPr>
              <w:pStyle w:val="12"/>
            </w:pPr>
            <w:r>
              <w:t>部门2025年工作计划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履行法律监督职责全面性</w:t>
            </w:r>
          </w:p>
        </w:tc>
        <w:tc>
          <w:tcPr>
            <w:tcW w:w="5386" w:type="dxa"/>
            <w:vAlign w:val="center"/>
          </w:tcPr>
          <w:p>
            <w:pPr>
              <w:pStyle w:val="12"/>
            </w:pPr>
            <w:r>
              <w:t>考察出现法律风险的次数</w:t>
            </w:r>
          </w:p>
        </w:tc>
        <w:tc>
          <w:tcPr>
            <w:tcW w:w="2268" w:type="dxa"/>
            <w:vAlign w:val="center"/>
          </w:tcPr>
          <w:p>
            <w:pPr>
              <w:pStyle w:val="12"/>
            </w:pPr>
            <w:r>
              <w:t>≤3次</w:t>
            </w:r>
          </w:p>
        </w:tc>
        <w:tc>
          <w:tcPr>
            <w:tcW w:w="1276" w:type="dxa"/>
            <w:vAlign w:val="center"/>
          </w:tcPr>
          <w:p>
            <w:pPr>
              <w:pStyle w:val="12"/>
            </w:pPr>
            <w:r>
              <w:t>2025年实际发生情况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单位相关人员满意度</w:t>
            </w:r>
          </w:p>
        </w:tc>
        <w:tc>
          <w:tcPr>
            <w:tcW w:w="2268" w:type="dxa"/>
            <w:vAlign w:val="center"/>
          </w:tcPr>
          <w:p>
            <w:pPr>
              <w:pStyle w:val="12"/>
            </w:pPr>
            <w:r>
              <w:t>≥95%</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3、石家庄市社会科学界联合会第八次代表大会经费绩效目标表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13010025P00785910027E</w:t>
            </w:r>
          </w:p>
        </w:tc>
        <w:tc>
          <w:tcPr>
            <w:tcW w:w="2835" w:type="dxa"/>
            <w:vAlign w:val="center"/>
          </w:tcPr>
          <w:p>
            <w:pPr>
              <w:pStyle w:val="10"/>
            </w:pPr>
            <w:r>
              <w:t>项目名称</w:t>
            </w:r>
          </w:p>
        </w:tc>
        <w:tc>
          <w:tcPr>
            <w:tcW w:w="6095" w:type="dxa"/>
            <w:gridSpan w:val="3"/>
            <w:vAlign w:val="center"/>
          </w:tcPr>
          <w:p>
            <w:pPr>
              <w:pStyle w:val="12"/>
            </w:pPr>
            <w:r>
              <w:t>石家庄市社会科学界联合会第八次代表大会经费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16.50</w:t>
            </w:r>
          </w:p>
        </w:tc>
        <w:tc>
          <w:tcPr>
            <w:tcW w:w="2835" w:type="dxa"/>
            <w:vAlign w:val="center"/>
          </w:tcPr>
          <w:p>
            <w:pPr>
              <w:pStyle w:val="10"/>
            </w:pPr>
            <w:r>
              <w:t>其中：财政    资金</w:t>
            </w:r>
          </w:p>
        </w:tc>
        <w:tc>
          <w:tcPr>
            <w:tcW w:w="2551" w:type="dxa"/>
            <w:vAlign w:val="center"/>
          </w:tcPr>
          <w:p>
            <w:pPr>
              <w:pStyle w:val="12"/>
            </w:pPr>
            <w:r>
              <w:t>16.50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召开石家庄市社会科学界联合会第八次代表大会，用于场地租赁、会议资料印刷、住宿、交通、餐饮、现场布置等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1.召开石家庄市社会科学界联合会第八次会议，圆满完成换届任务。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举办活动场次</w:t>
            </w:r>
          </w:p>
        </w:tc>
        <w:tc>
          <w:tcPr>
            <w:tcW w:w="5386" w:type="dxa"/>
            <w:vAlign w:val="center"/>
          </w:tcPr>
          <w:p>
            <w:pPr>
              <w:pStyle w:val="12"/>
            </w:pPr>
            <w:r>
              <w:t>举办石家庄市社会科学界联合会第八次会议场次</w:t>
            </w:r>
          </w:p>
        </w:tc>
        <w:tc>
          <w:tcPr>
            <w:tcW w:w="2268" w:type="dxa"/>
            <w:vAlign w:val="center"/>
          </w:tcPr>
          <w:p>
            <w:pPr>
              <w:pStyle w:val="12"/>
            </w:pPr>
            <w:r>
              <w:t>1场</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会议圆满完成</w:t>
            </w:r>
          </w:p>
          <w:p>
            <w:pPr>
              <w:pStyle w:val="12"/>
            </w:pPr>
          </w:p>
        </w:tc>
        <w:tc>
          <w:tcPr>
            <w:tcW w:w="5386" w:type="dxa"/>
            <w:vAlign w:val="center"/>
          </w:tcPr>
          <w:p>
            <w:pPr>
              <w:pStyle w:val="12"/>
            </w:pPr>
            <w:r>
              <w:t>圆满完成换届任务</w:t>
            </w:r>
          </w:p>
          <w:p>
            <w:pPr>
              <w:pStyle w:val="12"/>
            </w:pPr>
          </w:p>
        </w:tc>
        <w:tc>
          <w:tcPr>
            <w:tcW w:w="2268" w:type="dxa"/>
            <w:vAlign w:val="center"/>
          </w:tcPr>
          <w:p>
            <w:pPr>
              <w:pStyle w:val="12"/>
            </w:pPr>
            <w:r>
              <w:t>圆满完成换届任务</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任务完成时间</w:t>
            </w:r>
          </w:p>
        </w:tc>
        <w:tc>
          <w:tcPr>
            <w:tcW w:w="5386" w:type="dxa"/>
            <w:vAlign w:val="center"/>
          </w:tcPr>
          <w:p>
            <w:pPr>
              <w:pStyle w:val="12"/>
            </w:pPr>
            <w:r>
              <w:t>石家庄市社会科学界联合会第八次会议完成时间</w:t>
            </w:r>
          </w:p>
        </w:tc>
        <w:tc>
          <w:tcPr>
            <w:tcW w:w="2268" w:type="dxa"/>
            <w:vAlign w:val="center"/>
          </w:tcPr>
          <w:p>
            <w:pPr>
              <w:pStyle w:val="12"/>
            </w:pPr>
            <w:r>
              <w:t>2025年1月31日前</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会议人均资金成本控制</w:t>
            </w:r>
          </w:p>
        </w:tc>
        <w:tc>
          <w:tcPr>
            <w:tcW w:w="2268" w:type="dxa"/>
            <w:vAlign w:val="center"/>
          </w:tcPr>
          <w:p>
            <w:pPr>
              <w:pStyle w:val="12"/>
            </w:pPr>
            <w:r>
              <w:t>≤550元/人</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总成本控制</w:t>
            </w:r>
          </w:p>
        </w:tc>
        <w:tc>
          <w:tcPr>
            <w:tcW w:w="5386" w:type="dxa"/>
            <w:vAlign w:val="center"/>
          </w:tcPr>
          <w:p>
            <w:pPr>
              <w:pStyle w:val="12"/>
            </w:pPr>
            <w:r>
              <w:t>会议总成本控制</w:t>
            </w:r>
          </w:p>
        </w:tc>
        <w:tc>
          <w:tcPr>
            <w:tcW w:w="2268" w:type="dxa"/>
            <w:vAlign w:val="center"/>
          </w:tcPr>
          <w:p>
            <w:pPr>
              <w:pStyle w:val="12"/>
            </w:pPr>
            <w:r>
              <w:t>≤16.5万元</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保障业务工作有序开展</w:t>
            </w:r>
          </w:p>
        </w:tc>
        <w:tc>
          <w:tcPr>
            <w:tcW w:w="5386" w:type="dxa"/>
            <w:vAlign w:val="center"/>
          </w:tcPr>
          <w:p>
            <w:pPr>
              <w:pStyle w:val="12"/>
            </w:pPr>
            <w:r>
              <w:t>完成第八届社科联选举，保障社科工作有序开展</w:t>
            </w:r>
          </w:p>
        </w:tc>
        <w:tc>
          <w:tcPr>
            <w:tcW w:w="2268" w:type="dxa"/>
            <w:vAlign w:val="center"/>
          </w:tcPr>
          <w:p>
            <w:pPr>
              <w:pStyle w:val="12"/>
            </w:pPr>
            <w:r>
              <w:t>完成第八届社科联选举，保障社科工作有序开展</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受众满意度</w:t>
            </w:r>
          </w:p>
        </w:tc>
        <w:tc>
          <w:tcPr>
            <w:tcW w:w="5386" w:type="dxa"/>
            <w:vAlign w:val="center"/>
          </w:tcPr>
          <w:p>
            <w:pPr>
              <w:pStyle w:val="12"/>
            </w:pPr>
            <w:r>
              <w:t>参会代表满意度</w:t>
            </w:r>
          </w:p>
        </w:tc>
        <w:tc>
          <w:tcPr>
            <w:tcW w:w="2268" w:type="dxa"/>
            <w:vAlign w:val="center"/>
          </w:tcPr>
          <w:p>
            <w:pPr>
              <w:pStyle w:val="12"/>
            </w:pPr>
            <w:r>
              <w:t>≥95%</w:t>
            </w:r>
          </w:p>
        </w:tc>
        <w:tc>
          <w:tcPr>
            <w:tcW w:w="1276" w:type="dxa"/>
            <w:vAlign w:val="center"/>
          </w:tcPr>
          <w:p>
            <w:pPr>
              <w:pStyle w:val="12"/>
            </w:pPr>
            <w:r>
              <w:t>2025年工作计划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4、中国特色社会主义理论研究、社科普及等经费绩效目标表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13010025P004D2B10006P</w:t>
            </w:r>
          </w:p>
        </w:tc>
        <w:tc>
          <w:tcPr>
            <w:tcW w:w="2835" w:type="dxa"/>
            <w:vAlign w:val="center"/>
          </w:tcPr>
          <w:p>
            <w:pPr>
              <w:pStyle w:val="10"/>
            </w:pPr>
            <w:r>
              <w:t>项目名称</w:t>
            </w:r>
          </w:p>
        </w:tc>
        <w:tc>
          <w:tcPr>
            <w:tcW w:w="6095" w:type="dxa"/>
            <w:gridSpan w:val="3"/>
            <w:vAlign w:val="center"/>
          </w:tcPr>
          <w:p>
            <w:pPr>
              <w:pStyle w:val="12"/>
            </w:pPr>
            <w:r>
              <w:t>中国特色社会主义理论研究、社科普及等经费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93.28</w:t>
            </w:r>
          </w:p>
        </w:tc>
        <w:tc>
          <w:tcPr>
            <w:tcW w:w="2835" w:type="dxa"/>
            <w:vAlign w:val="center"/>
          </w:tcPr>
          <w:p>
            <w:pPr>
              <w:pStyle w:val="10"/>
            </w:pPr>
            <w:r>
              <w:t>其中：财政    资金</w:t>
            </w:r>
          </w:p>
        </w:tc>
        <w:tc>
          <w:tcPr>
            <w:tcW w:w="2551" w:type="dxa"/>
            <w:vAlign w:val="center"/>
          </w:tcPr>
          <w:p>
            <w:pPr>
              <w:pStyle w:val="12"/>
            </w:pPr>
            <w:r>
              <w:t>93.28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用于开展理论武装、研究阐释、服务决策、社科普及等各项工作。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1.扎实开展中国特色社会主义理论研究，理论宣讲、社科普及等工作，保障业务工作正常运转。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举办活动场次</w:t>
            </w:r>
          </w:p>
        </w:tc>
        <w:tc>
          <w:tcPr>
            <w:tcW w:w="5386" w:type="dxa"/>
            <w:vAlign w:val="center"/>
          </w:tcPr>
          <w:p>
            <w:pPr>
              <w:pStyle w:val="12"/>
            </w:pPr>
            <w:r>
              <w:t>举办理论宣讲、社科普及活动场次</w:t>
            </w:r>
          </w:p>
        </w:tc>
        <w:tc>
          <w:tcPr>
            <w:tcW w:w="2268" w:type="dxa"/>
            <w:vAlign w:val="center"/>
          </w:tcPr>
          <w:p>
            <w:pPr>
              <w:pStyle w:val="12"/>
            </w:pPr>
            <w:r>
              <w:t>≥10场次</w:t>
            </w:r>
          </w:p>
        </w:tc>
        <w:tc>
          <w:tcPr>
            <w:tcW w:w="1276" w:type="dxa"/>
            <w:vAlign w:val="center"/>
          </w:tcPr>
          <w:p>
            <w:pPr>
              <w:pStyle w:val="12"/>
            </w:pPr>
            <w:r>
              <w:t>2025年工资计划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项目合格率</w:t>
            </w:r>
          </w:p>
        </w:tc>
        <w:tc>
          <w:tcPr>
            <w:tcW w:w="5386" w:type="dxa"/>
            <w:vAlign w:val="center"/>
          </w:tcPr>
          <w:p>
            <w:pPr>
              <w:pStyle w:val="12"/>
            </w:pPr>
            <w:r>
              <w:t>宣讲、科普、科研资助及社科骨干培训等各项工作按时按质率</w:t>
            </w:r>
          </w:p>
        </w:tc>
        <w:tc>
          <w:tcPr>
            <w:tcW w:w="2268" w:type="dxa"/>
            <w:vAlign w:val="center"/>
          </w:tcPr>
          <w:p>
            <w:pPr>
              <w:pStyle w:val="12"/>
            </w:pPr>
            <w:r>
              <w:t>≥95%</w:t>
            </w:r>
          </w:p>
        </w:tc>
        <w:tc>
          <w:tcPr>
            <w:tcW w:w="1276" w:type="dxa"/>
            <w:vAlign w:val="center"/>
          </w:tcPr>
          <w:p>
            <w:pPr>
              <w:pStyle w:val="12"/>
            </w:pPr>
            <w:r>
              <w:t>2025年工资计划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完成工作时限</w:t>
            </w:r>
          </w:p>
        </w:tc>
        <w:tc>
          <w:tcPr>
            <w:tcW w:w="5386" w:type="dxa"/>
            <w:vAlign w:val="center"/>
          </w:tcPr>
          <w:p>
            <w:pPr>
              <w:pStyle w:val="12"/>
            </w:pPr>
            <w:r>
              <w:t>项目完成工作时限</w:t>
            </w:r>
          </w:p>
        </w:tc>
        <w:tc>
          <w:tcPr>
            <w:tcW w:w="2268" w:type="dxa"/>
            <w:vAlign w:val="center"/>
          </w:tcPr>
          <w:p>
            <w:pPr>
              <w:pStyle w:val="12"/>
            </w:pPr>
            <w:r>
              <w:t>2025年12月31日前</w:t>
            </w:r>
          </w:p>
        </w:tc>
        <w:tc>
          <w:tcPr>
            <w:tcW w:w="1276" w:type="dxa"/>
            <w:vAlign w:val="center"/>
          </w:tcPr>
          <w:p>
            <w:pPr>
              <w:pStyle w:val="12"/>
            </w:pPr>
            <w:r>
              <w:t>2025年工资计划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平均每场活动成本控制</w:t>
            </w:r>
          </w:p>
        </w:tc>
        <w:tc>
          <w:tcPr>
            <w:tcW w:w="2268" w:type="dxa"/>
            <w:vAlign w:val="center"/>
          </w:tcPr>
          <w:p>
            <w:pPr>
              <w:pStyle w:val="12"/>
            </w:pPr>
            <w:r>
              <w:t>≤5万元/场</w:t>
            </w:r>
          </w:p>
        </w:tc>
        <w:tc>
          <w:tcPr>
            <w:tcW w:w="1276" w:type="dxa"/>
            <w:vAlign w:val="center"/>
          </w:tcPr>
          <w:p>
            <w:pPr>
              <w:pStyle w:val="12"/>
            </w:pPr>
            <w:r>
              <w:t>2025年工资计划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≤93.28万元</w:t>
            </w:r>
          </w:p>
        </w:tc>
        <w:tc>
          <w:tcPr>
            <w:tcW w:w="1276" w:type="dxa"/>
            <w:vAlign w:val="center"/>
          </w:tcPr>
          <w:p>
            <w:pPr>
              <w:pStyle w:val="12"/>
            </w:pPr>
            <w:r>
              <w:t>2025年工资计划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社会氛围</w:t>
            </w:r>
          </w:p>
        </w:tc>
        <w:tc>
          <w:tcPr>
            <w:tcW w:w="5386" w:type="dxa"/>
            <w:vAlign w:val="center"/>
          </w:tcPr>
          <w:p>
            <w:pPr>
              <w:pStyle w:val="12"/>
            </w:pPr>
            <w:r>
              <w:t>活动实际参与人数占计划参与总人数</w:t>
            </w:r>
          </w:p>
        </w:tc>
        <w:tc>
          <w:tcPr>
            <w:tcW w:w="2268" w:type="dxa"/>
            <w:vAlign w:val="center"/>
          </w:tcPr>
          <w:p>
            <w:pPr>
              <w:pStyle w:val="12"/>
            </w:pPr>
            <w:r>
              <w:t>≥95%</w:t>
            </w:r>
          </w:p>
        </w:tc>
        <w:tc>
          <w:tcPr>
            <w:tcW w:w="1276" w:type="dxa"/>
            <w:vAlign w:val="center"/>
          </w:tcPr>
          <w:p>
            <w:pPr>
              <w:pStyle w:val="12"/>
            </w:pPr>
            <w:r>
              <w:t>2025年工资计划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活动参与人员满意度</w:t>
            </w:r>
          </w:p>
        </w:tc>
        <w:tc>
          <w:tcPr>
            <w:tcW w:w="5386" w:type="dxa"/>
            <w:vAlign w:val="center"/>
          </w:tcPr>
          <w:p>
            <w:pPr>
              <w:pStyle w:val="12"/>
            </w:pPr>
            <w:r>
              <w:t>活动参与人员满意度</w:t>
            </w:r>
          </w:p>
        </w:tc>
        <w:tc>
          <w:tcPr>
            <w:tcW w:w="2268" w:type="dxa"/>
            <w:vAlign w:val="center"/>
          </w:tcPr>
          <w:p>
            <w:pPr>
              <w:pStyle w:val="12"/>
            </w:pPr>
            <w:r>
              <w:t>≥95%</w:t>
            </w:r>
          </w:p>
        </w:tc>
        <w:tc>
          <w:tcPr>
            <w:tcW w:w="1276" w:type="dxa"/>
            <w:vAlign w:val="center"/>
          </w:tcPr>
          <w:p>
            <w:pPr>
              <w:pStyle w:val="12"/>
            </w:pPr>
            <w:r>
              <w:t>年度工作安排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492001石家庄市社会科学院本级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石家庄市社会科学院本级上年末固定资产金额为</w:t>
      </w:r>
      <w:r>
        <w:rPr>
          <w:rFonts w:hint="eastAsia" w:eastAsia="方正仿宋_GBK" w:cs="Times New Roman"/>
          <w:b w:val="0"/>
          <w:color w:val="000000"/>
          <w:sz w:val="28"/>
          <w:lang w:val="en-US" w:eastAsia="zh-CN"/>
        </w:rPr>
        <w:t>158</w:t>
      </w:r>
      <w:r>
        <w:rPr>
          <w:rFonts w:ascii="Times New Roman" w:hAnsi="Times New Roman" w:eastAsia="方正仿宋_GBK" w:cs="Times New Roman"/>
          <w:b w:val="0"/>
          <w:color w:val="000000"/>
          <w:sz w:val="28"/>
        </w:rPr>
        <w:t>.</w:t>
      </w:r>
      <w:r>
        <w:rPr>
          <w:rFonts w:hint="eastAsia" w:eastAsia="方正仿宋_GBK" w:cs="Times New Roman"/>
          <w:b w:val="0"/>
          <w:color w:val="000000"/>
          <w:sz w:val="28"/>
          <w:lang w:val="en-US" w:eastAsia="zh-CN"/>
        </w:rPr>
        <w:t>6</w:t>
      </w:r>
      <w:r>
        <w:rPr>
          <w:rFonts w:ascii="Times New Roman" w:hAnsi="Times New Roman" w:eastAsia="方正仿宋_GBK" w:cs="Times New Roman"/>
          <w:b w:val="0"/>
          <w:color w:val="000000"/>
          <w:sz w:val="28"/>
        </w:rPr>
        <w:t>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pPr w:leftFromText="180" w:rightFromText="180" w:vertAnchor="text" w:horzAnchor="page" w:tblpX="1227" w:tblpY="5"/>
        <w:tblOverlap w:val="never"/>
        <w:tblW w:w="1474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13"/>
        <w:gridCol w:w="4914"/>
        <w:gridCol w:w="49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8" w:hRule="atLeast"/>
          <w:tblHeader/>
        </w:trPr>
        <w:tc>
          <w:tcPr>
            <w:tcW w:w="4913" w:type="dxa"/>
            <w:tcBorders>
              <w:top w:val="single" w:color="FFFFFF" w:sz="6" w:space="0"/>
              <w:left w:val="single" w:color="FFFFFF" w:sz="6" w:space="0"/>
              <w:right w:val="single" w:color="FFFFFF" w:sz="6" w:space="0"/>
            </w:tcBorders>
            <w:noWrap w:val="0"/>
            <w:vAlign w:val="center"/>
          </w:tcPr>
          <w:p>
            <w:pPr>
              <w:pStyle w:val="9"/>
            </w:pPr>
            <w:r>
              <w:t>492石家庄市社会科学院</w:t>
            </w:r>
          </w:p>
        </w:tc>
        <w:tc>
          <w:tcPr>
            <w:tcW w:w="4914" w:type="dxa"/>
            <w:tcBorders>
              <w:top w:val="single" w:color="FFFFFF" w:sz="6" w:space="0"/>
              <w:left w:val="single" w:color="FFFFFF" w:sz="6" w:space="0"/>
              <w:right w:val="single" w:color="FFFFFF" w:sz="6" w:space="0"/>
            </w:tcBorders>
            <w:noWrap w:val="0"/>
            <w:vAlign w:val="center"/>
          </w:tcPr>
          <w:p>
            <w:pPr>
              <w:pStyle w:val="7"/>
            </w:pPr>
            <w:r>
              <w:rPr>
                <w:rFonts w:hint="eastAsia"/>
                <w:lang w:val="en-US" w:eastAsia="zh-CN"/>
              </w:rPr>
              <w:t xml:space="preserve">            </w:t>
            </w:r>
          </w:p>
        </w:tc>
        <w:tc>
          <w:tcPr>
            <w:tcW w:w="4913" w:type="dxa"/>
            <w:tcBorders>
              <w:top w:val="single" w:color="FFFFFF" w:sz="6" w:space="0"/>
              <w:left w:val="single" w:color="FFFFFF" w:sz="6" w:space="0"/>
              <w:right w:val="single" w:color="FFFFFF" w:sz="6" w:space="0"/>
            </w:tcBorders>
            <w:noWrap w:val="0"/>
            <w:vAlign w:val="top"/>
          </w:tcPr>
          <w:p>
            <w:pPr>
              <w:ind w:firstLine="1920" w:firstLineChars="800"/>
            </w:pPr>
            <w:r>
              <w:t>截止时间：202</w:t>
            </w:r>
            <w:r>
              <w:rPr>
                <w:rFonts w:hint="eastAsia"/>
                <w:lang w:val="en-US" w:eastAsia="zh-CN"/>
              </w:rPr>
              <w:t>4</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4" w:hRule="atLeast"/>
          <w:tblHeader/>
        </w:trPr>
        <w:tc>
          <w:tcPr>
            <w:tcW w:w="4913" w:type="dxa"/>
            <w:noWrap w:val="0"/>
            <w:vAlign w:val="center"/>
          </w:tcPr>
          <w:p>
            <w:pPr>
              <w:pStyle w:val="10"/>
            </w:pPr>
            <w:r>
              <w:t>项   目</w:t>
            </w:r>
          </w:p>
        </w:tc>
        <w:tc>
          <w:tcPr>
            <w:tcW w:w="4914" w:type="dxa"/>
            <w:noWrap w:val="0"/>
            <w:vAlign w:val="center"/>
          </w:tcPr>
          <w:p>
            <w:pPr>
              <w:pStyle w:val="10"/>
            </w:pPr>
            <w:r>
              <w:t>数量</w:t>
            </w:r>
          </w:p>
        </w:tc>
        <w:tc>
          <w:tcPr>
            <w:tcW w:w="4913" w:type="dxa"/>
            <w:noWrap w:val="0"/>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2"/>
              <w:jc w:val="center"/>
              <w:rPr>
                <w:rFonts w:hint="eastAsia" w:eastAsia="方正书宋_GBK"/>
                <w:lang w:eastAsia="zh-CN"/>
              </w:rPr>
            </w:pPr>
            <w:r>
              <w:rPr>
                <w:rFonts w:hint="eastAsia"/>
                <w:lang w:eastAsia="zh-CN"/>
              </w:rPr>
              <w:t>资产总额</w:t>
            </w:r>
          </w:p>
        </w:tc>
        <w:tc>
          <w:tcPr>
            <w:tcW w:w="4914" w:type="dxa"/>
            <w:noWrap w:val="0"/>
            <w:vAlign w:val="center"/>
          </w:tcPr>
          <w:p>
            <w:pPr>
              <w:pStyle w:val="13"/>
              <w:rPr>
                <w:rFonts w:hint="default" w:eastAsia="方正书宋_GBK"/>
                <w:lang w:val="en-US" w:eastAsia="zh-CN"/>
              </w:rPr>
            </w:pPr>
            <w:r>
              <w:rPr>
                <w:rFonts w:hint="eastAsia"/>
                <w:lang w:val="en-US" w:eastAsia="zh-CN"/>
              </w:rPr>
              <w:t>360</w:t>
            </w:r>
          </w:p>
        </w:tc>
        <w:tc>
          <w:tcPr>
            <w:tcW w:w="4913" w:type="dxa"/>
            <w:noWrap w:val="0"/>
            <w:vAlign w:val="center"/>
          </w:tcPr>
          <w:p>
            <w:pPr>
              <w:pStyle w:val="11"/>
              <w:jc w:val="center"/>
              <w:rPr>
                <w:rFonts w:hint="default" w:eastAsia="方正书宋_GBK"/>
                <w:lang w:val="en" w:eastAsia="zh-CN"/>
              </w:rPr>
            </w:pPr>
            <w:r>
              <w:rPr>
                <w:rFonts w:hint="default" w:eastAsia="方正书宋_GBK"/>
                <w:lang w:val="en" w:eastAsia="zh-CN"/>
              </w:rPr>
              <w:t>1</w:t>
            </w:r>
            <w:r>
              <w:rPr>
                <w:rFonts w:hint="eastAsia"/>
                <w:lang w:val="en-US" w:eastAsia="zh-CN"/>
              </w:rPr>
              <w:t>58</w:t>
            </w:r>
            <w:r>
              <w:rPr>
                <w:rFonts w:hint="default" w:eastAsia="方正书宋_GBK"/>
                <w:lang w:val="en" w:eastAsia="zh-CN"/>
              </w:rPr>
              <w:t>.</w:t>
            </w:r>
            <w:r>
              <w:rPr>
                <w:rFonts w:hint="eastAsia"/>
                <w:lang w:val="en-US" w:eastAsia="zh-CN"/>
              </w:rP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2"/>
              <w:jc w:val="left"/>
              <w:rPr>
                <w:rFonts w:hint="default" w:eastAsia="方正书宋_GBK"/>
                <w:lang w:val="en-US" w:eastAsia="zh-CN"/>
              </w:rPr>
            </w:pPr>
            <w:r>
              <w:rPr>
                <w:rFonts w:hint="eastAsia"/>
                <w:lang w:val="en-US" w:eastAsia="zh-CN"/>
              </w:rPr>
              <w:t>1.房屋（平方米）</w:t>
            </w:r>
          </w:p>
        </w:tc>
        <w:tc>
          <w:tcPr>
            <w:tcW w:w="4914" w:type="dxa"/>
            <w:noWrap w:val="0"/>
            <w:vAlign w:val="center"/>
          </w:tcPr>
          <w:p>
            <w:pPr>
              <w:pStyle w:val="13"/>
              <w:rPr>
                <w:rFonts w:hint="eastAsia" w:eastAsia="方正书宋_GBK"/>
                <w:lang w:eastAsia="zh-CN"/>
              </w:rPr>
            </w:pPr>
            <w:r>
              <w:rPr>
                <w:rFonts w:hint="eastAsia"/>
                <w:lang w:eastAsia="zh-CN"/>
              </w:rPr>
              <w:t>——</w:t>
            </w:r>
          </w:p>
        </w:tc>
        <w:tc>
          <w:tcPr>
            <w:tcW w:w="4913" w:type="dxa"/>
            <w:noWrap w:val="0"/>
            <w:vAlign w:val="center"/>
          </w:tcPr>
          <w:p>
            <w:pPr>
              <w:pStyle w:val="11"/>
              <w:jc w:val="center"/>
              <w:rPr>
                <w:rFonts w:hint="default"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2"/>
              <w:jc w:val="left"/>
              <w:rPr>
                <w:rFonts w:hint="default" w:eastAsia="方正书宋_GBK"/>
                <w:lang w:val="en-US" w:eastAsia="zh-CN"/>
              </w:rPr>
            </w:pPr>
            <w:r>
              <w:rPr>
                <w:rFonts w:hint="eastAsia"/>
                <w:lang w:val="en-US" w:eastAsia="zh-CN"/>
              </w:rPr>
              <w:t xml:space="preserve">    其中：办公用房（平方米）</w:t>
            </w:r>
          </w:p>
        </w:tc>
        <w:tc>
          <w:tcPr>
            <w:tcW w:w="4914" w:type="dxa"/>
            <w:noWrap w:val="0"/>
            <w:vAlign w:val="center"/>
          </w:tcPr>
          <w:p>
            <w:pPr>
              <w:pStyle w:val="13"/>
              <w:rPr>
                <w:rFonts w:hint="eastAsia" w:eastAsia="方正书宋_GBK"/>
                <w:lang w:eastAsia="zh-CN"/>
              </w:rPr>
            </w:pPr>
            <w:r>
              <w:rPr>
                <w:rFonts w:hint="eastAsia"/>
                <w:lang w:eastAsia="zh-CN"/>
              </w:rPr>
              <w:t>——</w:t>
            </w:r>
          </w:p>
        </w:tc>
        <w:tc>
          <w:tcPr>
            <w:tcW w:w="4913" w:type="dxa"/>
            <w:noWrap w:val="0"/>
            <w:vAlign w:val="center"/>
          </w:tcPr>
          <w:p>
            <w:pPr>
              <w:pStyle w:val="11"/>
              <w:jc w:val="center"/>
              <w:rPr>
                <w:rFonts w:hint="default"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2"/>
              <w:jc w:val="left"/>
              <w:rPr>
                <w:rFonts w:hint="default" w:eastAsia="方正书宋_GBK"/>
                <w:lang w:val="en-US" w:eastAsia="zh-CN"/>
              </w:rPr>
            </w:pPr>
            <w:r>
              <w:rPr>
                <w:rFonts w:hint="eastAsia"/>
                <w:lang w:val="en-US" w:eastAsia="zh-CN"/>
              </w:rPr>
              <w:t>2.车辆（台、辆）</w:t>
            </w:r>
          </w:p>
        </w:tc>
        <w:tc>
          <w:tcPr>
            <w:tcW w:w="4914" w:type="dxa"/>
            <w:noWrap w:val="0"/>
            <w:vAlign w:val="center"/>
          </w:tcPr>
          <w:p>
            <w:pPr>
              <w:pStyle w:val="13"/>
              <w:rPr>
                <w:rFonts w:hint="eastAsia" w:eastAsia="方正书宋_GBK"/>
                <w:lang w:val="en-US" w:eastAsia="zh-CN"/>
              </w:rPr>
            </w:pPr>
            <w:r>
              <w:rPr>
                <w:rFonts w:hint="eastAsia"/>
                <w:lang w:val="en-US" w:eastAsia="zh-CN"/>
              </w:rPr>
              <w:t>2</w:t>
            </w:r>
          </w:p>
        </w:tc>
        <w:tc>
          <w:tcPr>
            <w:tcW w:w="4913" w:type="dxa"/>
            <w:noWrap w:val="0"/>
            <w:vAlign w:val="center"/>
          </w:tcPr>
          <w:p>
            <w:pPr>
              <w:pStyle w:val="11"/>
              <w:jc w:val="center"/>
              <w:rPr>
                <w:rFonts w:hint="default" w:eastAsia="方正书宋_GBK"/>
                <w:lang w:val="en" w:eastAsia="zh-CN"/>
              </w:rPr>
            </w:pPr>
            <w:r>
              <w:rPr>
                <w:rFonts w:hint="default"/>
                <w:lang w:val="en" w:eastAsia="zh-CN"/>
              </w:rPr>
              <w:t>39.59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2"/>
              <w:jc w:val="left"/>
              <w:rPr>
                <w:rFonts w:hint="default" w:eastAsia="方正书宋_GBK"/>
                <w:lang w:val="en-US" w:eastAsia="zh-CN"/>
              </w:rPr>
            </w:pPr>
            <w:r>
              <w:rPr>
                <w:rFonts w:hint="eastAsia"/>
                <w:lang w:val="en-US" w:eastAsia="zh-CN"/>
              </w:rPr>
              <w:t>3.单价在50万元以上的设备</w:t>
            </w:r>
          </w:p>
        </w:tc>
        <w:tc>
          <w:tcPr>
            <w:tcW w:w="4914" w:type="dxa"/>
            <w:noWrap w:val="0"/>
            <w:vAlign w:val="center"/>
          </w:tcPr>
          <w:p>
            <w:pPr>
              <w:pStyle w:val="13"/>
              <w:rPr>
                <w:rFonts w:hint="eastAsia" w:eastAsia="方正书宋_GBK"/>
                <w:lang w:eastAsia="zh-CN"/>
              </w:rPr>
            </w:pPr>
            <w:r>
              <w:rPr>
                <w:rFonts w:hint="eastAsia"/>
                <w:lang w:eastAsia="zh-CN"/>
              </w:rPr>
              <w:t>——</w:t>
            </w:r>
          </w:p>
        </w:tc>
        <w:tc>
          <w:tcPr>
            <w:tcW w:w="4913" w:type="dxa"/>
            <w:noWrap w:val="0"/>
            <w:vAlign w:val="center"/>
          </w:tcPr>
          <w:p>
            <w:pPr>
              <w:pStyle w:val="11"/>
              <w:jc w:val="center"/>
              <w:rPr>
                <w:rFonts w:hint="default"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rPr>
        <w:tc>
          <w:tcPr>
            <w:tcW w:w="4913" w:type="dxa"/>
            <w:noWrap w:val="0"/>
            <w:vAlign w:val="center"/>
          </w:tcPr>
          <w:p>
            <w:pPr>
              <w:pStyle w:val="12"/>
              <w:jc w:val="left"/>
              <w:rPr>
                <w:rFonts w:hint="default" w:eastAsia="方正书宋_GBK"/>
                <w:lang w:val="en-US" w:eastAsia="zh-CN"/>
              </w:rPr>
            </w:pPr>
            <w:r>
              <w:rPr>
                <w:rFonts w:hint="eastAsia"/>
                <w:lang w:val="en-US" w:eastAsia="zh-CN"/>
              </w:rPr>
              <w:t>4.其他固定资产</w:t>
            </w:r>
          </w:p>
        </w:tc>
        <w:tc>
          <w:tcPr>
            <w:tcW w:w="4914" w:type="dxa"/>
            <w:noWrap w:val="0"/>
            <w:vAlign w:val="center"/>
          </w:tcPr>
          <w:p>
            <w:pPr>
              <w:pStyle w:val="13"/>
              <w:rPr>
                <w:rFonts w:hint="default" w:eastAsia="方正书宋_GBK"/>
                <w:lang w:val="en-US" w:eastAsia="zh-CN"/>
              </w:rPr>
            </w:pPr>
            <w:r>
              <w:rPr>
                <w:rFonts w:hint="eastAsia"/>
                <w:lang w:val="en-US" w:eastAsia="zh-CN"/>
              </w:rPr>
              <w:t>358</w:t>
            </w:r>
          </w:p>
        </w:tc>
        <w:tc>
          <w:tcPr>
            <w:tcW w:w="4913" w:type="dxa"/>
            <w:noWrap w:val="0"/>
            <w:vAlign w:val="center"/>
          </w:tcPr>
          <w:p>
            <w:pPr>
              <w:pStyle w:val="11"/>
              <w:jc w:val="center"/>
              <w:rPr>
                <w:rFonts w:hint="default" w:eastAsia="方正书宋_GBK"/>
                <w:lang w:val="en-US" w:eastAsia="zh-CN"/>
              </w:rPr>
            </w:pPr>
            <w:r>
              <w:rPr>
                <w:rFonts w:hint="eastAsia"/>
                <w:lang w:val="en-US" w:eastAsia="zh-CN"/>
              </w:rPr>
              <w:t>120.01</w:t>
            </w:r>
          </w:p>
        </w:tc>
      </w:tr>
    </w:tbl>
    <w:p>
      <w:pPr>
        <w:spacing w:before="0" w:after="0" w:line="240" w:lineRule="auto"/>
        <w:jc w:val="left"/>
        <w:outlineLvl w:val="9"/>
        <w:rPr>
          <w:rFonts w:ascii="方正书宋_GBK" w:hAnsi="方正书宋_GBK" w:eastAsia="方正书宋_GBK" w:cs="方正书宋_GBK"/>
          <w:color w:val="000000"/>
          <w:sz w:val="21"/>
        </w:rPr>
      </w:pPr>
      <w:bookmarkStart w:id="1" w:name="_GoBack"/>
      <w:bookmarkEnd w:id="1"/>
    </w:p>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黑体">
    <w:altName w:val="方正黑体_GBK"/>
    <w:panose1 w:val="00000000000000000000"/>
    <w:charset w:val="00"/>
    <w:family w:val="auto"/>
    <w:pitch w:val="default"/>
    <w:sig w:usb0="00000000" w:usb1="00000000" w:usb2="00000000" w:usb3="00000000" w:csb0="00000000" w:csb1="00000000"/>
  </w:font>
  <w:font w:name="方正楷体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false"/>
  <w:bordersDoNotSurroundFooter w:val="false"/>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rsids>
    <w:rsidRoot w:val="00000000"/>
    <w:rsid w:val="ADCF728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22</Pages>
  <TotalTime>0</TotalTime>
  <ScaleCrop>false</ScaleCrop>
  <LinksUpToDate>false</LinksUpToDate>
  <Application>WPS Office_11.8.2.10251_F1E327BC-269C-435d-A152-05C5408002CA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2025-01-23T18:49:00Z</dcterms:created>
  <dc:creator>uos</dc:creator>
  <cp:lastModifiedBy>uos</cp:lastModifiedBy>
  <dcterms:modified xsi:type="dcterms:W3CDTF">2025-01-23T11:01:31Z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2052-11.8.2.10251</vt:lpwstr>
  </property>
</Properties>
</file>