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一、石家庄市井陉矿区人民法院本级收支预算</w:t>
      </w:r>
      <w:r>
        <w:tab/>
      </w:r>
      <w:r>
        <w:fldChar w:fldCharType="begin"/>
      </w:r>
      <w:r>
        <w:instrText xml:space="preserve">PAGEREF _Toc_4_4_0000000021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614石家庄市井陉矿区人民法院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1445.33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1254.54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1445.33</w:t>
            </w:r>
          </w:p>
        </w:tc>
        <w:tc>
          <w:tcPr>
            <w:tcW w:w="4535" w:type="dxa"/>
            <w:vAlign w:val="center"/>
          </w:tcPr>
          <w:p>
            <w:pPr>
              <w:pStyle w:val="14"/>
            </w:pPr>
            <w:r>
              <w:t>本年支出合计</w:t>
            </w:r>
          </w:p>
        </w:tc>
        <w:tc>
          <w:tcPr>
            <w:tcW w:w="2126" w:type="dxa"/>
            <w:vAlign w:val="center"/>
          </w:tcPr>
          <w:p>
            <w:pPr>
              <w:pStyle w:val="15"/>
            </w:pPr>
            <w:r>
              <w:t>1527.95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82.62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1527.95</w:t>
            </w:r>
          </w:p>
        </w:tc>
        <w:tc>
          <w:tcPr>
            <w:tcW w:w="4535" w:type="dxa"/>
            <w:vAlign w:val="center"/>
          </w:tcPr>
          <w:p>
            <w:pPr>
              <w:pStyle w:val="14"/>
            </w:pPr>
            <w:r>
              <w:t>支出总计</w:t>
            </w:r>
          </w:p>
        </w:tc>
        <w:tc>
          <w:tcPr>
            <w:tcW w:w="2126" w:type="dxa"/>
            <w:vAlign w:val="center"/>
          </w:tcPr>
          <w:p>
            <w:pPr>
              <w:pStyle w:val="15"/>
            </w:pPr>
            <w:r>
              <w:t>1527.95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614石家庄市井陉矿区人民法院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1527.95</w:t>
            </w:r>
          </w:p>
        </w:tc>
        <w:tc>
          <w:tcPr>
            <w:tcW w:w="1134" w:type="dxa"/>
            <w:vAlign w:val="center"/>
          </w:tcPr>
          <w:p>
            <w:pPr>
              <w:pStyle w:val="15"/>
            </w:pPr>
            <w:r>
              <w:t>1445.33</w:t>
            </w:r>
          </w:p>
        </w:tc>
        <w:tc>
          <w:tcPr>
            <w:tcW w:w="1134" w:type="dxa"/>
            <w:vAlign w:val="center"/>
          </w:tcPr>
          <w:p>
            <w:pPr>
              <w:pStyle w:val="15"/>
            </w:pPr>
            <w:r>
              <w:t>1445.33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1254.54</w:t>
            </w:r>
          </w:p>
        </w:tc>
        <w:tc>
          <w:tcPr>
            <w:tcW w:w="1134" w:type="dxa"/>
            <w:vAlign w:val="center"/>
          </w:tcPr>
          <w:p>
            <w:pPr>
              <w:pStyle w:val="11"/>
            </w:pPr>
            <w:r>
              <w:t>1171.92</w:t>
            </w:r>
          </w:p>
        </w:tc>
        <w:tc>
          <w:tcPr>
            <w:tcW w:w="1134" w:type="dxa"/>
            <w:vAlign w:val="center"/>
          </w:tcPr>
          <w:p>
            <w:pPr>
              <w:pStyle w:val="11"/>
            </w:pPr>
            <w:r>
              <w:t>1171.92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1254.54</w:t>
            </w:r>
          </w:p>
        </w:tc>
        <w:tc>
          <w:tcPr>
            <w:tcW w:w="1134" w:type="dxa"/>
            <w:vAlign w:val="center"/>
          </w:tcPr>
          <w:p>
            <w:pPr>
              <w:pStyle w:val="11"/>
            </w:pPr>
            <w:r>
              <w:t>1171.92</w:t>
            </w:r>
          </w:p>
        </w:tc>
        <w:tc>
          <w:tcPr>
            <w:tcW w:w="1134" w:type="dxa"/>
            <w:vAlign w:val="center"/>
          </w:tcPr>
          <w:p>
            <w:pPr>
              <w:pStyle w:val="11"/>
            </w:pPr>
            <w:r>
              <w:t>1171.92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716.60</w:t>
            </w:r>
          </w:p>
        </w:tc>
        <w:tc>
          <w:tcPr>
            <w:tcW w:w="1134" w:type="dxa"/>
            <w:vAlign w:val="center"/>
          </w:tcPr>
          <w:p>
            <w:pPr>
              <w:pStyle w:val="11"/>
            </w:pPr>
            <w:r>
              <w:t>716.60</w:t>
            </w:r>
          </w:p>
        </w:tc>
        <w:tc>
          <w:tcPr>
            <w:tcW w:w="1134" w:type="dxa"/>
            <w:vAlign w:val="center"/>
          </w:tcPr>
          <w:p>
            <w:pPr>
              <w:pStyle w:val="11"/>
            </w:pPr>
            <w:r>
              <w:t>716.60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375.25</w:t>
            </w:r>
          </w:p>
        </w:tc>
        <w:tc>
          <w:tcPr>
            <w:tcW w:w="1134" w:type="dxa"/>
            <w:vAlign w:val="center"/>
          </w:tcPr>
          <w:p>
            <w:pPr>
              <w:pStyle w:val="11"/>
            </w:pPr>
            <w:r>
              <w:t>375.25</w:t>
            </w:r>
          </w:p>
        </w:tc>
        <w:tc>
          <w:tcPr>
            <w:tcW w:w="1134" w:type="dxa"/>
            <w:vAlign w:val="center"/>
          </w:tcPr>
          <w:p>
            <w:pPr>
              <w:pStyle w:val="11"/>
            </w:pPr>
            <w:r>
              <w:t>375.25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162.69</w:t>
            </w:r>
          </w:p>
        </w:tc>
        <w:tc>
          <w:tcPr>
            <w:tcW w:w="1134" w:type="dxa"/>
            <w:vAlign w:val="center"/>
          </w:tcPr>
          <w:p>
            <w:pPr>
              <w:pStyle w:val="11"/>
            </w:pPr>
            <w:r>
              <w:t>80.07</w:t>
            </w:r>
          </w:p>
        </w:tc>
        <w:tc>
          <w:tcPr>
            <w:tcW w:w="1134" w:type="dxa"/>
            <w:vAlign w:val="center"/>
          </w:tcPr>
          <w:p>
            <w:pPr>
              <w:pStyle w:val="11"/>
            </w:pPr>
            <w:r>
              <w:t>80.07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171.41</w:t>
            </w:r>
          </w:p>
        </w:tc>
        <w:tc>
          <w:tcPr>
            <w:tcW w:w="1134" w:type="dxa"/>
            <w:vAlign w:val="center"/>
          </w:tcPr>
          <w:p>
            <w:pPr>
              <w:pStyle w:val="11"/>
            </w:pPr>
            <w:r>
              <w:t>171.41</w:t>
            </w:r>
          </w:p>
        </w:tc>
        <w:tc>
          <w:tcPr>
            <w:tcW w:w="1134" w:type="dxa"/>
            <w:vAlign w:val="center"/>
          </w:tcPr>
          <w:p>
            <w:pPr>
              <w:pStyle w:val="11"/>
            </w:pPr>
            <w:r>
              <w:t>171.41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169.85</w:t>
            </w:r>
          </w:p>
        </w:tc>
        <w:tc>
          <w:tcPr>
            <w:tcW w:w="1134" w:type="dxa"/>
            <w:vAlign w:val="center"/>
          </w:tcPr>
          <w:p>
            <w:pPr>
              <w:pStyle w:val="11"/>
            </w:pPr>
            <w:r>
              <w:t>169.85</w:t>
            </w:r>
          </w:p>
        </w:tc>
        <w:tc>
          <w:tcPr>
            <w:tcW w:w="1134" w:type="dxa"/>
            <w:vAlign w:val="center"/>
          </w:tcPr>
          <w:p>
            <w:pPr>
              <w:pStyle w:val="11"/>
            </w:pPr>
            <w:r>
              <w:t>169.85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105.85</w:t>
            </w:r>
          </w:p>
        </w:tc>
        <w:tc>
          <w:tcPr>
            <w:tcW w:w="1134" w:type="dxa"/>
            <w:vAlign w:val="center"/>
          </w:tcPr>
          <w:p>
            <w:pPr>
              <w:pStyle w:val="11"/>
            </w:pPr>
            <w:r>
              <w:t>105.85</w:t>
            </w:r>
          </w:p>
        </w:tc>
        <w:tc>
          <w:tcPr>
            <w:tcW w:w="1134" w:type="dxa"/>
            <w:vAlign w:val="center"/>
          </w:tcPr>
          <w:p>
            <w:pPr>
              <w:pStyle w:val="11"/>
            </w:pPr>
            <w:r>
              <w:t>105.85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1527.95</w:t>
            </w:r>
          </w:p>
        </w:tc>
        <w:tc>
          <w:tcPr>
            <w:tcW w:w="1361" w:type="dxa"/>
            <w:vAlign w:val="center"/>
          </w:tcPr>
          <w:p>
            <w:pPr>
              <w:pStyle w:val="15"/>
            </w:pPr>
            <w:r>
              <w:t>990.01</w:t>
            </w:r>
          </w:p>
        </w:tc>
        <w:tc>
          <w:tcPr>
            <w:tcW w:w="1361" w:type="dxa"/>
            <w:vAlign w:val="center"/>
          </w:tcPr>
          <w:p>
            <w:pPr>
              <w:pStyle w:val="15"/>
            </w:pPr>
            <w:r>
              <w:t>537.94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1254.54</w:t>
            </w:r>
          </w:p>
        </w:tc>
        <w:tc>
          <w:tcPr>
            <w:tcW w:w="1361" w:type="dxa"/>
            <w:vAlign w:val="center"/>
          </w:tcPr>
          <w:p>
            <w:pPr>
              <w:pStyle w:val="11"/>
            </w:pPr>
            <w:r>
              <w:t>716.60</w:t>
            </w:r>
          </w:p>
        </w:tc>
        <w:tc>
          <w:tcPr>
            <w:tcW w:w="1361" w:type="dxa"/>
            <w:vAlign w:val="center"/>
          </w:tcPr>
          <w:p>
            <w:pPr>
              <w:pStyle w:val="11"/>
            </w:pPr>
            <w:r>
              <w:t>537.94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1254.54</w:t>
            </w:r>
          </w:p>
        </w:tc>
        <w:tc>
          <w:tcPr>
            <w:tcW w:w="1361" w:type="dxa"/>
            <w:vAlign w:val="center"/>
          </w:tcPr>
          <w:p>
            <w:pPr>
              <w:pStyle w:val="11"/>
            </w:pPr>
            <w:r>
              <w:t>716.60</w:t>
            </w:r>
          </w:p>
        </w:tc>
        <w:tc>
          <w:tcPr>
            <w:tcW w:w="1361" w:type="dxa"/>
            <w:vAlign w:val="center"/>
          </w:tcPr>
          <w:p>
            <w:pPr>
              <w:pStyle w:val="11"/>
            </w:pPr>
            <w:r>
              <w:t>537.94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716.60</w:t>
            </w:r>
          </w:p>
        </w:tc>
        <w:tc>
          <w:tcPr>
            <w:tcW w:w="1361" w:type="dxa"/>
            <w:vAlign w:val="center"/>
          </w:tcPr>
          <w:p>
            <w:pPr>
              <w:pStyle w:val="11"/>
            </w:pPr>
            <w:r>
              <w:t>716.60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375.25</w:t>
            </w:r>
          </w:p>
        </w:tc>
        <w:tc>
          <w:tcPr>
            <w:tcW w:w="1361" w:type="dxa"/>
            <w:vAlign w:val="center"/>
          </w:tcPr>
          <w:p>
            <w:pPr>
              <w:pStyle w:val="11"/>
            </w:pPr>
          </w:p>
        </w:tc>
        <w:tc>
          <w:tcPr>
            <w:tcW w:w="1361" w:type="dxa"/>
            <w:vAlign w:val="center"/>
          </w:tcPr>
          <w:p>
            <w:pPr>
              <w:pStyle w:val="11"/>
            </w:pPr>
            <w:r>
              <w:t>375.25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162.69</w:t>
            </w:r>
          </w:p>
        </w:tc>
        <w:tc>
          <w:tcPr>
            <w:tcW w:w="1361" w:type="dxa"/>
            <w:vAlign w:val="center"/>
          </w:tcPr>
          <w:p>
            <w:pPr>
              <w:pStyle w:val="11"/>
            </w:pPr>
          </w:p>
        </w:tc>
        <w:tc>
          <w:tcPr>
            <w:tcW w:w="1361" w:type="dxa"/>
            <w:vAlign w:val="center"/>
          </w:tcPr>
          <w:p>
            <w:pPr>
              <w:pStyle w:val="11"/>
            </w:pPr>
            <w:r>
              <w:t>162.69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171.41</w:t>
            </w:r>
          </w:p>
        </w:tc>
        <w:tc>
          <w:tcPr>
            <w:tcW w:w="1361" w:type="dxa"/>
            <w:vAlign w:val="center"/>
          </w:tcPr>
          <w:p>
            <w:pPr>
              <w:pStyle w:val="11"/>
            </w:pPr>
            <w:r>
              <w:t>171.41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169.85</w:t>
            </w:r>
          </w:p>
        </w:tc>
        <w:tc>
          <w:tcPr>
            <w:tcW w:w="1361" w:type="dxa"/>
            <w:vAlign w:val="center"/>
          </w:tcPr>
          <w:p>
            <w:pPr>
              <w:pStyle w:val="11"/>
            </w:pPr>
            <w:r>
              <w:t>169.85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105.85</w:t>
            </w:r>
          </w:p>
        </w:tc>
        <w:tc>
          <w:tcPr>
            <w:tcW w:w="1361" w:type="dxa"/>
            <w:vAlign w:val="center"/>
          </w:tcPr>
          <w:p>
            <w:pPr>
              <w:pStyle w:val="11"/>
            </w:pPr>
            <w:r>
              <w:t>105.85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1.56</w:t>
            </w:r>
          </w:p>
        </w:tc>
        <w:tc>
          <w:tcPr>
            <w:tcW w:w="1361" w:type="dxa"/>
            <w:vAlign w:val="center"/>
          </w:tcPr>
          <w:p>
            <w:pPr>
              <w:pStyle w:val="11"/>
            </w:pPr>
            <w:r>
              <w:t>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1.56</w:t>
            </w:r>
          </w:p>
        </w:tc>
        <w:tc>
          <w:tcPr>
            <w:tcW w:w="1361" w:type="dxa"/>
            <w:vAlign w:val="center"/>
          </w:tcPr>
          <w:p>
            <w:pPr>
              <w:pStyle w:val="11"/>
            </w:pPr>
            <w:r>
              <w:t>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1445.33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1254.54</w:t>
            </w:r>
          </w:p>
        </w:tc>
        <w:tc>
          <w:tcPr>
            <w:tcW w:w="1474" w:type="dxa"/>
            <w:vAlign w:val="center"/>
          </w:tcPr>
          <w:p>
            <w:pPr>
              <w:pStyle w:val="11"/>
            </w:pPr>
            <w:r>
              <w:t>1254.54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171.41</w:t>
            </w:r>
          </w:p>
        </w:tc>
        <w:tc>
          <w:tcPr>
            <w:tcW w:w="1474" w:type="dxa"/>
            <w:vAlign w:val="center"/>
          </w:tcPr>
          <w:p>
            <w:pPr>
              <w:pStyle w:val="11"/>
            </w:pPr>
            <w:r>
              <w:t>171.41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46.00</w:t>
            </w:r>
          </w:p>
        </w:tc>
        <w:tc>
          <w:tcPr>
            <w:tcW w:w="1474" w:type="dxa"/>
            <w:vAlign w:val="center"/>
          </w:tcPr>
          <w:p>
            <w:pPr>
              <w:pStyle w:val="11"/>
            </w:pPr>
            <w:r>
              <w:t>46.00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56.00</w:t>
            </w:r>
          </w:p>
        </w:tc>
        <w:tc>
          <w:tcPr>
            <w:tcW w:w="1474" w:type="dxa"/>
            <w:vAlign w:val="center"/>
          </w:tcPr>
          <w:p>
            <w:pPr>
              <w:pStyle w:val="11"/>
            </w:pPr>
            <w:r>
              <w:t>56.00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1445.33</w:t>
            </w:r>
          </w:p>
        </w:tc>
        <w:tc>
          <w:tcPr>
            <w:tcW w:w="3402" w:type="dxa"/>
            <w:vAlign w:val="center"/>
          </w:tcPr>
          <w:p>
            <w:pPr>
              <w:pStyle w:val="14"/>
            </w:pPr>
            <w:r>
              <w:t>本年支出合计</w:t>
            </w:r>
          </w:p>
        </w:tc>
        <w:tc>
          <w:tcPr>
            <w:tcW w:w="1474" w:type="dxa"/>
            <w:vAlign w:val="center"/>
          </w:tcPr>
          <w:p>
            <w:pPr>
              <w:pStyle w:val="15"/>
            </w:pPr>
            <w:r>
              <w:t>1527.95</w:t>
            </w:r>
          </w:p>
        </w:tc>
        <w:tc>
          <w:tcPr>
            <w:tcW w:w="1474" w:type="dxa"/>
            <w:vAlign w:val="center"/>
          </w:tcPr>
          <w:p>
            <w:pPr>
              <w:pStyle w:val="15"/>
            </w:pPr>
            <w:r>
              <w:t>1527.95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82.62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82.62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1527.95</w:t>
            </w:r>
          </w:p>
        </w:tc>
        <w:tc>
          <w:tcPr>
            <w:tcW w:w="3402" w:type="dxa"/>
            <w:vAlign w:val="center"/>
          </w:tcPr>
          <w:p>
            <w:pPr>
              <w:pStyle w:val="14"/>
            </w:pPr>
            <w:r>
              <w:t>支出总计</w:t>
            </w:r>
          </w:p>
        </w:tc>
        <w:tc>
          <w:tcPr>
            <w:tcW w:w="1474" w:type="dxa"/>
            <w:vAlign w:val="center"/>
          </w:tcPr>
          <w:p>
            <w:pPr>
              <w:pStyle w:val="15"/>
            </w:pPr>
            <w:r>
              <w:t>1527.95</w:t>
            </w:r>
          </w:p>
        </w:tc>
        <w:tc>
          <w:tcPr>
            <w:tcW w:w="1474" w:type="dxa"/>
            <w:vAlign w:val="center"/>
          </w:tcPr>
          <w:p>
            <w:pPr>
              <w:pStyle w:val="15"/>
            </w:pPr>
            <w:r>
              <w:t>1527.95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1527.95</w:t>
            </w:r>
          </w:p>
        </w:tc>
        <w:tc>
          <w:tcPr>
            <w:tcW w:w="2551" w:type="dxa"/>
            <w:vAlign w:val="center"/>
          </w:tcPr>
          <w:p>
            <w:pPr>
              <w:pStyle w:val="15"/>
            </w:pPr>
            <w:r>
              <w:t>990.01</w:t>
            </w:r>
          </w:p>
        </w:tc>
        <w:tc>
          <w:tcPr>
            <w:tcW w:w="2551" w:type="dxa"/>
            <w:vAlign w:val="center"/>
          </w:tcPr>
          <w:p>
            <w:pPr>
              <w:pStyle w:val="15"/>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1254.54</w:t>
            </w:r>
          </w:p>
        </w:tc>
        <w:tc>
          <w:tcPr>
            <w:tcW w:w="2551" w:type="dxa"/>
            <w:vAlign w:val="center"/>
          </w:tcPr>
          <w:p>
            <w:pPr>
              <w:pStyle w:val="11"/>
            </w:pPr>
            <w:r>
              <w:t>716.60</w:t>
            </w:r>
          </w:p>
        </w:tc>
        <w:tc>
          <w:tcPr>
            <w:tcW w:w="2551" w:type="dxa"/>
            <w:vAlign w:val="center"/>
          </w:tcPr>
          <w:p>
            <w:pPr>
              <w:pStyle w:val="11"/>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1254.54</w:t>
            </w:r>
          </w:p>
        </w:tc>
        <w:tc>
          <w:tcPr>
            <w:tcW w:w="2551" w:type="dxa"/>
            <w:vAlign w:val="center"/>
          </w:tcPr>
          <w:p>
            <w:pPr>
              <w:pStyle w:val="11"/>
            </w:pPr>
            <w:r>
              <w:t>716.60</w:t>
            </w:r>
          </w:p>
        </w:tc>
        <w:tc>
          <w:tcPr>
            <w:tcW w:w="2551" w:type="dxa"/>
            <w:vAlign w:val="center"/>
          </w:tcPr>
          <w:p>
            <w:pPr>
              <w:pStyle w:val="11"/>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716.60</w:t>
            </w:r>
          </w:p>
        </w:tc>
        <w:tc>
          <w:tcPr>
            <w:tcW w:w="2551" w:type="dxa"/>
            <w:vAlign w:val="center"/>
          </w:tcPr>
          <w:p>
            <w:pPr>
              <w:pStyle w:val="11"/>
            </w:pPr>
            <w:r>
              <w:t>716.60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375.25</w:t>
            </w:r>
          </w:p>
        </w:tc>
        <w:tc>
          <w:tcPr>
            <w:tcW w:w="2551" w:type="dxa"/>
            <w:vAlign w:val="center"/>
          </w:tcPr>
          <w:p>
            <w:pPr>
              <w:pStyle w:val="11"/>
            </w:pPr>
          </w:p>
        </w:tc>
        <w:tc>
          <w:tcPr>
            <w:tcW w:w="2551" w:type="dxa"/>
            <w:vAlign w:val="center"/>
          </w:tcPr>
          <w:p>
            <w:pPr>
              <w:pStyle w:val="11"/>
            </w:pPr>
            <w:r>
              <w:t>375.25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162.69</w:t>
            </w:r>
          </w:p>
        </w:tc>
        <w:tc>
          <w:tcPr>
            <w:tcW w:w="2551" w:type="dxa"/>
            <w:vAlign w:val="center"/>
          </w:tcPr>
          <w:p>
            <w:pPr>
              <w:pStyle w:val="11"/>
            </w:pPr>
          </w:p>
        </w:tc>
        <w:tc>
          <w:tcPr>
            <w:tcW w:w="2551" w:type="dxa"/>
            <w:vAlign w:val="center"/>
          </w:tcPr>
          <w:p>
            <w:pPr>
              <w:pStyle w:val="11"/>
            </w:pPr>
            <w:r>
              <w:t>162.69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171.41</w:t>
            </w:r>
          </w:p>
        </w:tc>
        <w:tc>
          <w:tcPr>
            <w:tcW w:w="2551" w:type="dxa"/>
            <w:vAlign w:val="center"/>
          </w:tcPr>
          <w:p>
            <w:pPr>
              <w:pStyle w:val="11"/>
            </w:pPr>
            <w:r>
              <w:t>171.41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169.85</w:t>
            </w:r>
          </w:p>
        </w:tc>
        <w:tc>
          <w:tcPr>
            <w:tcW w:w="2551" w:type="dxa"/>
            <w:vAlign w:val="center"/>
          </w:tcPr>
          <w:p>
            <w:pPr>
              <w:pStyle w:val="11"/>
            </w:pPr>
            <w:r>
              <w:t>169.85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105.85</w:t>
            </w:r>
          </w:p>
        </w:tc>
        <w:tc>
          <w:tcPr>
            <w:tcW w:w="2551" w:type="dxa"/>
            <w:vAlign w:val="center"/>
          </w:tcPr>
          <w:p>
            <w:pPr>
              <w:pStyle w:val="11"/>
            </w:pPr>
            <w:r>
              <w:t>105.85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990.01</w:t>
            </w:r>
          </w:p>
        </w:tc>
        <w:tc>
          <w:tcPr>
            <w:tcW w:w="2551" w:type="dxa"/>
            <w:vAlign w:val="center"/>
          </w:tcPr>
          <w:p>
            <w:pPr>
              <w:pStyle w:val="15"/>
            </w:pPr>
            <w:r>
              <w:t>912.80</w:t>
            </w:r>
          </w:p>
        </w:tc>
        <w:tc>
          <w:tcPr>
            <w:tcW w:w="2551" w:type="dxa"/>
            <w:vAlign w:val="center"/>
          </w:tcPr>
          <w:p>
            <w:pPr>
              <w:pStyle w:val="15"/>
            </w:pPr>
            <w:r>
              <w:t>77.21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805.73</w:t>
            </w:r>
          </w:p>
        </w:tc>
        <w:tc>
          <w:tcPr>
            <w:tcW w:w="2551" w:type="dxa"/>
            <w:vAlign w:val="center"/>
          </w:tcPr>
          <w:p>
            <w:pPr>
              <w:pStyle w:val="11"/>
            </w:pPr>
            <w:r>
              <w:t>805.73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177.00</w:t>
            </w:r>
          </w:p>
        </w:tc>
        <w:tc>
          <w:tcPr>
            <w:tcW w:w="2551" w:type="dxa"/>
            <w:vAlign w:val="center"/>
          </w:tcPr>
          <w:p>
            <w:pPr>
              <w:pStyle w:val="11"/>
            </w:pPr>
            <w:r>
              <w:t>177.00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164.48</w:t>
            </w:r>
          </w:p>
        </w:tc>
        <w:tc>
          <w:tcPr>
            <w:tcW w:w="2551" w:type="dxa"/>
            <w:vAlign w:val="center"/>
          </w:tcPr>
          <w:p>
            <w:pPr>
              <w:pStyle w:val="11"/>
            </w:pPr>
            <w:r>
              <w:t>164.48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296.69</w:t>
            </w:r>
          </w:p>
        </w:tc>
        <w:tc>
          <w:tcPr>
            <w:tcW w:w="2551" w:type="dxa"/>
            <w:vAlign w:val="center"/>
          </w:tcPr>
          <w:p>
            <w:pPr>
              <w:pStyle w:val="11"/>
            </w:pPr>
            <w:r>
              <w:t>296.69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77.21</w:t>
            </w:r>
          </w:p>
        </w:tc>
        <w:tc>
          <w:tcPr>
            <w:tcW w:w="2551" w:type="dxa"/>
            <w:vAlign w:val="center"/>
          </w:tcPr>
          <w:p>
            <w:pPr>
              <w:pStyle w:val="11"/>
            </w:pPr>
          </w:p>
        </w:tc>
        <w:tc>
          <w:tcPr>
            <w:tcW w:w="2551" w:type="dxa"/>
            <w:vAlign w:val="center"/>
          </w:tcPr>
          <w:p>
            <w:pPr>
              <w:pStyle w:val="11"/>
            </w:pPr>
            <w:r>
              <w:t>77.21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3.86</w:t>
            </w:r>
          </w:p>
        </w:tc>
        <w:tc>
          <w:tcPr>
            <w:tcW w:w="2551" w:type="dxa"/>
            <w:vAlign w:val="center"/>
          </w:tcPr>
          <w:p>
            <w:pPr>
              <w:pStyle w:val="11"/>
            </w:pPr>
          </w:p>
        </w:tc>
        <w:tc>
          <w:tcPr>
            <w:tcW w:w="2551" w:type="dxa"/>
            <w:vAlign w:val="center"/>
          </w:tcPr>
          <w:p>
            <w:pPr>
              <w:pStyle w:val="11"/>
            </w:pPr>
            <w:r>
              <w:t>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8.56</w:t>
            </w:r>
          </w:p>
        </w:tc>
        <w:tc>
          <w:tcPr>
            <w:tcW w:w="2551" w:type="dxa"/>
            <w:vAlign w:val="center"/>
          </w:tcPr>
          <w:p>
            <w:pPr>
              <w:pStyle w:val="11"/>
            </w:pPr>
          </w:p>
        </w:tc>
        <w:tc>
          <w:tcPr>
            <w:tcW w:w="2551" w:type="dxa"/>
            <w:vAlign w:val="center"/>
          </w:tcPr>
          <w:p>
            <w:pPr>
              <w:pStyle w:val="11"/>
            </w:pPr>
            <w:r>
              <w:t>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6.20</w:t>
            </w:r>
          </w:p>
        </w:tc>
        <w:tc>
          <w:tcPr>
            <w:tcW w:w="2551" w:type="dxa"/>
            <w:vAlign w:val="center"/>
          </w:tcPr>
          <w:p>
            <w:pPr>
              <w:pStyle w:val="11"/>
            </w:pPr>
          </w:p>
        </w:tc>
        <w:tc>
          <w:tcPr>
            <w:tcW w:w="2551" w:type="dxa"/>
            <w:vAlign w:val="center"/>
          </w:tcPr>
          <w:p>
            <w:pPr>
              <w:pStyle w:val="11"/>
            </w:pPr>
            <w:r>
              <w:t>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6.17</w:t>
            </w:r>
          </w:p>
        </w:tc>
        <w:tc>
          <w:tcPr>
            <w:tcW w:w="2551" w:type="dxa"/>
            <w:vAlign w:val="center"/>
          </w:tcPr>
          <w:p>
            <w:pPr>
              <w:pStyle w:val="11"/>
            </w:pPr>
          </w:p>
        </w:tc>
        <w:tc>
          <w:tcPr>
            <w:tcW w:w="2551" w:type="dxa"/>
            <w:vAlign w:val="center"/>
          </w:tcPr>
          <w:p>
            <w:pPr>
              <w:pStyle w:val="11"/>
            </w:pPr>
            <w:r>
              <w:t>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107.07</w:t>
            </w:r>
          </w:p>
        </w:tc>
        <w:tc>
          <w:tcPr>
            <w:tcW w:w="2551" w:type="dxa"/>
            <w:vAlign w:val="center"/>
          </w:tcPr>
          <w:p>
            <w:pPr>
              <w:pStyle w:val="11"/>
            </w:pPr>
            <w:r>
              <w:t>107.07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105.85</w:t>
            </w:r>
          </w:p>
        </w:tc>
        <w:tc>
          <w:tcPr>
            <w:tcW w:w="2551" w:type="dxa"/>
            <w:vAlign w:val="center"/>
          </w:tcPr>
          <w:p>
            <w:pPr>
              <w:pStyle w:val="11"/>
            </w:pPr>
            <w:r>
              <w:t>105.85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614石家庄市井陉矿区人民法院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4"/>
            </w:pPr>
            <w:r>
              <w:t>“三公”经费小计</w:t>
            </w:r>
          </w:p>
        </w:tc>
        <w:tc>
          <w:tcPr>
            <w:tcW w:w="2381" w:type="dxa"/>
            <w:vAlign w:val="center"/>
          </w:tcPr>
          <w:p>
            <w:pPr>
              <w:pStyle w:val="15"/>
            </w:pPr>
            <w:r>
              <w:rPr>
                <w:rFonts w:hint="eastAsia"/>
                <w:lang w:val="en-US" w:eastAsia="zh-CN"/>
              </w:rPr>
              <w:t>16.8</w:t>
            </w:r>
            <w:r>
              <w:t>0</w:t>
            </w:r>
          </w:p>
        </w:tc>
        <w:tc>
          <w:tcPr>
            <w:tcW w:w="2381" w:type="dxa"/>
            <w:vAlign w:val="center"/>
          </w:tcPr>
          <w:p>
            <w:pPr>
              <w:pStyle w:val="15"/>
            </w:pPr>
            <w:r>
              <w:rPr>
                <w:rFonts w:hint="eastAsia"/>
                <w:lang w:val="en-US" w:eastAsia="zh-CN"/>
              </w:rPr>
              <w:t>16.8</w:t>
            </w:r>
            <w:r>
              <w:t>0</w:t>
            </w: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二、公务用车购置及运维费</w:t>
            </w:r>
          </w:p>
        </w:tc>
        <w:tc>
          <w:tcPr>
            <w:tcW w:w="2381" w:type="dxa"/>
            <w:vAlign w:val="center"/>
          </w:tcPr>
          <w:p>
            <w:pPr>
              <w:pStyle w:val="11"/>
            </w:pPr>
            <w:r>
              <w:rPr>
                <w:rFonts w:hint="eastAsia"/>
                <w:lang w:val="en-US" w:eastAsia="zh-CN"/>
              </w:rPr>
              <w:t>16.8</w:t>
            </w:r>
            <w:r>
              <w:t>0</w:t>
            </w:r>
          </w:p>
        </w:tc>
        <w:tc>
          <w:tcPr>
            <w:tcW w:w="2381" w:type="dxa"/>
            <w:vAlign w:val="center"/>
          </w:tcPr>
          <w:p>
            <w:pPr>
              <w:pStyle w:val="11"/>
            </w:pPr>
            <w:r>
              <w:rPr>
                <w:rFonts w:hint="eastAsia"/>
                <w:lang w:val="en-US" w:eastAsia="zh-CN"/>
              </w:rPr>
              <w:t>16.8</w:t>
            </w:r>
            <w:r>
              <w:t>0</w:t>
            </w: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 xml:space="preserve">          公务用车运行维护费</w:t>
            </w:r>
          </w:p>
        </w:tc>
        <w:tc>
          <w:tcPr>
            <w:tcW w:w="2381" w:type="dxa"/>
            <w:vAlign w:val="center"/>
          </w:tcPr>
          <w:p>
            <w:pPr>
              <w:pStyle w:val="11"/>
            </w:pPr>
            <w:r>
              <w:rPr>
                <w:rFonts w:hint="eastAsia"/>
                <w:lang w:val="en-US" w:eastAsia="zh-CN"/>
              </w:rPr>
              <w:t>16.8</w:t>
            </w:r>
            <w:r>
              <w:t>0</w:t>
            </w:r>
          </w:p>
        </w:tc>
        <w:tc>
          <w:tcPr>
            <w:tcW w:w="2381" w:type="dxa"/>
            <w:vAlign w:val="center"/>
          </w:tcPr>
          <w:p>
            <w:pPr>
              <w:pStyle w:val="11"/>
            </w:pPr>
            <w:r>
              <w:rPr>
                <w:rFonts w:hint="eastAsia"/>
                <w:lang w:val="en-US" w:eastAsia="zh-CN"/>
              </w:rPr>
              <w:t>16.8</w:t>
            </w:r>
            <w:r>
              <w:t>0</w:t>
            </w:r>
          </w:p>
        </w:tc>
        <w:tc>
          <w:tcPr>
            <w:tcW w:w="2381" w:type="dxa"/>
          </w:tcPr>
          <w:p>
            <w:pPr>
              <w:pStyle w:val="11"/>
            </w:pPr>
          </w:p>
        </w:tc>
        <w:tc>
          <w:tcPr>
            <w:tcW w:w="2381" w:type="dxa"/>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tcPr>
          <w:p>
            <w:pPr>
              <w:pStyle w:val="13"/>
            </w:pP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tcPr>
          <w:p>
            <w:pPr>
              <w:pStyle w:val="11"/>
            </w:pPr>
          </w:p>
        </w:tc>
        <w:tc>
          <w:tcPr>
            <w:tcW w:w="2381" w:type="dxa"/>
          </w:tcPr>
          <w:p>
            <w:pPr>
              <w:pStyle w:val="11"/>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石家庄市井陉矿区人民法院2025年部门预算信息公开情况说明</w:t>
      </w:r>
    </w:p>
    <w:p>
      <w:pPr>
        <w:jc w:val="center"/>
      </w:pPr>
      <w:r>
        <w:rPr>
          <w:rFonts w:ascii="方正小标宋_GBK" w:hAnsi="方正小标宋_GBK" w:eastAsia="方正小标宋_GBK" w:cs="方正小标宋_GBK"/>
          <w:color w:val="000000"/>
          <w:sz w:val="44"/>
        </w:rPr>
        <w:t>石家庄市井陉矿区人民法院2025年部门预算信息公开情况说明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按照《中华人民共和国预算法》、《地方预决算公开操作规程》和《关于进一步推进预算公开工作的实施意见》规定，现将石家庄市井陉矿区人民法院2025年部门预算公开如下：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rFonts w:ascii="方正楷体_GBK" w:hAnsi="方正楷体_GBK" w:eastAsia="方正楷体_GBK" w:cs="方正楷体_GBK"/>
          <w:b/>
          <w:color w:val="000000"/>
          <w:sz w:val="32"/>
        </w:rPr>
      </w:pPr>
      <w:bookmarkStart w:id="10" w:name="_Toc_3_3_0000000012"/>
      <w:r>
        <w:rPr>
          <w:rFonts w:ascii="方正楷体_GBK" w:hAnsi="方正楷体_GBK" w:eastAsia="方正楷体_GBK" w:cs="方正楷体_GBK"/>
          <w:b/>
          <w:color w:val="000000"/>
          <w:sz w:val="32"/>
        </w:rPr>
        <w:t>部门职责：</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根据《石家庄市井陉矿区人民法院职能配置、内设机构和人员编制规定》，石家庄市井陉矿区人民法院的主要职责是：</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（一）审判法律、法令规定由本辖区内人民法院管辖的刑事、民事、经济、行政等案件。</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（二）依法受理、审查各类告诉、申诉案件，处理来信来访。</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（四）总结审判工作经验及适用法律、政策问题的请示。</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（五）依法决定国家赔偿。</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（六）管理人民法院的有关经费和物资装备。</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（七）负责通讯、计算机等技术管理工作。</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（八）在审判工作中，宣传法制，教育公民遵纪守法。</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（九）办理区委交办的其他工作。</w:t>
      </w:r>
    </w:p>
    <w:p>
      <w:pPr>
        <w:spacing w:line="500" w:lineRule="exact"/>
        <w:ind w:firstLine="560"/>
        <w:rPr>
          <w:rFonts w:ascii="Times New Roman" w:hAnsi="Times New Roman" w:eastAsia="方正仿宋_GBK" w:cs="Times New Roman"/>
          <w:sz w:val="28"/>
          <w:szCs w:val="24"/>
          <w:lang w:val="en-US" w:eastAsia="uk-UA" w:bidi="ar-SA"/>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1843" w:type="dxa"/>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126" w:type="dxa"/>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3827" w:type="dxa"/>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石家庄市井陉矿区人民法院本级</w:t>
            </w:r>
          </w:p>
        </w:tc>
        <w:tc>
          <w:tcPr>
            <w:tcW w:w="1843" w:type="dxa"/>
            <w:vAlign w:val="center"/>
          </w:tcPr>
          <w:p>
            <w:pPr>
              <w:jc w:val="cente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126" w:type="dxa"/>
            <w:vAlign w:val="center"/>
          </w:tcPr>
          <w:p>
            <w:pPr>
              <w:jc w:val="cente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副处（县）级</w:t>
            </w:r>
          </w:p>
        </w:tc>
        <w:tc>
          <w:tcPr>
            <w:tcW w:w="3827" w:type="dxa"/>
            <w:vAlign w:val="center"/>
          </w:tcPr>
          <w:p>
            <w:pPr>
              <w:jc w:val="cente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bl>
    <w:p>
      <w:pPr>
        <w:spacing w:before="10" w:after="10" w:line="360" w:lineRule="auto"/>
        <w:ind w:firstLine="640"/>
        <w:outlineLvl w:val="2"/>
      </w:pPr>
      <w:bookmarkStart w:id="11" w:name="_Toc_3_3_0000000011"/>
      <w:r>
        <w:rPr>
          <w:rFonts w:ascii="黑体" w:hAnsi="黑体" w:eastAsia="黑体" w:cs="黑体"/>
          <w:color w:val="000000"/>
          <w:sz w:val="32"/>
        </w:rPr>
        <w:t>二、部门预算安排的总体情况</w:t>
      </w:r>
      <w:bookmarkEnd w:id="11"/>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市</w:t>
      </w:r>
      <w:r>
        <w:rPr>
          <w:rFonts w:eastAsia="方正仿宋_GBK"/>
          <w:color w:val="000000"/>
          <w:sz w:val="28"/>
        </w:rPr>
        <w:t>部门预算的编制实行综合预算管理，即全部收入和支出都反映在预算中。石家庄市井陉矿区人民法院机关及所属事业单位的收支包含在部门预算中。</w:t>
      </w:r>
    </w:p>
    <w:p>
      <w:pPr>
        <w:spacing w:line="500" w:lineRule="exact"/>
        <w:ind w:firstLine="560" w:firstLineChars="200"/>
        <w:jc w:val="left"/>
        <w:rPr>
          <w:rFonts w:eastAsia="方正仿宋_GBK"/>
          <w:sz w:val="28"/>
          <w:highlight w:val="none"/>
        </w:rPr>
      </w:pPr>
      <w:r>
        <w:rPr>
          <w:rFonts w:eastAsia="方正仿宋_GBK"/>
          <w:sz w:val="28"/>
          <w:highlight w:val="none"/>
        </w:rPr>
        <w:t>收入说明</w:t>
      </w:r>
    </w:p>
    <w:p>
      <w:pPr>
        <w:spacing w:line="500" w:lineRule="exact"/>
        <w:ind w:firstLine="560" w:firstLineChars="200"/>
        <w:jc w:val="left"/>
        <w:rPr>
          <w:rFonts w:eastAsia="方正仿宋_GBK"/>
          <w:sz w:val="28"/>
          <w:highlight w:val="none"/>
        </w:rPr>
      </w:pPr>
      <w:r>
        <w:rPr>
          <w:rFonts w:eastAsia="方正仿宋_GBK"/>
          <w:sz w:val="28"/>
          <w:highlight w:val="none"/>
        </w:rPr>
        <w:t>反映本部门当年全部收入。202</w:t>
      </w:r>
      <w:r>
        <w:rPr>
          <w:rFonts w:hint="eastAsia" w:eastAsia="方正仿宋_GBK"/>
          <w:sz w:val="28"/>
          <w:highlight w:val="none"/>
          <w:lang w:val="en-US" w:eastAsia="zh-CN"/>
        </w:rPr>
        <w:t>5</w:t>
      </w:r>
      <w:r>
        <w:rPr>
          <w:rFonts w:eastAsia="方正仿宋_GBK"/>
          <w:sz w:val="28"/>
          <w:highlight w:val="none"/>
        </w:rPr>
        <w:t>年预算收入</w:t>
      </w:r>
      <w:r>
        <w:rPr>
          <w:rFonts w:hint="eastAsia" w:eastAsia="方正仿宋_GBK"/>
          <w:sz w:val="28"/>
          <w:highlight w:val="none"/>
          <w:lang w:val="en-US" w:eastAsia="zh-CN"/>
        </w:rPr>
        <w:t>1527.95</w:t>
      </w:r>
      <w:r>
        <w:rPr>
          <w:rFonts w:eastAsia="方正仿宋_GBK"/>
          <w:sz w:val="28"/>
          <w:highlight w:val="none"/>
        </w:rPr>
        <w:t>万元，其中：一般公共预算收入</w:t>
      </w:r>
      <w:r>
        <w:rPr>
          <w:rFonts w:hint="eastAsia" w:eastAsia="方正仿宋_GBK"/>
          <w:sz w:val="28"/>
          <w:highlight w:val="none"/>
          <w:lang w:val="en-US" w:eastAsia="zh-CN"/>
        </w:rPr>
        <w:t>1445.33</w:t>
      </w:r>
      <w:r>
        <w:rPr>
          <w:rFonts w:eastAsia="方正仿宋_GBK"/>
          <w:sz w:val="28"/>
          <w:highlight w:val="none"/>
        </w:rPr>
        <w:t>万元，财政专户核拨资金0万元，政府性基金预算拨款0万元，国有资本经营预算收入0万元，事业收入0万元，其他收入0万元</w:t>
      </w:r>
      <w:r>
        <w:rPr>
          <w:rFonts w:hint="eastAsia" w:eastAsia="方正仿宋_GBK"/>
          <w:sz w:val="28"/>
          <w:highlight w:val="none"/>
          <w:lang w:eastAsia="zh-CN"/>
        </w:rPr>
        <w:t>，上年结转</w:t>
      </w:r>
      <w:r>
        <w:rPr>
          <w:rFonts w:hint="eastAsia" w:eastAsia="方正仿宋_GBK"/>
          <w:sz w:val="28"/>
          <w:highlight w:val="none"/>
          <w:lang w:val="en-US" w:eastAsia="zh-CN"/>
        </w:rPr>
        <w:t>82.62万元</w:t>
      </w:r>
      <w:r>
        <w:rPr>
          <w:rFonts w:eastAsia="方正仿宋_GBK"/>
          <w:sz w:val="28"/>
          <w:highlight w:val="none"/>
        </w:rPr>
        <w:t>。</w:t>
      </w:r>
    </w:p>
    <w:p>
      <w:pPr>
        <w:spacing w:line="500" w:lineRule="exact"/>
        <w:ind w:firstLine="560" w:firstLineChars="200"/>
        <w:jc w:val="left"/>
        <w:rPr>
          <w:rFonts w:eastAsia="方正仿宋_GBK"/>
          <w:sz w:val="28"/>
          <w:highlight w:val="none"/>
        </w:rPr>
      </w:pPr>
      <w:r>
        <w:rPr>
          <w:rFonts w:eastAsia="方正仿宋_GBK"/>
          <w:sz w:val="28"/>
          <w:highlight w:val="none"/>
        </w:rPr>
        <w:t>支出说明</w:t>
      </w:r>
    </w:p>
    <w:p>
      <w:pPr>
        <w:spacing w:line="500" w:lineRule="exact"/>
        <w:ind w:firstLine="560"/>
        <w:rPr>
          <w:rFonts w:hint="eastAsia"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支出预算总表支出栏、基本支出表、项目支出表按经济分类和支出功能分类科目编制，反映石家庄市井陉矿区人民法院年度部门预算中支出预算的总体情况。202</w:t>
      </w:r>
      <w:r>
        <w:rPr>
          <w:rFonts w:hint="eastAsia" w:ascii="Times New Roman" w:hAnsi="Times New Roman" w:eastAsia="方正仿宋_GBK"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年支出预算</w:t>
      </w:r>
      <w:r>
        <w:rPr>
          <w:rFonts w:hint="eastAsia" w:eastAsia="方正仿宋_GBK"/>
          <w:sz w:val="28"/>
          <w:highlight w:val="none"/>
          <w:lang w:val="en-US" w:eastAsia="zh-CN"/>
        </w:rPr>
        <w:t>1527.95</w:t>
      </w:r>
      <w:r>
        <w:rPr>
          <w:rFonts w:ascii="Times New Roman" w:hAnsi="Times New Roman" w:eastAsia="方正仿宋_GBK" w:cs="Times New Roman"/>
          <w:sz w:val="28"/>
          <w:szCs w:val="24"/>
          <w:highlight w:val="none"/>
          <w:lang w:val="en-US" w:eastAsia="uk-UA" w:bidi="ar-SA"/>
        </w:rPr>
        <w:t>万元，其中基本支出</w:t>
      </w:r>
      <w:r>
        <w:rPr>
          <w:rFonts w:hint="eastAsia" w:ascii="Times New Roman" w:hAnsi="Times New Roman" w:eastAsia="方正仿宋_GBK" w:cs="Times New Roman"/>
          <w:sz w:val="28"/>
          <w:szCs w:val="24"/>
          <w:highlight w:val="none"/>
          <w:lang w:val="en-US" w:eastAsia="zh-CN" w:bidi="ar-SA"/>
        </w:rPr>
        <w:t>990.01</w:t>
      </w:r>
      <w:r>
        <w:rPr>
          <w:rFonts w:ascii="Times New Roman" w:hAnsi="Times New Roman" w:eastAsia="方正仿宋_GBK" w:cs="Times New Roman"/>
          <w:sz w:val="28"/>
          <w:szCs w:val="24"/>
          <w:highlight w:val="none"/>
          <w:lang w:val="en-US" w:eastAsia="uk-UA" w:bidi="ar-SA"/>
        </w:rPr>
        <w:t>万元，包括人员经费</w:t>
      </w:r>
      <w:r>
        <w:rPr>
          <w:rFonts w:hint="eastAsia" w:ascii="Times New Roman" w:hAnsi="Times New Roman" w:eastAsia="方正仿宋_GBK" w:cs="Times New Roman"/>
          <w:sz w:val="28"/>
          <w:szCs w:val="24"/>
          <w:highlight w:val="none"/>
          <w:lang w:val="en-US" w:eastAsia="zh-CN" w:bidi="ar-SA"/>
        </w:rPr>
        <w:t>912.8</w:t>
      </w:r>
      <w:r>
        <w:rPr>
          <w:rFonts w:ascii="Times New Roman" w:hAnsi="Times New Roman" w:eastAsia="方正仿宋_GBK" w:cs="Times New Roman"/>
          <w:sz w:val="28"/>
          <w:szCs w:val="24"/>
          <w:highlight w:val="none"/>
          <w:lang w:val="en-US" w:eastAsia="uk-UA" w:bidi="ar-SA"/>
        </w:rPr>
        <w:t>万元，日常公用经费</w:t>
      </w:r>
      <w:r>
        <w:rPr>
          <w:rFonts w:hint="eastAsia" w:ascii="Times New Roman" w:hAnsi="Times New Roman" w:eastAsia="方正仿宋_GBK" w:cs="Times New Roman"/>
          <w:sz w:val="28"/>
          <w:szCs w:val="24"/>
          <w:highlight w:val="none"/>
          <w:lang w:val="en-US" w:eastAsia="zh-CN" w:bidi="ar-SA"/>
        </w:rPr>
        <w:t>77.21</w:t>
      </w:r>
      <w:r>
        <w:rPr>
          <w:rFonts w:ascii="Times New Roman" w:hAnsi="Times New Roman" w:eastAsia="方正仿宋_GBK" w:cs="Times New Roman"/>
          <w:sz w:val="28"/>
          <w:szCs w:val="24"/>
          <w:highlight w:val="none"/>
          <w:lang w:val="en-US" w:eastAsia="uk-UA" w:bidi="ar-SA"/>
        </w:rPr>
        <w:t>万元；项目支出</w:t>
      </w:r>
      <w:r>
        <w:rPr>
          <w:rFonts w:hint="eastAsia" w:ascii="Times New Roman" w:hAnsi="Times New Roman" w:eastAsia="方正仿宋_GBK" w:cs="Times New Roman"/>
          <w:sz w:val="28"/>
          <w:szCs w:val="24"/>
          <w:highlight w:val="none"/>
          <w:lang w:val="en-US" w:eastAsia="zh-CN" w:bidi="ar-SA"/>
        </w:rPr>
        <w:t>537.94</w:t>
      </w:r>
      <w:r>
        <w:rPr>
          <w:rFonts w:ascii="Times New Roman" w:hAnsi="Times New Roman" w:eastAsia="方正仿宋_GBK" w:cs="Times New Roman"/>
          <w:sz w:val="28"/>
          <w:szCs w:val="24"/>
          <w:highlight w:val="none"/>
          <w:lang w:val="en-US" w:eastAsia="uk-UA" w:bidi="ar-SA"/>
        </w:rPr>
        <w:t>万元,包括：</w:t>
      </w:r>
      <w:r>
        <w:rPr>
          <w:rFonts w:hint="eastAsia" w:ascii="Times New Roman" w:hAnsi="Times New Roman" w:eastAsia="方正仿宋_GBK" w:cs="Times New Roman"/>
          <w:sz w:val="28"/>
          <w:szCs w:val="24"/>
          <w:highlight w:val="none"/>
          <w:lang w:val="en-US" w:eastAsia="zh-CN" w:bidi="ar-SA"/>
        </w:rPr>
        <w:t>劳务派遣经费、书记员经费、保安服务费等。</w:t>
      </w:r>
    </w:p>
    <w:p>
      <w:pPr>
        <w:spacing w:line="500" w:lineRule="exact"/>
        <w:ind w:firstLine="560" w:firstLineChars="200"/>
        <w:jc w:val="left"/>
        <w:rPr>
          <w:rFonts w:eastAsia="方正仿宋_GBK"/>
          <w:sz w:val="28"/>
          <w:highlight w:val="none"/>
        </w:rPr>
      </w:pPr>
      <w:r>
        <w:rPr>
          <w:rFonts w:eastAsia="方正仿宋_GBK"/>
          <w:sz w:val="28"/>
          <w:highlight w:val="none"/>
        </w:rPr>
        <w:t>比上年增减情况</w:t>
      </w:r>
    </w:p>
    <w:p>
      <w:pPr>
        <w:spacing w:line="500" w:lineRule="exact"/>
        <w:ind w:firstLine="560" w:firstLineChars="200"/>
        <w:jc w:val="left"/>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w:t>
      </w:r>
      <w:r>
        <w:rPr>
          <w:rFonts w:hint="eastAsia" w:eastAsia="方正仿宋_GBK"/>
          <w:sz w:val="28"/>
          <w:highlight w:val="none"/>
          <w:lang w:eastAsia="zh-CN"/>
        </w:rPr>
        <w:t>收支</w:t>
      </w:r>
      <w:r>
        <w:rPr>
          <w:rFonts w:eastAsia="方正仿宋_GBK"/>
          <w:sz w:val="28"/>
          <w:highlight w:val="none"/>
        </w:rPr>
        <w:t>安排</w:t>
      </w:r>
      <w:r>
        <w:rPr>
          <w:rFonts w:hint="eastAsia" w:eastAsia="方正仿宋_GBK"/>
          <w:sz w:val="28"/>
          <w:highlight w:val="none"/>
          <w:lang w:val="en-US" w:eastAsia="zh-CN"/>
        </w:rPr>
        <w:t>1527.95</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eastAsia="zh-CN"/>
        </w:rPr>
        <w:t>增减少</w:t>
      </w:r>
      <w:r>
        <w:rPr>
          <w:rFonts w:hint="eastAsia" w:eastAsia="方正仿宋_GBK"/>
          <w:sz w:val="28"/>
          <w:highlight w:val="none"/>
          <w:lang w:val="en-US" w:eastAsia="zh-CN"/>
        </w:rPr>
        <w:t>123.21</w:t>
      </w:r>
      <w:r>
        <w:rPr>
          <w:rFonts w:eastAsia="方正仿宋_GBK"/>
          <w:sz w:val="28"/>
          <w:highlight w:val="none"/>
        </w:rPr>
        <w:t>万元，其中：基本支出</w:t>
      </w:r>
      <w:r>
        <w:rPr>
          <w:rFonts w:hint="eastAsia" w:eastAsia="方正仿宋_GBK"/>
          <w:sz w:val="28"/>
          <w:highlight w:val="none"/>
          <w:lang w:eastAsia="zh-CN"/>
        </w:rPr>
        <w:t>减少</w:t>
      </w:r>
      <w:r>
        <w:rPr>
          <w:rFonts w:hint="eastAsia" w:eastAsia="方正仿宋_GBK"/>
          <w:sz w:val="28"/>
          <w:highlight w:val="none"/>
          <w:lang w:val="en-US" w:eastAsia="zh-CN"/>
        </w:rPr>
        <w:t>19.92</w:t>
      </w:r>
      <w:r>
        <w:rPr>
          <w:rFonts w:eastAsia="方正仿宋_GBK"/>
          <w:sz w:val="28"/>
          <w:highlight w:val="none"/>
        </w:rPr>
        <w:t>万元（人员经费</w:t>
      </w:r>
      <w:r>
        <w:rPr>
          <w:rFonts w:hint="eastAsia" w:eastAsia="方正仿宋_GBK"/>
          <w:sz w:val="28"/>
          <w:highlight w:val="none"/>
          <w:lang w:eastAsia="zh-CN"/>
        </w:rPr>
        <w:t>减少</w:t>
      </w:r>
      <w:r>
        <w:rPr>
          <w:rFonts w:hint="eastAsia" w:eastAsia="方正仿宋_GBK"/>
          <w:sz w:val="28"/>
          <w:highlight w:val="none"/>
          <w:lang w:val="en-US" w:eastAsia="zh-CN"/>
        </w:rPr>
        <w:t>24.72</w:t>
      </w:r>
      <w:r>
        <w:rPr>
          <w:rFonts w:eastAsia="方正仿宋_GBK"/>
          <w:sz w:val="28"/>
          <w:highlight w:val="none"/>
        </w:rPr>
        <w:t>万元、日常公用经费</w:t>
      </w:r>
      <w:r>
        <w:rPr>
          <w:rFonts w:hint="eastAsia" w:eastAsia="方正仿宋_GBK"/>
          <w:sz w:val="28"/>
          <w:highlight w:val="none"/>
          <w:lang w:val="en-US" w:eastAsia="zh-CN"/>
        </w:rPr>
        <w:t>增加4.8万元</w:t>
      </w:r>
      <w:r>
        <w:rPr>
          <w:rFonts w:eastAsia="方正仿宋_GBK"/>
          <w:sz w:val="28"/>
          <w:highlight w:val="none"/>
        </w:rPr>
        <w:t>）；项目支出</w:t>
      </w:r>
      <w:r>
        <w:rPr>
          <w:rFonts w:hint="eastAsia" w:eastAsia="方正仿宋_GBK"/>
          <w:sz w:val="28"/>
          <w:highlight w:val="none"/>
          <w:lang w:val="en-US" w:eastAsia="zh-CN"/>
        </w:rPr>
        <w:t>减少103.29</w:t>
      </w:r>
      <w:r>
        <w:rPr>
          <w:rFonts w:eastAsia="方正仿宋_GBK"/>
          <w:sz w:val="28"/>
          <w:highlight w:val="none"/>
        </w:rPr>
        <w:t>万元</w:t>
      </w:r>
      <w:r>
        <w:rPr>
          <w:rFonts w:hint="eastAsia" w:eastAsia="方正仿宋_GBK"/>
          <w:sz w:val="28"/>
          <w:highlight w:val="none"/>
          <w:lang w:eastAsia="zh-CN"/>
        </w:rPr>
        <w:t>，主要为</w:t>
      </w:r>
      <w:r>
        <w:rPr>
          <w:rFonts w:hint="eastAsia" w:eastAsia="方正仿宋_GBK"/>
          <w:sz w:val="28"/>
          <w:highlight w:val="none"/>
          <w:lang w:val="en-US" w:eastAsia="zh-CN"/>
        </w:rPr>
        <w:t>减少</w:t>
      </w:r>
      <w:r>
        <w:rPr>
          <w:rFonts w:hint="eastAsia" w:eastAsia="方正仿宋_GBK"/>
          <w:sz w:val="28"/>
          <w:highlight w:val="none"/>
          <w:lang w:eastAsia="zh-CN"/>
        </w:rPr>
        <w:t>了运转保障经费、诉源治理调解经费等项目支出</w:t>
      </w:r>
      <w:r>
        <w:rPr>
          <w:rFonts w:eastAsia="方正仿宋_GBK"/>
          <w:sz w:val="28"/>
          <w:highlight w:val="none"/>
        </w:rPr>
        <w:t>。</w:t>
      </w:r>
    </w:p>
    <w:p>
      <w:pPr>
        <w:spacing w:before="10" w:after="10" w:line="360" w:lineRule="auto"/>
        <w:ind w:firstLine="640"/>
        <w:outlineLvl w:val="2"/>
      </w:pPr>
      <w:r>
        <w:rPr>
          <w:rFonts w:ascii="黑体" w:hAnsi="黑体" w:eastAsia="黑体" w:cs="黑体"/>
          <w:color w:val="000000"/>
          <w:sz w:val="32"/>
        </w:rPr>
        <w:t>三、机关运行经费安排情况</w:t>
      </w:r>
      <w:bookmarkEnd w:id="10"/>
    </w:p>
    <w:p>
      <w:pPr>
        <w:spacing w:line="500" w:lineRule="exact"/>
        <w:ind w:firstLine="560"/>
      </w:pPr>
      <w:r>
        <w:rPr>
          <w:rFonts w:eastAsia="方正仿宋_GBK"/>
          <w:color w:val="000000"/>
          <w:sz w:val="28"/>
        </w:rPr>
        <w:t>202</w:t>
      </w:r>
      <w:r>
        <w:rPr>
          <w:rFonts w:hint="eastAsia" w:eastAsia="方正仿宋_GBK"/>
          <w:color w:val="000000"/>
          <w:sz w:val="28"/>
          <w:lang w:val="en-US" w:eastAsia="zh-CN"/>
        </w:rPr>
        <w:t>5</w:t>
      </w:r>
      <w:r>
        <w:rPr>
          <w:rFonts w:eastAsia="方正仿宋_GBK"/>
          <w:color w:val="000000"/>
          <w:sz w:val="28"/>
        </w:rPr>
        <w:t>年，我</w:t>
      </w:r>
      <w:r>
        <w:rPr>
          <w:rFonts w:hint="eastAsia" w:eastAsia="方正仿宋_GBK"/>
          <w:color w:val="000000"/>
          <w:sz w:val="28"/>
          <w:lang w:eastAsia="zh-CN"/>
        </w:rPr>
        <w:t>部门</w:t>
      </w:r>
      <w:r>
        <w:rPr>
          <w:rFonts w:eastAsia="方正仿宋_GBK"/>
          <w:color w:val="000000"/>
          <w:sz w:val="28"/>
        </w:rPr>
        <w:t>机关运行经费共计安排</w:t>
      </w:r>
      <w:r>
        <w:rPr>
          <w:rFonts w:hint="eastAsia" w:eastAsia="方正仿宋_GBK"/>
          <w:color w:val="000000"/>
          <w:sz w:val="28"/>
          <w:lang w:val="en-US" w:eastAsia="zh-CN"/>
        </w:rPr>
        <w:t>77.21</w:t>
      </w:r>
      <w:r>
        <w:rPr>
          <w:rFonts w:eastAsia="方正仿宋_GBK"/>
          <w:color w:val="000000"/>
          <w:sz w:val="28"/>
        </w:rPr>
        <w:t>万元，主要用于保证机关正常运转的办公及印刷费、邮电费、差旅费、会议费、福利费、专用材料及一般设备购置费、办公用房水电费、办公用房取暖费、日常维修费、公务车运行维护费等支出。</w:t>
      </w:r>
    </w:p>
    <w:p>
      <w:pPr>
        <w:pStyle w:val="19"/>
      </w:pP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年，我部门财政拨款“三公”经费预算安排</w:t>
      </w:r>
      <w:r>
        <w:rPr>
          <w:rFonts w:hint="eastAsia" w:cs="Times New Roman"/>
          <w:sz w:val="28"/>
          <w:szCs w:val="24"/>
          <w:highlight w:val="none"/>
          <w:lang w:val="en-US" w:eastAsia="zh-CN" w:bidi="ar-SA"/>
        </w:rPr>
        <w:t>16.8</w:t>
      </w:r>
      <w:r>
        <w:rPr>
          <w:rFonts w:ascii="Times New Roman" w:hAnsi="Times New Roman" w:eastAsia="方正仿宋_GBK" w:cs="Times New Roman"/>
          <w:sz w:val="28"/>
          <w:szCs w:val="24"/>
          <w:highlight w:val="none"/>
          <w:lang w:val="en-US" w:eastAsia="uk-UA" w:bidi="ar-SA"/>
        </w:rPr>
        <w:t>万元，其中：</w:t>
      </w:r>
      <w:r>
        <w:rPr>
          <w:rFonts w:hint="eastAsia" w:ascii="Times New Roman" w:hAnsi="Times New Roman" w:eastAsia="方正仿宋_GBK" w:cs="Times New Roman"/>
          <w:sz w:val="28"/>
          <w:szCs w:val="24"/>
          <w:highlight w:val="none"/>
          <w:lang w:val="en-US" w:eastAsia="uk-UA" w:bidi="ar-SA"/>
        </w:rPr>
        <w:t>其中，因公出国（境）费0万元；公务用车购置及运维费 1</w:t>
      </w:r>
      <w:r>
        <w:rPr>
          <w:rFonts w:hint="eastAsia" w:cs="Times New Roman"/>
          <w:sz w:val="28"/>
          <w:szCs w:val="24"/>
          <w:highlight w:val="none"/>
          <w:lang w:val="en-US" w:eastAsia="zh-CN" w:bidi="ar-SA"/>
        </w:rPr>
        <w:t>6.8</w:t>
      </w:r>
      <w:r>
        <w:rPr>
          <w:rFonts w:hint="eastAsia" w:ascii="Times New Roman" w:hAnsi="Times New Roman" w:eastAsia="方正仿宋_GBK" w:cs="Times New Roman"/>
          <w:sz w:val="28"/>
          <w:szCs w:val="24"/>
          <w:highlight w:val="none"/>
          <w:lang w:val="en-US" w:eastAsia="uk-UA" w:bidi="ar-SA"/>
        </w:rPr>
        <w:t>元（其中：公务用车购置费 0 万元，公务用车运行维护费1</w:t>
      </w:r>
      <w:r>
        <w:rPr>
          <w:rFonts w:hint="eastAsia" w:cs="Times New Roman"/>
          <w:sz w:val="28"/>
          <w:szCs w:val="24"/>
          <w:highlight w:val="none"/>
          <w:lang w:val="en-US" w:eastAsia="zh-CN" w:bidi="ar-SA"/>
        </w:rPr>
        <w:t>6.8</w:t>
      </w:r>
      <w:r>
        <w:rPr>
          <w:rFonts w:hint="eastAsia" w:ascii="Times New Roman" w:hAnsi="Times New Roman" w:eastAsia="方正仿宋_GBK" w:cs="Times New Roman"/>
          <w:sz w:val="28"/>
          <w:szCs w:val="24"/>
          <w:highlight w:val="none"/>
          <w:lang w:val="en-US" w:eastAsia="uk-UA" w:bidi="ar-SA"/>
        </w:rPr>
        <w:t xml:space="preserve"> 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万元。因公出国（境）费与 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年持平，无增减变化；公务用车购置及运维费</w:t>
      </w:r>
      <w:r>
        <w:rPr>
          <w:rFonts w:hint="eastAsia" w:cs="Times New Roman"/>
          <w:sz w:val="28"/>
          <w:szCs w:val="24"/>
          <w:highlight w:val="none"/>
          <w:lang w:val="en-US" w:eastAsia="zh-CN" w:bidi="ar-SA"/>
        </w:rPr>
        <w:t>较</w:t>
      </w:r>
      <w:r>
        <w:rPr>
          <w:rFonts w:hint="eastAsia"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w:t>
      </w:r>
      <w:r>
        <w:rPr>
          <w:rFonts w:hint="eastAsia" w:cs="Times New Roman"/>
          <w:sz w:val="28"/>
          <w:szCs w:val="24"/>
          <w:highlight w:val="none"/>
          <w:lang w:val="en-US" w:eastAsia="zh-CN" w:bidi="ar-SA"/>
        </w:rPr>
        <w:t>增长4.8万元</w:t>
      </w:r>
      <w:r>
        <w:rPr>
          <w:rFonts w:hint="eastAsia" w:ascii="Times New Roman" w:hAnsi="Times New Roman" w:eastAsia="方正仿宋_GBK" w:cs="Times New Roman"/>
          <w:sz w:val="28"/>
          <w:szCs w:val="24"/>
          <w:highlight w:val="none"/>
          <w:lang w:val="en-US" w:eastAsia="uk-UA" w:bidi="ar-SA"/>
        </w:rPr>
        <w:t>；公务接待费与 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年持平，无增减变化。</w:t>
      </w:r>
    </w:p>
    <w:p>
      <w:pPr>
        <w:pStyle w:val="20"/>
        <w:ind w:left="0" w:leftChars="0" w:firstLine="0" w:firstLineChars="0"/>
      </w:pPr>
    </w:p>
    <w:p>
      <w:pPr>
        <w:spacing w:before="10" w:after="10" w:line="360" w:lineRule="auto"/>
        <w:ind w:firstLine="640"/>
        <w:outlineLvl w:val="2"/>
      </w:pPr>
      <w:bookmarkStart w:id="12" w:name="_Toc_3_3_0000000014"/>
      <w:r>
        <w:rPr>
          <w:rFonts w:ascii="黑体" w:hAnsi="黑体" w:eastAsia="黑体" w:cs="黑体"/>
          <w:color w:val="000000"/>
          <w:sz w:val="32"/>
        </w:rPr>
        <w:t>五、部门整体绩效目标</w:t>
      </w:r>
      <w:bookmarkEnd w:id="12"/>
    </w:p>
    <w:p>
      <w:pPr>
        <w:spacing w:line="500" w:lineRule="exact"/>
        <w:ind w:firstLine="560"/>
      </w:pPr>
      <w:r>
        <w:rPr>
          <w:rFonts w:eastAsia="方正仿宋_GBK"/>
          <w:color w:val="000000"/>
          <w:sz w:val="28"/>
        </w:rPr>
        <w:t>（一）总体绩效目标</w:t>
      </w:r>
    </w:p>
    <w:p>
      <w:pPr>
        <w:pStyle w:val="21"/>
      </w:pPr>
      <w: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pStyle w:val="21"/>
      </w:pPr>
      <w:r>
        <w:t>大力加强刑事审判工作，及时审理各类民商事纠纷案件，促进依法行政，推进依法治区。扎实开展宣传工作营造崇尚法治的良好环境，进一步加强队伍建设，建立良好的办公环境,树立新形象。</w:t>
      </w:r>
    </w:p>
    <w:p>
      <w:pPr>
        <w:spacing w:line="500" w:lineRule="exact"/>
        <w:ind w:firstLine="560"/>
      </w:pPr>
      <w:r>
        <w:rPr>
          <w:rFonts w:eastAsia="方正仿宋_GBK"/>
          <w:color w:val="000000"/>
          <w:sz w:val="28"/>
        </w:rPr>
        <w:t>（二）分项绩效目标</w:t>
      </w:r>
    </w:p>
    <w:p>
      <w:pPr>
        <w:pStyle w:val="22"/>
      </w:pPr>
      <w:r>
        <w:t>绩效目标：通过经费的使用，促进各项法院案件的顺利进行，提升办案质量，加大办案力度；保障公益诉讼、扫黑除恶专项活动的顺利开展，维护人民群众合法权益。</w:t>
      </w:r>
    </w:p>
    <w:p>
      <w:pPr>
        <w:pStyle w:val="22"/>
      </w:pPr>
      <w:r>
        <w:t>绩效指标：办理案件数量不低于2000件，法院建议采纳率不低于70%，人民群众满意度不低于95%，保障法院业务顺利开展，维护人民群众合法权益。</w:t>
      </w:r>
    </w:p>
    <w:p>
      <w:pPr>
        <w:pStyle w:val="22"/>
      </w:pPr>
      <w:r>
        <w:t>绩效目标：系统综合业务管理和综合事务管理。</w:t>
      </w:r>
    </w:p>
    <w:p>
      <w:pPr>
        <w:pStyle w:val="22"/>
      </w:pPr>
      <w:r>
        <w:t>绩效指标：加强法院系统队伍建设，牢固树立“严管就是厚爱、监督就是保护”的理念，坚持以钉钉子的精神加强纪律作风建设，严格落实中央八项规定精神提高队伍素质和执法能力；加强法院基础设施及信息化建设，加强培训及法院文化建设；建立绩效考核制度，加强对外宣传以及舆论引导，树立法院良好形象；领导区人民法院的监察工作；管理区法院司法行政工作；承办其它应由区县级人民法院负责的工作，高质高效完成年度各项工作。</w:t>
      </w:r>
    </w:p>
    <w:p>
      <w:pPr>
        <w:spacing w:line="500" w:lineRule="exact"/>
        <w:ind w:firstLine="560"/>
      </w:pPr>
      <w:r>
        <w:rPr>
          <w:rFonts w:eastAsia="方正仿宋_GBK"/>
          <w:color w:val="000000"/>
          <w:sz w:val="28"/>
        </w:rPr>
        <w:t>（三）工作保障措施</w:t>
      </w:r>
    </w:p>
    <w:p>
      <w:pPr>
        <w:pStyle w:val="23"/>
      </w:pPr>
      <w:r>
        <w:t>以信息化建设为支撑，建立智慧型法院，拓展诉讼服务中心，落实立案登记制度。不断拓展诉讼服务中心功能，深化“十二项功能”为一体的“一站式”诉讼服务，坚持做到有案依法必立。对手续齐全的案件当场立案；手续不全的，出具一次性书面告知书，告知当事人应当补正的材料和期限；同时开通预约立案和网上立案通道；对于生活困难的涉诉群众，依法办理诉讼费减缓免。</w:t>
      </w:r>
    </w:p>
    <w:p>
      <w:pPr>
        <w:pStyle w:val="23"/>
      </w:pPr>
      <w:r>
        <w:t>建设三大平台，实现司法公开、审判流程公开、裁判文书公开、执行信息公开。此外，为顺应信息化趋势，我院不断提高法院自动化办公水平，启用了全市法院协同办公平台、数字审判委员会、审务通APP、智审1.0等系统，提高了办案效率。狠抓队伍建设，把队伍建设提高到新的层次和水平。</w:t>
      </w:r>
    </w:p>
    <w:p>
      <w:pPr>
        <w:pStyle w:val="23"/>
      </w:pPr>
      <w:r>
        <w:t>以党建促审判。抓好“两学一做”学习教育的常态化制度化，落实管党治党“两个责任”，全面深化党建工作创新发展，推动审判执行、司法改革、队伍建设等各项业务工作不断取得新成效。</w:t>
      </w:r>
    </w:p>
    <w:p>
      <w:pPr>
        <w:pStyle w:val="23"/>
        <w:sectPr>
          <w:pgSz w:w="16840" w:h="11900" w:orient="landscape"/>
          <w:pgMar w:top="1361" w:right="1020" w:bottom="1361" w:left="1020" w:header="720" w:footer="720" w:gutter="0"/>
          <w:cols w:space="720" w:num="1"/>
        </w:sectPr>
      </w:pPr>
      <w:r>
        <w:t>狠抓队伍政治建设。通过开展执法办案“三査三提升”教育活动、制定廉政风险防控机制流程图、设置廉政监察员、开展“一问责八清理”专项行动和“微腐败”专项整治、层层签订党风廉政建设责任状等形式，形成了政工、纪检、监察、案件评查、审判流程微机控制等协调联动的监督制约体系，严明审判纪律，有效促进了干警自律能力的提高。加强队伍业务素质培训。我院积极通过开展岗位练兵、集中培训等形式，切实提高干警业务素质。</w:t>
      </w:r>
    </w:p>
    <w:p>
      <w:pPr>
        <w:numPr>
          <w:ilvl w:val="0"/>
          <w:numId w:val="1"/>
        </w:numPr>
        <w:spacing w:before="10" w:after="10" w:line="360" w:lineRule="auto"/>
        <w:ind w:firstLine="640"/>
        <w:outlineLvl w:val="2"/>
        <w:rPr>
          <w:rFonts w:ascii="黑体" w:hAnsi="黑体" w:eastAsia="黑体" w:cs="黑体"/>
          <w:color w:val="000000"/>
          <w:sz w:val="32"/>
        </w:rPr>
      </w:pPr>
      <w:bookmarkStart w:id="13" w:name="_Toc_3_3_0000000015"/>
      <w:r>
        <w:rPr>
          <w:rFonts w:ascii="黑体" w:hAnsi="黑体" w:eastAsia="黑体" w:cs="黑体"/>
          <w:color w:val="000000"/>
          <w:sz w:val="32"/>
        </w:rPr>
        <w:t>部门主管专项资金预算安排情况及绩效目标</w:t>
      </w:r>
      <w:bookmarkEnd w:id="13"/>
    </w:p>
    <w:p>
      <w:pPr>
        <w:numPr>
          <w:ilvl w:val="0"/>
          <w:numId w:val="0"/>
        </w:numPr>
        <w:spacing w:before="10" w:after="10" w:line="360" w:lineRule="auto"/>
        <w:outlineLvl w:val="2"/>
        <w:rPr>
          <w:rFonts w:ascii="黑体" w:hAnsi="黑体" w:eastAsia="黑体" w:cs="黑体"/>
          <w:color w:val="000000"/>
          <w:sz w:val="32"/>
        </w:rPr>
      </w:pPr>
    </w:p>
    <w:p>
      <w:pPr>
        <w:numPr>
          <w:ilvl w:val="0"/>
          <w:numId w:val="0"/>
        </w:numPr>
        <w:spacing w:before="10" w:after="10" w:line="360" w:lineRule="auto"/>
        <w:ind w:firstLine="840" w:firstLineChars="3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ascii="Times New Roman" w:hAnsi="Times New Roman" w:eastAsia="方正仿宋_GBK" w:cs="Times New Roman"/>
          <w:sz w:val="28"/>
          <w:szCs w:val="24"/>
          <w:lang w:val="en-US" w:eastAsia="uk-UA" w:bidi="ar-SA"/>
        </w:rPr>
        <w:t>部门主管专项资金预算安排</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ind w:firstLine="560"/>
      </w:pPr>
      <w:r>
        <w:rPr>
          <w:rFonts w:ascii="方正仿宋_GBK" w:hAnsi="方正仿宋_GBK" w:eastAsia="方正仿宋_GBK" w:cs="方正仿宋_GBK"/>
          <w:color w:val="000000"/>
          <w:sz w:val="28"/>
        </w:rPr>
        <w:t>1、单位运行电费绩效目标表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13010025P000083101254</w:t>
            </w:r>
          </w:p>
        </w:tc>
        <w:tc>
          <w:tcPr>
            <w:tcW w:w="2835" w:type="dxa"/>
            <w:vAlign w:val="center"/>
          </w:tcPr>
          <w:p>
            <w:pPr>
              <w:pStyle w:val="10"/>
            </w:pPr>
            <w:r>
              <w:t>项目名称</w:t>
            </w:r>
          </w:p>
        </w:tc>
        <w:tc>
          <w:tcPr>
            <w:tcW w:w="6095" w:type="dxa"/>
            <w:gridSpan w:val="3"/>
            <w:vAlign w:val="center"/>
          </w:tcPr>
          <w:p>
            <w:pPr>
              <w:pStyle w:val="12"/>
            </w:pPr>
            <w:r>
              <w:t>单位运行电费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支付单位电费，确保办公办案工作正常运转。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1.支付单位电费，确保办公办案工作正常运转。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保障机关及派出法庭数量</w:t>
            </w:r>
          </w:p>
        </w:tc>
        <w:tc>
          <w:tcPr>
            <w:tcW w:w="5386" w:type="dxa"/>
            <w:vAlign w:val="center"/>
          </w:tcPr>
          <w:p>
            <w:pPr>
              <w:pStyle w:val="12"/>
            </w:pPr>
            <w:r>
              <w:t>保障机关及派出法庭数量</w:t>
            </w:r>
          </w:p>
        </w:tc>
        <w:tc>
          <w:tcPr>
            <w:tcW w:w="2268" w:type="dxa"/>
            <w:vAlign w:val="center"/>
          </w:tcPr>
          <w:p>
            <w:pPr>
              <w:pStyle w:val="12"/>
            </w:pPr>
            <w:r>
              <w:t>≥4个</w:t>
            </w:r>
          </w:p>
        </w:tc>
        <w:tc>
          <w:tcPr>
            <w:tcW w:w="1276" w:type="dxa"/>
            <w:vAlign w:val="center"/>
          </w:tcPr>
          <w:p>
            <w:pPr>
              <w:pStyle w:val="12"/>
            </w:pPr>
            <w:r>
              <w:t>历史经验（近三年电费明细）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设备电路故障率</w:t>
            </w:r>
          </w:p>
        </w:tc>
        <w:tc>
          <w:tcPr>
            <w:tcW w:w="5386" w:type="dxa"/>
            <w:vAlign w:val="center"/>
          </w:tcPr>
          <w:p>
            <w:pPr>
              <w:pStyle w:val="12"/>
            </w:pPr>
            <w:r>
              <w:t>设备电路故障率</w:t>
            </w:r>
          </w:p>
        </w:tc>
        <w:tc>
          <w:tcPr>
            <w:tcW w:w="2268" w:type="dxa"/>
            <w:vAlign w:val="center"/>
          </w:tcPr>
          <w:p>
            <w:pPr>
              <w:pStyle w:val="12"/>
            </w:pPr>
            <w:r>
              <w:t>≤10%</w:t>
            </w:r>
          </w:p>
        </w:tc>
        <w:tc>
          <w:tcPr>
            <w:tcW w:w="1276" w:type="dxa"/>
            <w:vAlign w:val="center"/>
          </w:tcPr>
          <w:p>
            <w:pPr>
              <w:pStyle w:val="12"/>
            </w:pPr>
            <w:r>
              <w:t>历史经验（近三年维修明细）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缴纳及时率</w:t>
            </w:r>
          </w:p>
        </w:tc>
        <w:tc>
          <w:tcPr>
            <w:tcW w:w="5386" w:type="dxa"/>
            <w:vAlign w:val="center"/>
          </w:tcPr>
          <w:p>
            <w:pPr>
              <w:pStyle w:val="12"/>
            </w:pPr>
            <w:r>
              <w:t>电费缴纳及时率</w:t>
            </w:r>
          </w:p>
        </w:tc>
        <w:tc>
          <w:tcPr>
            <w:tcW w:w="2268" w:type="dxa"/>
            <w:vAlign w:val="center"/>
          </w:tcPr>
          <w:p>
            <w:pPr>
              <w:pStyle w:val="12"/>
            </w:pPr>
            <w:r>
              <w:t>≥95%</w:t>
            </w:r>
          </w:p>
        </w:tc>
        <w:tc>
          <w:tcPr>
            <w:tcW w:w="1276" w:type="dxa"/>
            <w:vAlign w:val="center"/>
          </w:tcPr>
          <w:p>
            <w:pPr>
              <w:pStyle w:val="12"/>
            </w:pPr>
            <w:r>
              <w:t>预算资金支出情况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电费节约率</w:t>
            </w:r>
          </w:p>
        </w:tc>
        <w:tc>
          <w:tcPr>
            <w:tcW w:w="5386" w:type="dxa"/>
            <w:vAlign w:val="center"/>
          </w:tcPr>
          <w:p>
            <w:pPr>
              <w:pStyle w:val="12"/>
            </w:pPr>
            <w:r>
              <w:t>电费较上年节约率</w:t>
            </w:r>
          </w:p>
        </w:tc>
        <w:tc>
          <w:tcPr>
            <w:tcW w:w="2268" w:type="dxa"/>
            <w:vAlign w:val="center"/>
          </w:tcPr>
          <w:p>
            <w:pPr>
              <w:pStyle w:val="12"/>
            </w:pPr>
            <w:r>
              <w:t>≥3%</w:t>
            </w:r>
          </w:p>
        </w:tc>
        <w:tc>
          <w:tcPr>
            <w:tcW w:w="1276" w:type="dxa"/>
            <w:vAlign w:val="center"/>
          </w:tcPr>
          <w:p>
            <w:pPr>
              <w:pStyle w:val="12"/>
            </w:pPr>
            <w:r>
              <w:t>历史经验（近两年电费明细）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单位正常运转率</w:t>
            </w:r>
          </w:p>
        </w:tc>
        <w:tc>
          <w:tcPr>
            <w:tcW w:w="2268" w:type="dxa"/>
            <w:vAlign w:val="center"/>
          </w:tcPr>
          <w:p>
            <w:pPr>
              <w:pStyle w:val="12"/>
            </w:pPr>
            <w:r>
              <w:t>100%</w:t>
            </w:r>
          </w:p>
        </w:tc>
        <w:tc>
          <w:tcPr>
            <w:tcW w:w="1276" w:type="dxa"/>
            <w:vAlign w:val="center"/>
          </w:tcPr>
          <w:p>
            <w:pPr>
              <w:pStyle w:val="12"/>
            </w:pPr>
            <w:r>
              <w:t>历史经验（2024年度保障情况）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2、党组织活动经费绩效目标表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13010025P00971110294C</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通过印刷党建宣传手册，达到宣传效果；保障党建活动所需差旅支出，促进活动顺利开展。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1.通过印刷党建宣传手册，达到宣传效果；保障党建活动所需差旅支出，促进活动顺利开展。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党组织活动开展及时率</w:t>
            </w:r>
          </w:p>
        </w:tc>
        <w:tc>
          <w:tcPr>
            <w:tcW w:w="5386" w:type="dxa"/>
            <w:vAlign w:val="center"/>
          </w:tcPr>
          <w:p>
            <w:pPr>
              <w:pStyle w:val="12"/>
            </w:pPr>
            <w:r>
              <w:t>党组织活动开展及时率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≤2.7万元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党员干部满意度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3、文件资料印刷费绩效目标表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13010025P00993510242E</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印刷普法活动宣传册、部门工作报告、制式案卷封皮、档案封皮，保障法院业务工作顺利开展。</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1.印刷普法活动宣传册、部门工作报告、制式案卷封皮、档案封皮，保障法院业务工作顺利开展。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文件资料印刷数量</w:t>
            </w:r>
          </w:p>
        </w:tc>
        <w:tc>
          <w:tcPr>
            <w:tcW w:w="5386" w:type="dxa"/>
            <w:vAlign w:val="center"/>
          </w:tcPr>
          <w:p>
            <w:pPr>
              <w:pStyle w:val="12"/>
            </w:pPr>
            <w:r>
              <w:t>文件资料印刷数量</w:t>
            </w:r>
          </w:p>
        </w:tc>
        <w:tc>
          <w:tcPr>
            <w:tcW w:w="2268" w:type="dxa"/>
            <w:vAlign w:val="center"/>
          </w:tcPr>
          <w:p>
            <w:pPr>
              <w:pStyle w:val="12"/>
            </w:pPr>
            <w:r>
              <w:t>≥35500页</w:t>
            </w:r>
          </w:p>
        </w:tc>
        <w:tc>
          <w:tcPr>
            <w:tcW w:w="1276" w:type="dxa"/>
            <w:vAlign w:val="center"/>
          </w:tcPr>
          <w:p>
            <w:pPr>
              <w:pStyle w:val="12"/>
            </w:pPr>
            <w:r>
              <w:t>业务活动开展工作计划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文件资料印刷合格率</w:t>
            </w:r>
          </w:p>
        </w:tc>
        <w:tc>
          <w:tcPr>
            <w:tcW w:w="5386" w:type="dxa"/>
            <w:vAlign w:val="center"/>
          </w:tcPr>
          <w:p>
            <w:pPr>
              <w:pStyle w:val="12"/>
            </w:pPr>
            <w:r>
              <w:t>文件资料印刷合格率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文件资料印刷及时率</w:t>
            </w:r>
          </w:p>
        </w:tc>
        <w:tc>
          <w:tcPr>
            <w:tcW w:w="5386" w:type="dxa"/>
            <w:vAlign w:val="center"/>
          </w:tcPr>
          <w:p>
            <w:pPr>
              <w:pStyle w:val="12"/>
            </w:pPr>
            <w:r>
              <w:t>文件资料印刷及时率</w:t>
            </w:r>
          </w:p>
        </w:tc>
        <w:tc>
          <w:tcPr>
            <w:tcW w:w="2268" w:type="dxa"/>
            <w:vAlign w:val="center"/>
          </w:tcPr>
          <w:p>
            <w:pPr>
              <w:pStyle w:val="12"/>
            </w:pPr>
            <w:r>
              <w:t>≥95%</w:t>
            </w:r>
          </w:p>
        </w:tc>
        <w:tc>
          <w:tcPr>
            <w:tcW w:w="1276" w:type="dxa"/>
            <w:vAlign w:val="center"/>
          </w:tcPr>
          <w:p>
            <w:pPr>
              <w:pStyle w:val="12"/>
            </w:pPr>
            <w:r>
              <w:t>业务活动开展工作计划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单页资料印刷成本</w:t>
            </w:r>
          </w:p>
        </w:tc>
        <w:tc>
          <w:tcPr>
            <w:tcW w:w="5386" w:type="dxa"/>
            <w:vAlign w:val="center"/>
          </w:tcPr>
          <w:p>
            <w:pPr>
              <w:pStyle w:val="12"/>
            </w:pPr>
            <w:r>
              <w:t>单页资料印刷成本</w:t>
            </w:r>
          </w:p>
        </w:tc>
        <w:tc>
          <w:tcPr>
            <w:tcW w:w="2268" w:type="dxa"/>
            <w:vAlign w:val="center"/>
          </w:tcPr>
          <w:p>
            <w:pPr>
              <w:pStyle w:val="12"/>
            </w:pPr>
            <w:r>
              <w:t>≤0.5元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文件资料印刷工作正常开展保障率</w:t>
            </w:r>
          </w:p>
        </w:tc>
        <w:tc>
          <w:tcPr>
            <w:tcW w:w="5386" w:type="dxa"/>
            <w:vAlign w:val="center"/>
          </w:tcPr>
          <w:p>
            <w:pPr>
              <w:pStyle w:val="12"/>
            </w:pPr>
            <w:r>
              <w:t>文件资料印刷工作正常开展保障率</w:t>
            </w:r>
          </w:p>
        </w:tc>
        <w:tc>
          <w:tcPr>
            <w:tcW w:w="2268" w:type="dxa"/>
            <w:vAlign w:val="center"/>
          </w:tcPr>
          <w:p>
            <w:pPr>
              <w:pStyle w:val="12"/>
            </w:pPr>
            <w:r>
              <w:t>100%</w:t>
            </w:r>
          </w:p>
        </w:tc>
        <w:tc>
          <w:tcPr>
            <w:tcW w:w="1276" w:type="dxa"/>
            <w:vAlign w:val="center"/>
          </w:tcPr>
          <w:p>
            <w:pPr>
              <w:pStyle w:val="12"/>
            </w:pPr>
            <w:r>
              <w:t>历史经验（2024年度保障情况）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资料使用人员满意度</w:t>
            </w:r>
          </w:p>
        </w:tc>
        <w:tc>
          <w:tcPr>
            <w:tcW w:w="5386" w:type="dxa"/>
            <w:vAlign w:val="center"/>
          </w:tcPr>
          <w:p>
            <w:pPr>
              <w:pStyle w:val="12"/>
            </w:pPr>
            <w:r>
              <w:t>资料使用人员满意度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4、物业管理费（保安经费）绩效目标表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13010025P00641210234U</w:t>
            </w:r>
          </w:p>
        </w:tc>
        <w:tc>
          <w:tcPr>
            <w:tcW w:w="2835" w:type="dxa"/>
            <w:vAlign w:val="center"/>
          </w:tcPr>
          <w:p>
            <w:pPr>
              <w:pStyle w:val="10"/>
            </w:pPr>
            <w:r>
              <w:t>项目名称</w:t>
            </w:r>
          </w:p>
        </w:tc>
        <w:tc>
          <w:tcPr>
            <w:tcW w:w="6095" w:type="dxa"/>
            <w:gridSpan w:val="3"/>
            <w:vAlign w:val="center"/>
          </w:tcPr>
          <w:p>
            <w:pPr>
              <w:pStyle w:val="12"/>
            </w:pPr>
            <w:r>
              <w:t>物业管理费（保安经费）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8.95</w:t>
            </w:r>
          </w:p>
        </w:tc>
        <w:tc>
          <w:tcPr>
            <w:tcW w:w="2835" w:type="dxa"/>
            <w:vAlign w:val="center"/>
          </w:tcPr>
          <w:p>
            <w:pPr>
              <w:pStyle w:val="10"/>
            </w:pPr>
            <w:r>
              <w:t>其中：财政    资金</w:t>
            </w:r>
          </w:p>
        </w:tc>
        <w:tc>
          <w:tcPr>
            <w:tcW w:w="2551" w:type="dxa"/>
            <w:vAlign w:val="center"/>
          </w:tcPr>
          <w:p>
            <w:pPr>
              <w:pStyle w:val="12"/>
            </w:pPr>
            <w:r>
              <w:t>8.95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购买保安服务，保障审判工作。</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1.购买保安服务，保障审判工作。</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保安服务天数</w:t>
            </w:r>
          </w:p>
        </w:tc>
        <w:tc>
          <w:tcPr>
            <w:tcW w:w="5386" w:type="dxa"/>
            <w:vAlign w:val="center"/>
          </w:tcPr>
          <w:p>
            <w:pPr>
              <w:pStyle w:val="12"/>
            </w:pPr>
            <w:r>
              <w:t>保安服务天数</w:t>
            </w:r>
          </w:p>
        </w:tc>
        <w:tc>
          <w:tcPr>
            <w:tcW w:w="2268" w:type="dxa"/>
            <w:vAlign w:val="center"/>
          </w:tcPr>
          <w:p>
            <w:pPr>
              <w:pStyle w:val="12"/>
            </w:pPr>
            <w:r>
              <w:t>365天</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保安服务合格率</w:t>
            </w:r>
          </w:p>
        </w:tc>
        <w:tc>
          <w:tcPr>
            <w:tcW w:w="5386" w:type="dxa"/>
            <w:vAlign w:val="center"/>
          </w:tcPr>
          <w:p>
            <w:pPr>
              <w:pStyle w:val="12"/>
            </w:pPr>
            <w:r>
              <w:t>保安服务合格率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费用拨付及时率</w:t>
            </w:r>
          </w:p>
        </w:tc>
        <w:tc>
          <w:tcPr>
            <w:tcW w:w="5386" w:type="dxa"/>
            <w:vAlign w:val="center"/>
          </w:tcPr>
          <w:p>
            <w:pPr>
              <w:pStyle w:val="12"/>
            </w:pPr>
            <w:r>
              <w:t>费用拨付及时率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发放总金额</w:t>
            </w:r>
          </w:p>
        </w:tc>
        <w:tc>
          <w:tcPr>
            <w:tcW w:w="5386" w:type="dxa"/>
            <w:vAlign w:val="center"/>
          </w:tcPr>
          <w:p>
            <w:pPr>
              <w:pStyle w:val="12"/>
            </w:pPr>
            <w:r>
              <w:t>发放总金额</w:t>
            </w:r>
          </w:p>
        </w:tc>
        <w:tc>
          <w:tcPr>
            <w:tcW w:w="2268" w:type="dxa"/>
            <w:vAlign w:val="center"/>
          </w:tcPr>
          <w:p>
            <w:pPr>
              <w:pStyle w:val="12"/>
            </w:pPr>
            <w:r>
              <w:t>≤8.95万元</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审判安保工作保障率</w:t>
            </w:r>
          </w:p>
        </w:tc>
        <w:tc>
          <w:tcPr>
            <w:tcW w:w="5386" w:type="dxa"/>
            <w:vAlign w:val="center"/>
          </w:tcPr>
          <w:p>
            <w:pPr>
              <w:pStyle w:val="12"/>
            </w:pPr>
            <w:r>
              <w:t>审判安保工作保障率</w:t>
            </w:r>
          </w:p>
        </w:tc>
        <w:tc>
          <w:tcPr>
            <w:tcW w:w="2268" w:type="dxa"/>
            <w:vAlign w:val="center"/>
          </w:tcPr>
          <w:p>
            <w:pPr>
              <w:pStyle w:val="12"/>
            </w:pPr>
            <w:r>
              <w:t>100%</w:t>
            </w:r>
          </w:p>
        </w:tc>
        <w:tc>
          <w:tcPr>
            <w:tcW w:w="1276" w:type="dxa"/>
            <w:vAlign w:val="center"/>
          </w:tcPr>
          <w:p>
            <w:pPr>
              <w:pStyle w:val="12"/>
            </w:pPr>
            <w:r>
              <w:t>实际工作进展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5、专项邮电费绩效目标表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13010025P00667710056F</w:t>
            </w:r>
          </w:p>
        </w:tc>
        <w:tc>
          <w:tcPr>
            <w:tcW w:w="2835" w:type="dxa"/>
            <w:vAlign w:val="center"/>
          </w:tcPr>
          <w:p>
            <w:pPr>
              <w:pStyle w:val="10"/>
            </w:pPr>
            <w:r>
              <w:t>项目名称</w:t>
            </w:r>
          </w:p>
        </w:tc>
        <w:tc>
          <w:tcPr>
            <w:tcW w:w="6095" w:type="dxa"/>
            <w:gridSpan w:val="3"/>
            <w:vAlign w:val="center"/>
          </w:tcPr>
          <w:p>
            <w:pPr>
              <w:pStyle w:val="12"/>
            </w:pPr>
            <w:r>
              <w:t>专项邮电费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及时准确邮寄法律文书。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1.及时准确邮寄法律文书。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邮寄次数</w:t>
            </w:r>
          </w:p>
        </w:tc>
        <w:tc>
          <w:tcPr>
            <w:tcW w:w="5386" w:type="dxa"/>
            <w:vAlign w:val="center"/>
          </w:tcPr>
          <w:p>
            <w:pPr>
              <w:pStyle w:val="12"/>
            </w:pPr>
            <w:r>
              <w:t>法律文书邮寄次数</w:t>
            </w:r>
          </w:p>
        </w:tc>
        <w:tc>
          <w:tcPr>
            <w:tcW w:w="2268" w:type="dxa"/>
            <w:vAlign w:val="center"/>
          </w:tcPr>
          <w:p>
            <w:pPr>
              <w:pStyle w:val="12"/>
            </w:pPr>
            <w:r>
              <w:t>≥5000次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发放完成时间</w:t>
            </w:r>
          </w:p>
        </w:tc>
        <w:tc>
          <w:tcPr>
            <w:tcW w:w="5386" w:type="dxa"/>
            <w:vAlign w:val="center"/>
          </w:tcPr>
          <w:p>
            <w:pPr>
              <w:pStyle w:val="12"/>
            </w:pPr>
            <w:r>
              <w:t>发放完成时间</w:t>
            </w:r>
          </w:p>
        </w:tc>
        <w:tc>
          <w:tcPr>
            <w:tcW w:w="2268" w:type="dxa"/>
            <w:vAlign w:val="center"/>
          </w:tcPr>
          <w:p>
            <w:pPr>
              <w:pStyle w:val="12"/>
            </w:pPr>
            <w:r>
              <w:t>2025.12.31日前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与上年相比提高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6、劳务派遣人员经费绩效目标表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13010025P00964210231X</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为劳务派遣人员发放工资，缴纳社会保险，全面提高办公办案效率。</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1.为劳务派遣人员发放工资，缴纳社会保险，全面提高办公办案效率。</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15人</w:t>
            </w:r>
          </w:p>
        </w:tc>
        <w:tc>
          <w:tcPr>
            <w:tcW w:w="1276" w:type="dxa"/>
            <w:vAlign w:val="center"/>
          </w:tcPr>
          <w:p>
            <w:pPr>
              <w:pStyle w:val="12"/>
            </w:pPr>
            <w:r>
              <w:t>劳务派遣人员管理工作方案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劳务派遣人员考核合格率</w:t>
            </w:r>
          </w:p>
        </w:tc>
        <w:tc>
          <w:tcPr>
            <w:tcW w:w="5386" w:type="dxa"/>
            <w:vAlign w:val="center"/>
          </w:tcPr>
          <w:p>
            <w:pPr>
              <w:pStyle w:val="12"/>
            </w:pPr>
            <w:r>
              <w:t>劳务派遣人员考核合格率</w:t>
            </w:r>
          </w:p>
        </w:tc>
        <w:tc>
          <w:tcPr>
            <w:tcW w:w="2268" w:type="dxa"/>
            <w:vAlign w:val="center"/>
          </w:tcPr>
          <w:p>
            <w:pPr>
              <w:pStyle w:val="12"/>
            </w:pPr>
            <w:r>
              <w:t>≥95%</w:t>
            </w:r>
          </w:p>
        </w:tc>
        <w:tc>
          <w:tcPr>
            <w:tcW w:w="1276" w:type="dxa"/>
            <w:vAlign w:val="center"/>
          </w:tcPr>
          <w:p>
            <w:pPr>
              <w:pStyle w:val="12"/>
            </w:pPr>
            <w:r>
              <w:t>历史经验（近三年考核情况）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≤0.3万元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审判工作保障率</w:t>
            </w:r>
          </w:p>
        </w:tc>
        <w:tc>
          <w:tcPr>
            <w:tcW w:w="5386" w:type="dxa"/>
            <w:vAlign w:val="center"/>
          </w:tcPr>
          <w:p>
            <w:pPr>
              <w:pStyle w:val="12"/>
            </w:pPr>
            <w:r>
              <w:t>审判工作保障率</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7、聘用制书记员经费绩效目标表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13010025P000105101069</w:t>
            </w:r>
          </w:p>
        </w:tc>
        <w:tc>
          <w:tcPr>
            <w:tcW w:w="2835" w:type="dxa"/>
            <w:vAlign w:val="center"/>
          </w:tcPr>
          <w:p>
            <w:pPr>
              <w:pStyle w:val="10"/>
            </w:pPr>
            <w:r>
              <w:t>项目名称</w:t>
            </w:r>
          </w:p>
        </w:tc>
        <w:tc>
          <w:tcPr>
            <w:tcW w:w="6095" w:type="dxa"/>
            <w:gridSpan w:val="3"/>
            <w:vAlign w:val="center"/>
          </w:tcPr>
          <w:p>
            <w:pPr>
              <w:pStyle w:val="12"/>
            </w:pPr>
            <w:r>
              <w:t>聘用制书记员经费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为聘用制书记员发放工资，缴纳社会保险和住房公积金，保障法院工作顺利开展。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1.为聘用制书记员发放工资，缴纳社会保险和住房公积金，保障法院工作顺利开展。</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聘用制书记员人数</w:t>
            </w:r>
          </w:p>
        </w:tc>
        <w:tc>
          <w:tcPr>
            <w:tcW w:w="5386" w:type="dxa"/>
            <w:vAlign w:val="center"/>
          </w:tcPr>
          <w:p>
            <w:pPr>
              <w:pStyle w:val="12"/>
            </w:pPr>
            <w:r>
              <w:t>聘用制书记员人数</w:t>
            </w:r>
          </w:p>
        </w:tc>
        <w:tc>
          <w:tcPr>
            <w:tcW w:w="2268" w:type="dxa"/>
            <w:vAlign w:val="center"/>
          </w:tcPr>
          <w:p>
            <w:pPr>
              <w:pStyle w:val="12"/>
            </w:pPr>
            <w:r>
              <w:t>16人</w:t>
            </w:r>
          </w:p>
        </w:tc>
        <w:tc>
          <w:tcPr>
            <w:tcW w:w="1276" w:type="dxa"/>
            <w:vAlign w:val="center"/>
          </w:tcPr>
          <w:p>
            <w:pPr>
              <w:pStyle w:val="12"/>
            </w:pPr>
            <w:r>
              <w:t>聘用制书记招聘方案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聘用制书记员年度考核合格率</w:t>
            </w:r>
          </w:p>
        </w:tc>
        <w:tc>
          <w:tcPr>
            <w:tcW w:w="5386" w:type="dxa"/>
            <w:vAlign w:val="center"/>
          </w:tcPr>
          <w:p>
            <w:pPr>
              <w:pStyle w:val="12"/>
            </w:pPr>
            <w:r>
              <w:t>聘用制书记员年度考核合格率</w:t>
            </w:r>
          </w:p>
        </w:tc>
        <w:tc>
          <w:tcPr>
            <w:tcW w:w="2268" w:type="dxa"/>
            <w:vAlign w:val="center"/>
          </w:tcPr>
          <w:p>
            <w:pPr>
              <w:pStyle w:val="12"/>
            </w:pPr>
            <w:r>
              <w:t>≥100%</w:t>
            </w:r>
          </w:p>
        </w:tc>
        <w:tc>
          <w:tcPr>
            <w:tcW w:w="1276" w:type="dxa"/>
            <w:vAlign w:val="center"/>
          </w:tcPr>
          <w:p>
            <w:pPr>
              <w:pStyle w:val="12"/>
            </w:pPr>
            <w:r>
              <w:t>历史经验（近三年考核情况）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≤0.7万元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办案业务量较上年增长率</w:t>
            </w:r>
          </w:p>
        </w:tc>
        <w:tc>
          <w:tcPr>
            <w:tcW w:w="5386" w:type="dxa"/>
            <w:vAlign w:val="center"/>
          </w:tcPr>
          <w:p>
            <w:pPr>
              <w:pStyle w:val="12"/>
            </w:pPr>
            <w:r>
              <w:t>办案业务量较上年增长率</w:t>
            </w:r>
          </w:p>
        </w:tc>
        <w:tc>
          <w:tcPr>
            <w:tcW w:w="2268" w:type="dxa"/>
            <w:vAlign w:val="center"/>
          </w:tcPr>
          <w:p>
            <w:pPr>
              <w:pStyle w:val="12"/>
            </w:pPr>
            <w:r>
              <w:t>≥20%</w:t>
            </w:r>
          </w:p>
        </w:tc>
        <w:tc>
          <w:tcPr>
            <w:tcW w:w="1276" w:type="dxa"/>
            <w:vAlign w:val="center"/>
          </w:tcPr>
          <w:p>
            <w:pPr>
              <w:pStyle w:val="12"/>
            </w:pPr>
            <w:r>
              <w:t>历史经验（近三年业务数据）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聘用制书记员满意度</w:t>
            </w:r>
          </w:p>
        </w:tc>
        <w:tc>
          <w:tcPr>
            <w:tcW w:w="5386" w:type="dxa"/>
            <w:vAlign w:val="center"/>
          </w:tcPr>
          <w:p>
            <w:pPr>
              <w:pStyle w:val="12"/>
            </w:pPr>
            <w:r>
              <w:t>聘用制书记员满意度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8、省法院建设补助资金绩效目标表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13010025P00FAW610002X</w:t>
            </w:r>
          </w:p>
        </w:tc>
        <w:tc>
          <w:tcPr>
            <w:tcW w:w="2835" w:type="dxa"/>
            <w:vAlign w:val="center"/>
          </w:tcPr>
          <w:p>
            <w:pPr>
              <w:pStyle w:val="10"/>
            </w:pPr>
            <w:r>
              <w:t>项目名称</w:t>
            </w:r>
          </w:p>
        </w:tc>
        <w:tc>
          <w:tcPr>
            <w:tcW w:w="6095" w:type="dxa"/>
            <w:gridSpan w:val="3"/>
            <w:vAlign w:val="center"/>
          </w:tcPr>
          <w:p>
            <w:pPr>
              <w:pStyle w:val="12"/>
            </w:pPr>
            <w:r>
              <w:t>省法院建设补助资金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80.07</w:t>
            </w:r>
          </w:p>
        </w:tc>
        <w:tc>
          <w:tcPr>
            <w:tcW w:w="2835" w:type="dxa"/>
            <w:vAlign w:val="center"/>
          </w:tcPr>
          <w:p>
            <w:pPr>
              <w:pStyle w:val="10"/>
            </w:pPr>
            <w:r>
              <w:t>其中：财政    资金</w:t>
            </w:r>
          </w:p>
        </w:tc>
        <w:tc>
          <w:tcPr>
            <w:tcW w:w="2551" w:type="dxa"/>
            <w:vAlign w:val="center"/>
          </w:tcPr>
          <w:p>
            <w:pPr>
              <w:pStyle w:val="12"/>
            </w:pPr>
            <w:r>
              <w:t>80.07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加强对审委会的建设使用，保障法院正常工作开展。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1.加强对审委会的建设使用，保障法院正常工作开展。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业务装备采购数</w:t>
            </w:r>
          </w:p>
        </w:tc>
        <w:tc>
          <w:tcPr>
            <w:tcW w:w="5386" w:type="dxa"/>
            <w:vAlign w:val="center"/>
          </w:tcPr>
          <w:p>
            <w:pPr>
              <w:pStyle w:val="12"/>
            </w:pPr>
            <w:r>
              <w:t>业务装备采购数</w:t>
            </w:r>
          </w:p>
        </w:tc>
        <w:tc>
          <w:tcPr>
            <w:tcW w:w="2268" w:type="dxa"/>
            <w:vAlign w:val="center"/>
          </w:tcPr>
          <w:p>
            <w:pPr>
              <w:pStyle w:val="12"/>
            </w:pPr>
            <w:r>
              <w:t>≥13台</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办公设备采购验收时间</w:t>
            </w:r>
          </w:p>
        </w:tc>
        <w:tc>
          <w:tcPr>
            <w:tcW w:w="2268" w:type="dxa"/>
            <w:vAlign w:val="center"/>
          </w:tcPr>
          <w:p>
            <w:pPr>
              <w:pStyle w:val="12"/>
            </w:pPr>
            <w:r>
              <w:t>2025年10月31日前</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平均采购成本</w:t>
            </w:r>
          </w:p>
        </w:tc>
        <w:tc>
          <w:tcPr>
            <w:tcW w:w="5386" w:type="dxa"/>
            <w:vAlign w:val="center"/>
          </w:tcPr>
          <w:p>
            <w:pPr>
              <w:pStyle w:val="12"/>
            </w:pPr>
            <w:r>
              <w:t>每台设备平均采购成本</w:t>
            </w:r>
          </w:p>
        </w:tc>
        <w:tc>
          <w:tcPr>
            <w:tcW w:w="2268" w:type="dxa"/>
            <w:vAlign w:val="center"/>
          </w:tcPr>
          <w:p>
            <w:pPr>
              <w:pStyle w:val="12"/>
            </w:pPr>
            <w:r>
              <w:t>≤7万元/台</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审判工作保障率</w:t>
            </w:r>
          </w:p>
        </w:tc>
        <w:tc>
          <w:tcPr>
            <w:tcW w:w="5386" w:type="dxa"/>
            <w:vAlign w:val="center"/>
          </w:tcPr>
          <w:p>
            <w:pPr>
              <w:pStyle w:val="12"/>
            </w:pPr>
            <w:r>
              <w:t>审判工作保障率</w:t>
            </w:r>
          </w:p>
        </w:tc>
        <w:tc>
          <w:tcPr>
            <w:tcW w:w="2268" w:type="dxa"/>
            <w:vAlign w:val="center"/>
          </w:tcPr>
          <w:p>
            <w:pPr>
              <w:pStyle w:val="12"/>
            </w:pPr>
            <w:r>
              <w:t>100%</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办公设备可持续使用年限</w:t>
            </w:r>
          </w:p>
        </w:tc>
        <w:tc>
          <w:tcPr>
            <w:tcW w:w="5386" w:type="dxa"/>
            <w:vAlign w:val="center"/>
          </w:tcPr>
          <w:p>
            <w:pPr>
              <w:pStyle w:val="12"/>
            </w:pPr>
            <w:r>
              <w:t>可持续使用年限</w:t>
            </w:r>
          </w:p>
        </w:tc>
        <w:tc>
          <w:tcPr>
            <w:tcW w:w="2268" w:type="dxa"/>
            <w:vAlign w:val="center"/>
          </w:tcPr>
          <w:p>
            <w:pPr>
              <w:pStyle w:val="12"/>
            </w:pPr>
            <w:r>
              <w:t>≥6年</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9、省级法院建设补助资金绩效目标表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13010024P00017610023N</w:t>
            </w:r>
          </w:p>
        </w:tc>
        <w:tc>
          <w:tcPr>
            <w:tcW w:w="2835" w:type="dxa"/>
            <w:vAlign w:val="center"/>
          </w:tcPr>
          <w:p>
            <w:pPr>
              <w:pStyle w:val="10"/>
            </w:pPr>
            <w:r>
              <w:t>项目名称</w:t>
            </w:r>
          </w:p>
        </w:tc>
        <w:tc>
          <w:tcPr>
            <w:tcW w:w="6095" w:type="dxa"/>
            <w:gridSpan w:val="3"/>
            <w:vAlign w:val="center"/>
          </w:tcPr>
          <w:p>
            <w:pPr>
              <w:pStyle w:val="12"/>
            </w:pPr>
            <w:r>
              <w:t>省级法院建设补助资金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82.62</w:t>
            </w:r>
          </w:p>
        </w:tc>
        <w:tc>
          <w:tcPr>
            <w:tcW w:w="2835" w:type="dxa"/>
            <w:vAlign w:val="center"/>
          </w:tcPr>
          <w:p>
            <w:pPr>
              <w:pStyle w:val="10"/>
            </w:pPr>
            <w:r>
              <w:t>其中：财政    资金</w:t>
            </w:r>
          </w:p>
        </w:tc>
        <w:tc>
          <w:tcPr>
            <w:tcW w:w="2551" w:type="dxa"/>
            <w:vAlign w:val="center"/>
          </w:tcPr>
          <w:p>
            <w:pPr>
              <w:pStyle w:val="12"/>
            </w:pPr>
            <w:r>
              <w:t>82.62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10、提前下达2025年省级基层公检法司转移支付资金（办案费）绩效目标表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13010025P00990010175H</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30.95</w:t>
            </w:r>
          </w:p>
        </w:tc>
        <w:tc>
          <w:tcPr>
            <w:tcW w:w="2835" w:type="dxa"/>
            <w:vAlign w:val="center"/>
          </w:tcPr>
          <w:p>
            <w:pPr>
              <w:pStyle w:val="10"/>
            </w:pPr>
            <w:r>
              <w:t>其中：财政    资金</w:t>
            </w:r>
          </w:p>
        </w:tc>
        <w:tc>
          <w:tcPr>
            <w:tcW w:w="2551" w:type="dxa"/>
            <w:vAlign w:val="center"/>
          </w:tcPr>
          <w:p>
            <w:pPr>
              <w:pStyle w:val="12"/>
            </w:pPr>
            <w:r>
              <w:t>30.95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11、提前下达2025年省级基层公检法司转移支付资金（装备费）绩效目标表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13010025P009900101765</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9.05</w:t>
            </w:r>
          </w:p>
        </w:tc>
        <w:tc>
          <w:tcPr>
            <w:tcW w:w="2835" w:type="dxa"/>
            <w:vAlign w:val="center"/>
          </w:tcPr>
          <w:p>
            <w:pPr>
              <w:pStyle w:val="10"/>
            </w:pPr>
            <w:r>
              <w:t>其中：财政    资金</w:t>
            </w:r>
          </w:p>
        </w:tc>
        <w:tc>
          <w:tcPr>
            <w:tcW w:w="2551" w:type="dxa"/>
            <w:vAlign w:val="center"/>
          </w:tcPr>
          <w:p>
            <w:pPr>
              <w:pStyle w:val="12"/>
            </w:pPr>
            <w:r>
              <w:t>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12、提前下达2025年中央政法纪检监察转移支付资金（办案费）绩效目标表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13010025P00990010173A</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13、提前下达2025年中央政法纪检监察转移支付资金（装备费）绩效目标表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13010025P00990010174X</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14、业务保障经费绩效目标表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13010025P00976510106A</w:t>
            </w:r>
          </w:p>
        </w:tc>
        <w:tc>
          <w:tcPr>
            <w:tcW w:w="2835" w:type="dxa"/>
            <w:vAlign w:val="center"/>
          </w:tcPr>
          <w:p>
            <w:pPr>
              <w:pStyle w:val="10"/>
            </w:pPr>
            <w:r>
              <w:t>项目名称</w:t>
            </w:r>
          </w:p>
        </w:tc>
        <w:tc>
          <w:tcPr>
            <w:tcW w:w="6095" w:type="dxa"/>
            <w:gridSpan w:val="3"/>
            <w:vAlign w:val="center"/>
          </w:tcPr>
          <w:p>
            <w:pPr>
              <w:pStyle w:val="12"/>
            </w:pPr>
            <w:r>
              <w:t>业务保障经费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56.70</w:t>
            </w:r>
          </w:p>
        </w:tc>
        <w:tc>
          <w:tcPr>
            <w:tcW w:w="2835" w:type="dxa"/>
            <w:vAlign w:val="center"/>
          </w:tcPr>
          <w:p>
            <w:pPr>
              <w:pStyle w:val="10"/>
            </w:pPr>
            <w:r>
              <w:t>其中：财政    资金</w:t>
            </w:r>
          </w:p>
        </w:tc>
        <w:tc>
          <w:tcPr>
            <w:tcW w:w="2551" w:type="dxa"/>
            <w:vAlign w:val="center"/>
          </w:tcPr>
          <w:p>
            <w:pPr>
              <w:pStyle w:val="12"/>
            </w:pPr>
            <w:r>
              <w:t>56.70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保障机关运行所需的宣传费用、维修维护费、办公耗材费等支出。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1.用于单位人员宣传费用、维修维护费、办公耗材费等支出，保障机关业务正常运行。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业务保障人数</w:t>
            </w:r>
          </w:p>
        </w:tc>
        <w:tc>
          <w:tcPr>
            <w:tcW w:w="5386" w:type="dxa"/>
            <w:vAlign w:val="center"/>
          </w:tcPr>
          <w:p>
            <w:pPr>
              <w:pStyle w:val="12"/>
            </w:pPr>
            <w:r>
              <w:t>业务保障办公人数</w:t>
            </w:r>
          </w:p>
        </w:tc>
        <w:tc>
          <w:tcPr>
            <w:tcW w:w="2268" w:type="dxa"/>
            <w:vAlign w:val="center"/>
          </w:tcPr>
          <w:p>
            <w:pPr>
              <w:pStyle w:val="12"/>
            </w:pPr>
            <w:r>
              <w:t>≥44人</w:t>
            </w:r>
          </w:p>
        </w:tc>
        <w:tc>
          <w:tcPr>
            <w:tcW w:w="1276" w:type="dxa"/>
            <w:vAlign w:val="center"/>
          </w:tcPr>
          <w:p>
            <w:pPr>
              <w:pStyle w:val="12"/>
            </w:pPr>
            <w:r>
              <w:t>单位工作人员统计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业务保障率</w:t>
            </w:r>
          </w:p>
        </w:tc>
        <w:tc>
          <w:tcPr>
            <w:tcW w:w="2268" w:type="dxa"/>
            <w:vAlign w:val="center"/>
          </w:tcPr>
          <w:p>
            <w:pPr>
              <w:pStyle w:val="12"/>
            </w:pPr>
            <w:r>
              <w:t>≥90%</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业务保障期限</w:t>
            </w:r>
          </w:p>
        </w:tc>
        <w:tc>
          <w:tcPr>
            <w:tcW w:w="5386" w:type="dxa"/>
            <w:vAlign w:val="center"/>
          </w:tcPr>
          <w:p>
            <w:pPr>
              <w:pStyle w:val="12"/>
            </w:pPr>
            <w:r>
              <w:t>业务保障期限</w:t>
            </w:r>
          </w:p>
        </w:tc>
        <w:tc>
          <w:tcPr>
            <w:tcW w:w="2268" w:type="dxa"/>
            <w:vAlign w:val="center"/>
          </w:tcPr>
          <w:p>
            <w:pPr>
              <w:pStyle w:val="12"/>
            </w:pPr>
            <w:r>
              <w:t>1年</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机关运转经费控制金额</w:t>
            </w:r>
          </w:p>
        </w:tc>
        <w:tc>
          <w:tcPr>
            <w:tcW w:w="5386" w:type="dxa"/>
            <w:vAlign w:val="center"/>
          </w:tcPr>
          <w:p>
            <w:pPr>
              <w:pStyle w:val="12"/>
            </w:pPr>
            <w:r>
              <w:t>机关运转经费控制金额</w:t>
            </w:r>
          </w:p>
        </w:tc>
        <w:tc>
          <w:tcPr>
            <w:tcW w:w="2268" w:type="dxa"/>
            <w:vAlign w:val="center"/>
          </w:tcPr>
          <w:p>
            <w:pPr>
              <w:pStyle w:val="12"/>
            </w:pPr>
            <w:r>
              <w:t>≤2.8万元/人</w:t>
            </w:r>
          </w:p>
        </w:tc>
        <w:tc>
          <w:tcPr>
            <w:tcW w:w="1276" w:type="dxa"/>
            <w:vAlign w:val="center"/>
          </w:tcPr>
          <w:p>
            <w:pPr>
              <w:pStyle w:val="12"/>
            </w:pPr>
            <w:r>
              <w:t>年度预决算文本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部门正常运转率</w:t>
            </w:r>
          </w:p>
        </w:tc>
        <w:tc>
          <w:tcPr>
            <w:tcW w:w="5386" w:type="dxa"/>
            <w:vAlign w:val="center"/>
          </w:tcPr>
          <w:p>
            <w:pPr>
              <w:pStyle w:val="12"/>
            </w:pPr>
            <w:r>
              <w:t>部门正常运转率</w:t>
            </w:r>
          </w:p>
        </w:tc>
        <w:tc>
          <w:tcPr>
            <w:tcW w:w="2268" w:type="dxa"/>
            <w:vAlign w:val="center"/>
          </w:tcPr>
          <w:p>
            <w:pPr>
              <w:pStyle w:val="12"/>
            </w:pPr>
            <w:r>
              <w:t>≥95%</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7"/>
      <w:r>
        <w:rPr>
          <w:rFonts w:ascii="黑体" w:hAnsi="黑体" w:eastAsia="黑体" w:cs="黑体"/>
          <w:color w:val="000000"/>
          <w:sz w:val="32"/>
        </w:rPr>
        <w:t>八、政府采购预算情况</w:t>
      </w:r>
      <w:bookmarkEnd w:id="15"/>
    </w:p>
    <w:p>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614石家庄市井陉矿区人民法院</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175.24</w:t>
            </w:r>
          </w:p>
        </w:tc>
        <w:tc>
          <w:tcPr>
            <w:tcW w:w="964" w:type="dxa"/>
            <w:vAlign w:val="center"/>
          </w:tcPr>
          <w:p>
            <w:pPr>
              <w:pStyle w:val="15"/>
            </w:pPr>
            <w:r>
              <w:t>92.62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82.62</w:t>
            </w:r>
          </w:p>
        </w:tc>
        <w:tc>
          <w:tcPr>
            <w:tcW w:w="964" w:type="dxa"/>
            <w:vAlign w:val="center"/>
          </w:tcPr>
          <w:p>
            <w:pPr>
              <w:pStyle w:val="15"/>
            </w:pPr>
            <w:r>
              <w:t>175.24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石家庄市井陉矿区人民法院本级小计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175.24</w:t>
            </w:r>
          </w:p>
        </w:tc>
        <w:tc>
          <w:tcPr>
            <w:tcW w:w="964" w:type="dxa"/>
            <w:vAlign w:val="center"/>
          </w:tcPr>
          <w:p>
            <w:pPr>
              <w:pStyle w:val="15"/>
            </w:pPr>
            <w:r>
              <w:t>92.62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82.62</w:t>
            </w:r>
          </w:p>
        </w:tc>
        <w:tc>
          <w:tcPr>
            <w:tcW w:w="964" w:type="dxa"/>
            <w:vAlign w:val="center"/>
          </w:tcPr>
          <w:p>
            <w:pPr>
              <w:pStyle w:val="15"/>
            </w:pPr>
            <w:r>
              <w:t>175.24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省级法院建设补助资金</w:t>
            </w:r>
          </w:p>
        </w:tc>
        <w:tc>
          <w:tcPr>
            <w:tcW w:w="964" w:type="dxa"/>
            <w:vAlign w:val="center"/>
          </w:tcPr>
          <w:p>
            <w:pPr>
              <w:pStyle w:val="11"/>
            </w:pPr>
            <w:r>
              <w:t>82.62</w:t>
            </w:r>
          </w:p>
        </w:tc>
        <w:tc>
          <w:tcPr>
            <w:tcW w:w="1134" w:type="dxa"/>
            <w:vAlign w:val="center"/>
          </w:tcPr>
          <w:p>
            <w:pPr>
              <w:pStyle w:val="12"/>
            </w:pPr>
            <w:r>
              <w:t>办公用房施工</w:t>
            </w:r>
          </w:p>
        </w:tc>
        <w:tc>
          <w:tcPr>
            <w:tcW w:w="1134" w:type="dxa"/>
            <w:vAlign w:val="center"/>
          </w:tcPr>
          <w:p>
            <w:pPr>
              <w:pStyle w:val="12"/>
            </w:pPr>
            <w:r>
              <w:t>B01010000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82.62</w:t>
            </w:r>
          </w:p>
        </w:tc>
        <w:tc>
          <w:tcPr>
            <w:tcW w:w="964" w:type="dxa"/>
            <w:vAlign w:val="center"/>
          </w:tcPr>
          <w:p>
            <w:pPr>
              <w:pStyle w:val="11"/>
            </w:pPr>
            <w:r>
              <w:t>82.62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82.62</w:t>
            </w:r>
          </w:p>
        </w:tc>
        <w:tc>
          <w:tcPr>
            <w:tcW w:w="96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省法院建设补助资金</w:t>
            </w:r>
          </w:p>
        </w:tc>
        <w:tc>
          <w:tcPr>
            <w:tcW w:w="964" w:type="dxa"/>
            <w:vAlign w:val="center"/>
          </w:tcPr>
          <w:p>
            <w:pPr>
              <w:pStyle w:val="11"/>
            </w:pPr>
            <w:r>
              <w:t>80.07</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80.07</w:t>
            </w:r>
          </w:p>
        </w:tc>
        <w:tc>
          <w:tcPr>
            <w:tcW w:w="964" w:type="dxa"/>
            <w:vAlign w:val="center"/>
          </w:tcPr>
          <w:p>
            <w:pPr>
              <w:pStyle w:val="11"/>
            </w:pPr>
            <w:r>
              <w:t>80.07</w:t>
            </w:r>
          </w:p>
        </w:tc>
        <w:tc>
          <w:tcPr>
            <w:tcW w:w="964" w:type="dxa"/>
            <w:vAlign w:val="center"/>
          </w:tcPr>
          <w:p>
            <w:pPr>
              <w:pStyle w:val="11"/>
            </w:pPr>
            <w:r>
              <w:t>80.07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4.90</w:t>
            </w:r>
          </w:p>
        </w:tc>
        <w:tc>
          <w:tcPr>
            <w:tcW w:w="964" w:type="dxa"/>
            <w:vAlign w:val="center"/>
          </w:tcPr>
          <w:p>
            <w:pPr>
              <w:pStyle w:val="11"/>
            </w:pPr>
            <w:r>
              <w:t>4.90</w:t>
            </w:r>
          </w:p>
        </w:tc>
        <w:tc>
          <w:tcPr>
            <w:tcW w:w="964" w:type="dxa"/>
            <w:vAlign w:val="center"/>
          </w:tcPr>
          <w:p>
            <w:pPr>
              <w:pStyle w:val="11"/>
            </w:pPr>
            <w:r>
              <w:t>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0.19</w:t>
            </w:r>
          </w:p>
        </w:tc>
        <w:tc>
          <w:tcPr>
            <w:tcW w:w="964" w:type="dxa"/>
            <w:vAlign w:val="center"/>
          </w:tcPr>
          <w:p>
            <w:pPr>
              <w:pStyle w:val="11"/>
            </w:pPr>
            <w:r>
              <w:t>2.85</w:t>
            </w:r>
          </w:p>
        </w:tc>
        <w:tc>
          <w:tcPr>
            <w:tcW w:w="964" w:type="dxa"/>
            <w:vAlign w:val="center"/>
          </w:tcPr>
          <w:p>
            <w:pPr>
              <w:pStyle w:val="11"/>
            </w:pPr>
            <w:r>
              <w:t>2.85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0.81</w:t>
            </w:r>
          </w:p>
        </w:tc>
        <w:tc>
          <w:tcPr>
            <w:tcW w:w="964" w:type="dxa"/>
            <w:vAlign w:val="center"/>
          </w:tcPr>
          <w:p>
            <w:pPr>
              <w:pStyle w:val="11"/>
            </w:pPr>
            <w:r>
              <w:t>0.81</w:t>
            </w:r>
          </w:p>
        </w:tc>
        <w:tc>
          <w:tcPr>
            <w:tcW w:w="964" w:type="dxa"/>
            <w:vAlign w:val="center"/>
          </w:tcPr>
          <w:p>
            <w:pPr>
              <w:pStyle w:val="11"/>
            </w:pPr>
            <w:r>
              <w:t>0.81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把</w:t>
            </w:r>
          </w:p>
        </w:tc>
        <w:tc>
          <w:tcPr>
            <w:tcW w:w="850" w:type="dxa"/>
            <w:vAlign w:val="center"/>
          </w:tcPr>
          <w:p>
            <w:pPr>
              <w:pStyle w:val="11"/>
            </w:pPr>
            <w:r>
              <w:t>14</w:t>
            </w:r>
          </w:p>
        </w:tc>
        <w:tc>
          <w:tcPr>
            <w:tcW w:w="850" w:type="dxa"/>
            <w:vAlign w:val="center"/>
          </w:tcPr>
          <w:p>
            <w:pPr>
              <w:pStyle w:val="11"/>
            </w:pPr>
            <w:r>
              <w:t>0.04</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提前下达2025年中央政法纪检监察转移支付资金（装备费）</w:t>
            </w:r>
          </w:p>
        </w:tc>
        <w:tc>
          <w:tcPr>
            <w:tcW w:w="964" w:type="dxa"/>
            <w:vAlign w:val="center"/>
          </w:tcPr>
          <w:p>
            <w:pPr>
              <w:pStyle w:val="11"/>
            </w:pPr>
            <w:r>
              <w:t>13.00</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0.44</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6" w:name="_Toc_3_3_0000000018"/>
      <w:r>
        <w:rPr>
          <w:rFonts w:ascii="黑体" w:hAnsi="黑体" w:eastAsia="黑体" w:cs="黑体"/>
          <w:color w:val="000000"/>
          <w:sz w:val="32"/>
        </w:rPr>
        <w:t>九、国有资产信息</w:t>
      </w:r>
      <w:bookmarkEnd w:id="16"/>
    </w:p>
    <w:p>
      <w:pPr>
        <w:spacing w:line="500" w:lineRule="exact"/>
        <w:ind w:firstLine="560"/>
      </w:pPr>
      <w:r>
        <w:rPr>
          <w:rFonts w:eastAsia="方正仿宋_GBK"/>
          <w:color w:val="000000"/>
          <w:sz w:val="28"/>
        </w:rPr>
        <w:t>石家庄市井陉矿区人民法院（含所属单位）上年末固定资产金额为3921.85万元（详见下表）。本年度拟购置固定资产总额为</w:t>
      </w:r>
      <w:r>
        <w:rPr>
          <w:rFonts w:hint="eastAsia" w:eastAsia="方正仿宋_GBK"/>
          <w:color w:val="000000"/>
          <w:sz w:val="28"/>
          <w:lang w:val="en-US" w:eastAsia="zh-CN"/>
        </w:rPr>
        <w:t>102.12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614石家庄市井陉矿区人民法院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3921.85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4472</w:t>
            </w:r>
          </w:p>
        </w:tc>
        <w:tc>
          <w:tcPr>
            <w:tcW w:w="2835" w:type="dxa"/>
            <w:vAlign w:val="center"/>
          </w:tcPr>
          <w:p>
            <w:pPr>
              <w:pStyle w:val="11"/>
            </w:pPr>
            <w:r>
              <w:t>842.94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1240</w:t>
            </w:r>
          </w:p>
        </w:tc>
        <w:tc>
          <w:tcPr>
            <w:tcW w:w="2835" w:type="dxa"/>
            <w:vAlign w:val="center"/>
          </w:tcPr>
          <w:p>
            <w:pPr>
              <w:pStyle w:val="11"/>
            </w:pPr>
            <w:r>
              <w:t>842.71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eastAsia="zh-CN"/>
              </w:rPr>
            </w:pPr>
            <w:r>
              <w:rPr>
                <w:rFonts w:hint="eastAsia"/>
                <w:lang w:val="en-US" w:eastAsia="zh-CN"/>
              </w:rPr>
              <w:t>6</w:t>
            </w:r>
            <w:bookmarkStart w:id="19" w:name="_GoBack"/>
            <w:bookmarkEnd w:id="19"/>
          </w:p>
        </w:tc>
        <w:tc>
          <w:tcPr>
            <w:tcW w:w="2835" w:type="dxa"/>
            <w:vAlign w:val="center"/>
          </w:tcPr>
          <w:p>
            <w:pPr>
              <w:pStyle w:val="11"/>
            </w:pPr>
            <w:r>
              <w:t>264.34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14</w:t>
            </w:r>
          </w:p>
        </w:tc>
        <w:tc>
          <w:tcPr>
            <w:tcW w:w="2835" w:type="dxa"/>
            <w:vAlign w:val="center"/>
          </w:tcPr>
          <w:p>
            <w:pPr>
              <w:pStyle w:val="11"/>
            </w:pPr>
            <w:r>
              <w:t>724.71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3964</w:t>
            </w:r>
          </w:p>
        </w:tc>
        <w:tc>
          <w:tcPr>
            <w:tcW w:w="2835" w:type="dxa"/>
            <w:vAlign w:val="center"/>
          </w:tcPr>
          <w:p>
            <w:pPr>
              <w:pStyle w:val="11"/>
            </w:pPr>
            <w:r>
              <w:t>2089.86</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7" w:name="_Toc_3_3_0000000019"/>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十、名词解释</w:t>
      </w:r>
      <w:bookmarkEnd w:id="17"/>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27A389"/>
    <w:multiLevelType w:val="singleLevel"/>
    <w:tmpl w:val="AD27A38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94C"/>
    <w:rsid w:val="002C594C"/>
    <w:rsid w:val="00E16BF8"/>
    <w:rsid w:val="0A4C64F8"/>
    <w:rsid w:val="3A80146E"/>
    <w:rsid w:val="4DFD7FA4"/>
    <w:rsid w:val="5FE42727"/>
    <w:rsid w:val="63291A9A"/>
    <w:rsid w:val="75085F77"/>
    <w:rsid w:val="7CE77C42"/>
    <w:rsid w:val="7E1870E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44</Pages>
  <Words>5955</Words>
  <Characters>7678</Characters>
  <Lines>232</Lines>
  <Paragraphs>65</Paragraphs>
  <TotalTime>18</TotalTime>
  <ScaleCrop>false</ScaleCrop>
  <LinksUpToDate>false</LinksUpToDate>
  <CharactersWithSpaces>7840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2025-01-22T00:10:00Z</dcterms:created>
  <dc:creator>Administrator</dc:creator>
  <cp:lastModifiedBy>。。</cp:lastModifiedBy>
  <dcterms:modified xsi:type="dcterms:W3CDTF">2025-09-10T02:50:33Z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904291728381451FA2716C1082D07A41_13</vt:lpwstr>
  </property>
  <property fmtid="{D5CDD505-2E9C-101B-9397-08002B2CF9AE}" pid="4" name="KSOTemplateDocerSaveRecord">
    <vt:lpwstr>eyJoZGlkIjoiZTNiMmJjMGUyMDNhMGI0MjllZTc4OTE3ODRjOTBjMWQiLCJ1c2VySWQiOiIxOTQ4OTg5MzcifQ==</vt:lpwstr>
  </property>
</Properties>
</file>