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pPr>
      <w:bookmarkStart w:id="0" w:name="_Toc_4_4_0000000021"/>
      <w:r>
        <w:rPr>
          <w:rFonts w:ascii="黑体" w:hAnsi="黑体" w:eastAsia="黑体" w:cs="黑体"/>
          <w:b/>
          <w:color w:val="000000"/>
          <w:sz w:val="44"/>
        </w:rPr>
        <w:t>202</w:t>
      </w:r>
      <w:r>
        <w:rPr>
          <w:rFonts w:hint="eastAsia" w:ascii="黑体" w:hAnsi="黑体" w:eastAsia="黑体" w:cs="黑体"/>
          <w:b/>
          <w:color w:val="000000"/>
          <w:sz w:val="44"/>
          <w:lang w:val="en-US" w:eastAsia="zh-CN"/>
        </w:rPr>
        <w:t>5</w:t>
      </w:r>
      <w:r>
        <w:rPr>
          <w:rFonts w:ascii="黑体" w:hAnsi="黑体" w:eastAsia="黑体" w:cs="黑体"/>
          <w:b/>
          <w:color w:val="000000"/>
          <w:sz w:val="44"/>
        </w:rPr>
        <w:t>年单位预算信息公开目录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一、石家庄市井陉矿区人民法院本级收支预算</w:t>
      </w:r>
      <w:r>
        <w:tab/>
      </w:r>
      <w:r>
        <w:fldChar w:fldCharType="begin"/>
      </w:r>
      <w:r>
        <w:instrText xml:space="preserve">PAGEREF _Toc_4_4_0000000001 \h</w:instrText>
      </w:r>
      <w:r>
        <w:fldChar w:fldCharType="separate"/>
      </w:r>
      <w:r>
        <w:t>1</w:t>
      </w:r>
      <w:r>
        <w:fldChar w:fldCharType="end"/>
      </w: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r>
        <w:rPr>
          <w:rFonts w:ascii="方正小标宋_GBK" w:hAnsi="方正小标宋_GBK" w:eastAsia="方正小标宋_GBK" w:cs="方正小标宋_GBK"/>
          <w:color w:val="000000"/>
          <w:sz w:val="44"/>
        </w:rPr>
        <w:t>一、石家庄市井陉矿区人民法院本级收支预算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1445.33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1254.54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1445.33</w:t>
            </w:r>
          </w:p>
        </w:tc>
        <w:tc>
          <w:tcPr>
            <w:tcW w:w="4535" w:type="dxa"/>
            <w:vAlign w:val="center"/>
          </w:tcPr>
          <w:p>
            <w:pPr>
              <w:pStyle w:val="14"/>
            </w:pPr>
            <w:r>
              <w:t>本年支出合计</w:t>
            </w:r>
          </w:p>
        </w:tc>
        <w:tc>
          <w:tcPr>
            <w:tcW w:w="2126" w:type="dxa"/>
            <w:vAlign w:val="center"/>
          </w:tcPr>
          <w:p>
            <w:pPr>
              <w:pStyle w:val="15"/>
            </w:pPr>
            <w:r>
              <w:t>1527.95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82.62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1527.95</w:t>
            </w:r>
          </w:p>
        </w:tc>
        <w:tc>
          <w:tcPr>
            <w:tcW w:w="4535" w:type="dxa"/>
            <w:vAlign w:val="center"/>
          </w:tcPr>
          <w:p>
            <w:pPr>
              <w:pStyle w:val="14"/>
            </w:pPr>
            <w:r>
              <w:t>支出总计</w:t>
            </w:r>
          </w:p>
        </w:tc>
        <w:tc>
          <w:tcPr>
            <w:tcW w:w="2126" w:type="dxa"/>
            <w:vAlign w:val="center"/>
          </w:tcPr>
          <w:p>
            <w:pPr>
              <w:pStyle w:val="15"/>
            </w:pPr>
            <w:r>
              <w:t>1527.95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1527.95</w:t>
            </w:r>
          </w:p>
        </w:tc>
        <w:tc>
          <w:tcPr>
            <w:tcW w:w="1134" w:type="dxa"/>
            <w:vAlign w:val="center"/>
          </w:tcPr>
          <w:p>
            <w:pPr>
              <w:pStyle w:val="15"/>
            </w:pPr>
            <w:r>
              <w:t>1445.33</w:t>
            </w:r>
          </w:p>
        </w:tc>
        <w:tc>
          <w:tcPr>
            <w:tcW w:w="1134" w:type="dxa"/>
            <w:vAlign w:val="center"/>
          </w:tcPr>
          <w:p>
            <w:pPr>
              <w:pStyle w:val="15"/>
            </w:pPr>
            <w:r>
              <w:t>1445.33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1254.54</w:t>
            </w:r>
          </w:p>
        </w:tc>
        <w:tc>
          <w:tcPr>
            <w:tcW w:w="1134" w:type="dxa"/>
            <w:vAlign w:val="center"/>
          </w:tcPr>
          <w:p>
            <w:pPr>
              <w:pStyle w:val="11"/>
            </w:pPr>
            <w:r>
              <w:t>1171.92</w:t>
            </w:r>
          </w:p>
        </w:tc>
        <w:tc>
          <w:tcPr>
            <w:tcW w:w="1134" w:type="dxa"/>
            <w:vAlign w:val="center"/>
          </w:tcPr>
          <w:p>
            <w:pPr>
              <w:pStyle w:val="11"/>
            </w:pPr>
            <w:r>
              <w:t>1171.92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1254.54</w:t>
            </w:r>
          </w:p>
        </w:tc>
        <w:tc>
          <w:tcPr>
            <w:tcW w:w="1134" w:type="dxa"/>
            <w:vAlign w:val="center"/>
          </w:tcPr>
          <w:p>
            <w:pPr>
              <w:pStyle w:val="11"/>
            </w:pPr>
            <w:r>
              <w:t>1171.92</w:t>
            </w:r>
          </w:p>
        </w:tc>
        <w:tc>
          <w:tcPr>
            <w:tcW w:w="1134" w:type="dxa"/>
            <w:vAlign w:val="center"/>
          </w:tcPr>
          <w:p>
            <w:pPr>
              <w:pStyle w:val="11"/>
            </w:pPr>
            <w:r>
              <w:t>1171.92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2040501</w:t>
            </w:r>
          </w:p>
        </w:tc>
        <w:tc>
          <w:tcPr>
            <w:tcW w:w="1559" w:type="dxa"/>
            <w:vAlign w:val="center"/>
          </w:tcPr>
          <w:p>
            <w:pPr>
              <w:pStyle w:val="12"/>
            </w:pPr>
            <w:r>
              <w:t>行政运行</w:t>
            </w:r>
          </w:p>
        </w:tc>
        <w:tc>
          <w:tcPr>
            <w:tcW w:w="1134" w:type="dxa"/>
            <w:vAlign w:val="center"/>
          </w:tcPr>
          <w:p>
            <w:pPr>
              <w:pStyle w:val="11"/>
            </w:pPr>
            <w:r>
              <w:t>716.60</w:t>
            </w:r>
          </w:p>
        </w:tc>
        <w:tc>
          <w:tcPr>
            <w:tcW w:w="1134" w:type="dxa"/>
            <w:vAlign w:val="center"/>
          </w:tcPr>
          <w:p>
            <w:pPr>
              <w:pStyle w:val="11"/>
            </w:pPr>
            <w:r>
              <w:t>716.60</w:t>
            </w:r>
          </w:p>
        </w:tc>
        <w:tc>
          <w:tcPr>
            <w:tcW w:w="1134" w:type="dxa"/>
            <w:vAlign w:val="center"/>
          </w:tcPr>
          <w:p>
            <w:pPr>
              <w:pStyle w:val="11"/>
            </w:pPr>
            <w:r>
              <w:t>716.60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375.25</w:t>
            </w:r>
          </w:p>
        </w:tc>
        <w:tc>
          <w:tcPr>
            <w:tcW w:w="1134" w:type="dxa"/>
            <w:vAlign w:val="center"/>
          </w:tcPr>
          <w:p>
            <w:pPr>
              <w:pStyle w:val="11"/>
            </w:pPr>
            <w:r>
              <w:t>375.25</w:t>
            </w:r>
          </w:p>
        </w:tc>
        <w:tc>
          <w:tcPr>
            <w:tcW w:w="1134" w:type="dxa"/>
            <w:vAlign w:val="center"/>
          </w:tcPr>
          <w:p>
            <w:pPr>
              <w:pStyle w:val="11"/>
            </w:pPr>
            <w:r>
              <w:t>375.25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2040599</w:t>
            </w:r>
          </w:p>
        </w:tc>
        <w:tc>
          <w:tcPr>
            <w:tcW w:w="1559" w:type="dxa"/>
            <w:vAlign w:val="center"/>
          </w:tcPr>
          <w:p>
            <w:pPr>
              <w:pStyle w:val="12"/>
            </w:pPr>
            <w:r>
              <w:t>其他法院支出</w:t>
            </w:r>
          </w:p>
        </w:tc>
        <w:tc>
          <w:tcPr>
            <w:tcW w:w="1134" w:type="dxa"/>
            <w:vAlign w:val="center"/>
          </w:tcPr>
          <w:p>
            <w:pPr>
              <w:pStyle w:val="11"/>
            </w:pPr>
            <w:r>
              <w:t>162.69</w:t>
            </w:r>
          </w:p>
        </w:tc>
        <w:tc>
          <w:tcPr>
            <w:tcW w:w="1134" w:type="dxa"/>
            <w:vAlign w:val="center"/>
          </w:tcPr>
          <w:p>
            <w:pPr>
              <w:pStyle w:val="11"/>
            </w:pPr>
            <w:r>
              <w:t>80.07</w:t>
            </w:r>
          </w:p>
        </w:tc>
        <w:tc>
          <w:tcPr>
            <w:tcW w:w="1134" w:type="dxa"/>
            <w:vAlign w:val="center"/>
          </w:tcPr>
          <w:p>
            <w:pPr>
              <w:pStyle w:val="11"/>
            </w:pPr>
            <w:r>
              <w:t>80.07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171.41</w:t>
            </w:r>
          </w:p>
        </w:tc>
        <w:tc>
          <w:tcPr>
            <w:tcW w:w="1134" w:type="dxa"/>
            <w:vAlign w:val="center"/>
          </w:tcPr>
          <w:p>
            <w:pPr>
              <w:pStyle w:val="11"/>
            </w:pPr>
            <w:r>
              <w:t>171.41</w:t>
            </w:r>
          </w:p>
        </w:tc>
        <w:tc>
          <w:tcPr>
            <w:tcW w:w="1134" w:type="dxa"/>
            <w:vAlign w:val="center"/>
          </w:tcPr>
          <w:p>
            <w:pPr>
              <w:pStyle w:val="11"/>
            </w:pPr>
            <w:r>
              <w:t>171.41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169.85</w:t>
            </w:r>
          </w:p>
        </w:tc>
        <w:tc>
          <w:tcPr>
            <w:tcW w:w="1134" w:type="dxa"/>
            <w:vAlign w:val="center"/>
          </w:tcPr>
          <w:p>
            <w:pPr>
              <w:pStyle w:val="11"/>
            </w:pPr>
            <w:r>
              <w:t>169.85</w:t>
            </w:r>
          </w:p>
        </w:tc>
        <w:tc>
          <w:tcPr>
            <w:tcW w:w="1134" w:type="dxa"/>
            <w:vAlign w:val="center"/>
          </w:tcPr>
          <w:p>
            <w:pPr>
              <w:pStyle w:val="11"/>
            </w:pPr>
            <w:r>
              <w:t>169.85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105.85</w:t>
            </w:r>
          </w:p>
        </w:tc>
        <w:tc>
          <w:tcPr>
            <w:tcW w:w="1134" w:type="dxa"/>
            <w:vAlign w:val="center"/>
          </w:tcPr>
          <w:p>
            <w:pPr>
              <w:pStyle w:val="11"/>
            </w:pPr>
            <w:r>
              <w:t>105.85</w:t>
            </w:r>
          </w:p>
        </w:tc>
        <w:tc>
          <w:tcPr>
            <w:tcW w:w="1134" w:type="dxa"/>
            <w:vAlign w:val="center"/>
          </w:tcPr>
          <w:p>
            <w:pPr>
              <w:pStyle w:val="11"/>
            </w:pPr>
            <w:r>
              <w:t>105.85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r>
              <w:t>1.56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r>
              <w:t>46.00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r>
              <w:t>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1527.95</w:t>
            </w:r>
          </w:p>
        </w:tc>
        <w:tc>
          <w:tcPr>
            <w:tcW w:w="1361" w:type="dxa"/>
            <w:vAlign w:val="center"/>
          </w:tcPr>
          <w:p>
            <w:pPr>
              <w:pStyle w:val="15"/>
            </w:pPr>
            <w:r>
              <w:t>990.01</w:t>
            </w:r>
          </w:p>
        </w:tc>
        <w:tc>
          <w:tcPr>
            <w:tcW w:w="1361" w:type="dxa"/>
            <w:vAlign w:val="center"/>
          </w:tcPr>
          <w:p>
            <w:pPr>
              <w:pStyle w:val="15"/>
            </w:pPr>
            <w:r>
              <w:t>537.94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1254.54</w:t>
            </w:r>
          </w:p>
        </w:tc>
        <w:tc>
          <w:tcPr>
            <w:tcW w:w="1361" w:type="dxa"/>
            <w:vAlign w:val="center"/>
          </w:tcPr>
          <w:p>
            <w:pPr>
              <w:pStyle w:val="11"/>
            </w:pPr>
            <w:r>
              <w:t>716.60</w:t>
            </w:r>
          </w:p>
        </w:tc>
        <w:tc>
          <w:tcPr>
            <w:tcW w:w="1361" w:type="dxa"/>
            <w:vAlign w:val="center"/>
          </w:tcPr>
          <w:p>
            <w:pPr>
              <w:pStyle w:val="11"/>
            </w:pPr>
            <w:r>
              <w:t>537.94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1254.54</w:t>
            </w:r>
          </w:p>
        </w:tc>
        <w:tc>
          <w:tcPr>
            <w:tcW w:w="1361" w:type="dxa"/>
            <w:vAlign w:val="center"/>
          </w:tcPr>
          <w:p>
            <w:pPr>
              <w:pStyle w:val="11"/>
            </w:pPr>
            <w:r>
              <w:t>716.60</w:t>
            </w:r>
          </w:p>
        </w:tc>
        <w:tc>
          <w:tcPr>
            <w:tcW w:w="1361" w:type="dxa"/>
            <w:vAlign w:val="center"/>
          </w:tcPr>
          <w:p>
            <w:pPr>
              <w:pStyle w:val="11"/>
            </w:pPr>
            <w:r>
              <w:t>537.94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2040501</w:t>
            </w:r>
          </w:p>
        </w:tc>
        <w:tc>
          <w:tcPr>
            <w:tcW w:w="4535" w:type="dxa"/>
            <w:vAlign w:val="center"/>
          </w:tcPr>
          <w:p>
            <w:pPr>
              <w:pStyle w:val="12"/>
            </w:pPr>
            <w:r>
              <w:t>行政运行</w:t>
            </w:r>
          </w:p>
        </w:tc>
        <w:tc>
          <w:tcPr>
            <w:tcW w:w="1361" w:type="dxa"/>
            <w:vAlign w:val="center"/>
          </w:tcPr>
          <w:p>
            <w:pPr>
              <w:pStyle w:val="11"/>
            </w:pPr>
            <w:r>
              <w:t>716.60</w:t>
            </w:r>
          </w:p>
        </w:tc>
        <w:tc>
          <w:tcPr>
            <w:tcW w:w="1361" w:type="dxa"/>
            <w:vAlign w:val="center"/>
          </w:tcPr>
          <w:p>
            <w:pPr>
              <w:pStyle w:val="11"/>
            </w:pPr>
            <w:r>
              <w:t>716.60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375.25</w:t>
            </w:r>
          </w:p>
        </w:tc>
        <w:tc>
          <w:tcPr>
            <w:tcW w:w="1361" w:type="dxa"/>
            <w:vAlign w:val="center"/>
          </w:tcPr>
          <w:p>
            <w:pPr>
              <w:pStyle w:val="11"/>
            </w:pPr>
          </w:p>
        </w:tc>
        <w:tc>
          <w:tcPr>
            <w:tcW w:w="1361" w:type="dxa"/>
            <w:vAlign w:val="center"/>
          </w:tcPr>
          <w:p>
            <w:pPr>
              <w:pStyle w:val="11"/>
            </w:pPr>
            <w:r>
              <w:t>375.25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2040599</w:t>
            </w:r>
          </w:p>
        </w:tc>
        <w:tc>
          <w:tcPr>
            <w:tcW w:w="4535" w:type="dxa"/>
            <w:vAlign w:val="center"/>
          </w:tcPr>
          <w:p>
            <w:pPr>
              <w:pStyle w:val="12"/>
            </w:pPr>
            <w:r>
              <w:t>其他法院支出</w:t>
            </w:r>
          </w:p>
        </w:tc>
        <w:tc>
          <w:tcPr>
            <w:tcW w:w="1361" w:type="dxa"/>
            <w:vAlign w:val="center"/>
          </w:tcPr>
          <w:p>
            <w:pPr>
              <w:pStyle w:val="11"/>
            </w:pPr>
            <w:r>
              <w:t>162.69</w:t>
            </w:r>
          </w:p>
        </w:tc>
        <w:tc>
          <w:tcPr>
            <w:tcW w:w="1361" w:type="dxa"/>
            <w:vAlign w:val="center"/>
          </w:tcPr>
          <w:p>
            <w:pPr>
              <w:pStyle w:val="11"/>
            </w:pPr>
          </w:p>
        </w:tc>
        <w:tc>
          <w:tcPr>
            <w:tcW w:w="1361" w:type="dxa"/>
            <w:vAlign w:val="center"/>
          </w:tcPr>
          <w:p>
            <w:pPr>
              <w:pStyle w:val="11"/>
            </w:pPr>
            <w:r>
              <w:t>162.69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171.41</w:t>
            </w:r>
          </w:p>
        </w:tc>
        <w:tc>
          <w:tcPr>
            <w:tcW w:w="1361" w:type="dxa"/>
            <w:vAlign w:val="center"/>
          </w:tcPr>
          <w:p>
            <w:pPr>
              <w:pStyle w:val="11"/>
            </w:pPr>
            <w:r>
              <w:t>171.41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169.85</w:t>
            </w:r>
          </w:p>
        </w:tc>
        <w:tc>
          <w:tcPr>
            <w:tcW w:w="1361" w:type="dxa"/>
            <w:vAlign w:val="center"/>
          </w:tcPr>
          <w:p>
            <w:pPr>
              <w:pStyle w:val="11"/>
            </w:pPr>
            <w:r>
              <w:t>169.85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105.85</w:t>
            </w:r>
          </w:p>
        </w:tc>
        <w:tc>
          <w:tcPr>
            <w:tcW w:w="1361" w:type="dxa"/>
            <w:vAlign w:val="center"/>
          </w:tcPr>
          <w:p>
            <w:pPr>
              <w:pStyle w:val="11"/>
            </w:pPr>
            <w:r>
              <w:t>105.85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64.00</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1.56</w:t>
            </w:r>
          </w:p>
        </w:tc>
        <w:tc>
          <w:tcPr>
            <w:tcW w:w="1361" w:type="dxa"/>
            <w:vAlign w:val="center"/>
          </w:tcPr>
          <w:p>
            <w:pPr>
              <w:pStyle w:val="11"/>
            </w:pPr>
            <w:r>
              <w:t>1.56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1.56</w:t>
            </w:r>
          </w:p>
        </w:tc>
        <w:tc>
          <w:tcPr>
            <w:tcW w:w="1361" w:type="dxa"/>
            <w:vAlign w:val="center"/>
          </w:tcPr>
          <w:p>
            <w:pPr>
              <w:pStyle w:val="11"/>
            </w:pPr>
            <w:r>
              <w:t>1.56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46.00</w:t>
            </w:r>
          </w:p>
        </w:tc>
        <w:tc>
          <w:tcPr>
            <w:tcW w:w="1361" w:type="dxa"/>
            <w:vAlign w:val="center"/>
          </w:tcPr>
          <w:p>
            <w:pPr>
              <w:pStyle w:val="11"/>
            </w:pPr>
            <w:r>
              <w:t>46.00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1445.33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1254.54</w:t>
            </w:r>
          </w:p>
        </w:tc>
        <w:tc>
          <w:tcPr>
            <w:tcW w:w="1474" w:type="dxa"/>
            <w:vAlign w:val="center"/>
          </w:tcPr>
          <w:p>
            <w:pPr>
              <w:pStyle w:val="11"/>
            </w:pPr>
            <w:r>
              <w:t>1254.54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171.41</w:t>
            </w:r>
          </w:p>
        </w:tc>
        <w:tc>
          <w:tcPr>
            <w:tcW w:w="1474" w:type="dxa"/>
            <w:vAlign w:val="center"/>
          </w:tcPr>
          <w:p>
            <w:pPr>
              <w:pStyle w:val="11"/>
            </w:pPr>
            <w:r>
              <w:t>171.41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46.00</w:t>
            </w:r>
          </w:p>
        </w:tc>
        <w:tc>
          <w:tcPr>
            <w:tcW w:w="1474" w:type="dxa"/>
            <w:vAlign w:val="center"/>
          </w:tcPr>
          <w:p>
            <w:pPr>
              <w:pStyle w:val="11"/>
            </w:pPr>
            <w:r>
              <w:t>46.00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56.00</w:t>
            </w:r>
          </w:p>
        </w:tc>
        <w:tc>
          <w:tcPr>
            <w:tcW w:w="1474" w:type="dxa"/>
            <w:vAlign w:val="center"/>
          </w:tcPr>
          <w:p>
            <w:pPr>
              <w:pStyle w:val="11"/>
            </w:pPr>
            <w:r>
              <w:t>56.00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1445.33</w:t>
            </w:r>
          </w:p>
        </w:tc>
        <w:tc>
          <w:tcPr>
            <w:tcW w:w="3402" w:type="dxa"/>
            <w:vAlign w:val="center"/>
          </w:tcPr>
          <w:p>
            <w:pPr>
              <w:pStyle w:val="14"/>
            </w:pPr>
            <w:r>
              <w:t>本年支出合计</w:t>
            </w:r>
          </w:p>
        </w:tc>
        <w:tc>
          <w:tcPr>
            <w:tcW w:w="1474" w:type="dxa"/>
            <w:vAlign w:val="center"/>
          </w:tcPr>
          <w:p>
            <w:pPr>
              <w:pStyle w:val="15"/>
            </w:pPr>
            <w:r>
              <w:t>1527.95</w:t>
            </w:r>
          </w:p>
        </w:tc>
        <w:tc>
          <w:tcPr>
            <w:tcW w:w="1474" w:type="dxa"/>
            <w:vAlign w:val="center"/>
          </w:tcPr>
          <w:p>
            <w:pPr>
              <w:pStyle w:val="15"/>
            </w:pPr>
            <w:r>
              <w:t>1527.95</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82.62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82.62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1527.95</w:t>
            </w:r>
          </w:p>
        </w:tc>
        <w:tc>
          <w:tcPr>
            <w:tcW w:w="3402" w:type="dxa"/>
            <w:vAlign w:val="center"/>
          </w:tcPr>
          <w:p>
            <w:pPr>
              <w:pStyle w:val="14"/>
            </w:pPr>
            <w:r>
              <w:t>支出总计</w:t>
            </w:r>
          </w:p>
        </w:tc>
        <w:tc>
          <w:tcPr>
            <w:tcW w:w="1474" w:type="dxa"/>
            <w:vAlign w:val="center"/>
          </w:tcPr>
          <w:p>
            <w:pPr>
              <w:pStyle w:val="15"/>
            </w:pPr>
            <w:r>
              <w:t>1527.95</w:t>
            </w:r>
          </w:p>
        </w:tc>
        <w:tc>
          <w:tcPr>
            <w:tcW w:w="1474" w:type="dxa"/>
            <w:vAlign w:val="center"/>
          </w:tcPr>
          <w:p>
            <w:pPr>
              <w:pStyle w:val="15"/>
            </w:pPr>
            <w:r>
              <w:t>1527.95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1527.95</w:t>
            </w:r>
          </w:p>
        </w:tc>
        <w:tc>
          <w:tcPr>
            <w:tcW w:w="2551" w:type="dxa"/>
            <w:vAlign w:val="center"/>
          </w:tcPr>
          <w:p>
            <w:pPr>
              <w:pStyle w:val="15"/>
            </w:pPr>
            <w:r>
              <w:t>990.01</w:t>
            </w:r>
          </w:p>
        </w:tc>
        <w:tc>
          <w:tcPr>
            <w:tcW w:w="2551" w:type="dxa"/>
            <w:vAlign w:val="center"/>
          </w:tcPr>
          <w:p>
            <w:pPr>
              <w:pStyle w:val="15"/>
            </w:pPr>
            <w:r>
              <w:t>537.94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1254.54</w:t>
            </w:r>
          </w:p>
        </w:tc>
        <w:tc>
          <w:tcPr>
            <w:tcW w:w="2551" w:type="dxa"/>
            <w:vAlign w:val="center"/>
          </w:tcPr>
          <w:p>
            <w:pPr>
              <w:pStyle w:val="11"/>
            </w:pPr>
            <w:r>
              <w:t>716.60</w:t>
            </w:r>
          </w:p>
        </w:tc>
        <w:tc>
          <w:tcPr>
            <w:tcW w:w="2551" w:type="dxa"/>
            <w:vAlign w:val="center"/>
          </w:tcPr>
          <w:p>
            <w:pPr>
              <w:pStyle w:val="11"/>
            </w:pPr>
            <w:r>
              <w:t>537.94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1254.54</w:t>
            </w:r>
          </w:p>
        </w:tc>
        <w:tc>
          <w:tcPr>
            <w:tcW w:w="2551" w:type="dxa"/>
            <w:vAlign w:val="center"/>
          </w:tcPr>
          <w:p>
            <w:pPr>
              <w:pStyle w:val="11"/>
            </w:pPr>
            <w:r>
              <w:t>716.60</w:t>
            </w:r>
          </w:p>
        </w:tc>
        <w:tc>
          <w:tcPr>
            <w:tcW w:w="2551" w:type="dxa"/>
            <w:vAlign w:val="center"/>
          </w:tcPr>
          <w:p>
            <w:pPr>
              <w:pStyle w:val="11"/>
            </w:pPr>
            <w:r>
              <w:t>537.94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2040501</w:t>
            </w:r>
          </w:p>
        </w:tc>
        <w:tc>
          <w:tcPr>
            <w:tcW w:w="4535" w:type="dxa"/>
            <w:vAlign w:val="center"/>
          </w:tcPr>
          <w:p>
            <w:pPr>
              <w:pStyle w:val="12"/>
            </w:pPr>
            <w:r>
              <w:t>行政运行</w:t>
            </w:r>
          </w:p>
        </w:tc>
        <w:tc>
          <w:tcPr>
            <w:tcW w:w="2551" w:type="dxa"/>
            <w:vAlign w:val="center"/>
          </w:tcPr>
          <w:p>
            <w:pPr>
              <w:pStyle w:val="11"/>
            </w:pPr>
            <w:r>
              <w:t>716.60</w:t>
            </w:r>
          </w:p>
        </w:tc>
        <w:tc>
          <w:tcPr>
            <w:tcW w:w="2551" w:type="dxa"/>
            <w:vAlign w:val="center"/>
          </w:tcPr>
          <w:p>
            <w:pPr>
              <w:pStyle w:val="11"/>
            </w:pPr>
            <w:r>
              <w:t>716.60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375.25</w:t>
            </w:r>
          </w:p>
        </w:tc>
        <w:tc>
          <w:tcPr>
            <w:tcW w:w="2551" w:type="dxa"/>
            <w:vAlign w:val="center"/>
          </w:tcPr>
          <w:p>
            <w:pPr>
              <w:pStyle w:val="11"/>
            </w:pPr>
          </w:p>
        </w:tc>
        <w:tc>
          <w:tcPr>
            <w:tcW w:w="2551" w:type="dxa"/>
            <w:vAlign w:val="center"/>
          </w:tcPr>
          <w:p>
            <w:pPr>
              <w:pStyle w:val="11"/>
            </w:pPr>
            <w:r>
              <w:t>375.25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2040599</w:t>
            </w:r>
          </w:p>
        </w:tc>
        <w:tc>
          <w:tcPr>
            <w:tcW w:w="4535" w:type="dxa"/>
            <w:vAlign w:val="center"/>
          </w:tcPr>
          <w:p>
            <w:pPr>
              <w:pStyle w:val="12"/>
            </w:pPr>
            <w:r>
              <w:t>其他法院支出</w:t>
            </w:r>
          </w:p>
        </w:tc>
        <w:tc>
          <w:tcPr>
            <w:tcW w:w="2551" w:type="dxa"/>
            <w:vAlign w:val="center"/>
          </w:tcPr>
          <w:p>
            <w:pPr>
              <w:pStyle w:val="11"/>
            </w:pPr>
            <w:r>
              <w:t>162.69</w:t>
            </w:r>
          </w:p>
        </w:tc>
        <w:tc>
          <w:tcPr>
            <w:tcW w:w="2551" w:type="dxa"/>
            <w:vAlign w:val="center"/>
          </w:tcPr>
          <w:p>
            <w:pPr>
              <w:pStyle w:val="11"/>
            </w:pPr>
          </w:p>
        </w:tc>
        <w:tc>
          <w:tcPr>
            <w:tcW w:w="2551" w:type="dxa"/>
            <w:vAlign w:val="center"/>
          </w:tcPr>
          <w:p>
            <w:pPr>
              <w:pStyle w:val="11"/>
            </w:pPr>
            <w:r>
              <w:t>162.69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171.41</w:t>
            </w:r>
          </w:p>
        </w:tc>
        <w:tc>
          <w:tcPr>
            <w:tcW w:w="2551" w:type="dxa"/>
            <w:vAlign w:val="center"/>
          </w:tcPr>
          <w:p>
            <w:pPr>
              <w:pStyle w:val="11"/>
            </w:pPr>
            <w:r>
              <w:t>171.41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169.85</w:t>
            </w:r>
          </w:p>
        </w:tc>
        <w:tc>
          <w:tcPr>
            <w:tcW w:w="2551" w:type="dxa"/>
            <w:vAlign w:val="center"/>
          </w:tcPr>
          <w:p>
            <w:pPr>
              <w:pStyle w:val="11"/>
            </w:pPr>
            <w:r>
              <w:t>169.85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105.85</w:t>
            </w:r>
          </w:p>
        </w:tc>
        <w:tc>
          <w:tcPr>
            <w:tcW w:w="2551" w:type="dxa"/>
            <w:vAlign w:val="center"/>
          </w:tcPr>
          <w:p>
            <w:pPr>
              <w:pStyle w:val="11"/>
            </w:pPr>
            <w:r>
              <w:t>105.85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46.00</w:t>
            </w:r>
          </w:p>
        </w:tc>
        <w:tc>
          <w:tcPr>
            <w:tcW w:w="2551" w:type="dxa"/>
            <w:vAlign w:val="center"/>
          </w:tcPr>
          <w:p>
            <w:pPr>
              <w:pStyle w:val="11"/>
            </w:pPr>
            <w:r>
              <w:t>46.00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990.01</w:t>
            </w:r>
          </w:p>
        </w:tc>
        <w:tc>
          <w:tcPr>
            <w:tcW w:w="2551" w:type="dxa"/>
            <w:vAlign w:val="center"/>
          </w:tcPr>
          <w:p>
            <w:pPr>
              <w:pStyle w:val="15"/>
            </w:pPr>
            <w:r>
              <w:t>912.80</w:t>
            </w:r>
          </w:p>
        </w:tc>
        <w:tc>
          <w:tcPr>
            <w:tcW w:w="2551" w:type="dxa"/>
            <w:vAlign w:val="center"/>
          </w:tcPr>
          <w:p>
            <w:pPr>
              <w:pStyle w:val="15"/>
            </w:pPr>
            <w:r>
              <w:t>77.21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805.73</w:t>
            </w:r>
          </w:p>
        </w:tc>
        <w:tc>
          <w:tcPr>
            <w:tcW w:w="2551" w:type="dxa"/>
            <w:vAlign w:val="center"/>
          </w:tcPr>
          <w:p>
            <w:pPr>
              <w:pStyle w:val="11"/>
            </w:pPr>
            <w:r>
              <w:t>805.73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177.00</w:t>
            </w:r>
          </w:p>
        </w:tc>
        <w:tc>
          <w:tcPr>
            <w:tcW w:w="2551" w:type="dxa"/>
            <w:vAlign w:val="center"/>
          </w:tcPr>
          <w:p>
            <w:pPr>
              <w:pStyle w:val="11"/>
            </w:pPr>
            <w:r>
              <w:t>177.00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164.48</w:t>
            </w:r>
          </w:p>
        </w:tc>
        <w:tc>
          <w:tcPr>
            <w:tcW w:w="2551" w:type="dxa"/>
            <w:vAlign w:val="center"/>
          </w:tcPr>
          <w:p>
            <w:pPr>
              <w:pStyle w:val="11"/>
            </w:pPr>
            <w:r>
              <w:t>164.48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296.69</w:t>
            </w:r>
          </w:p>
        </w:tc>
        <w:tc>
          <w:tcPr>
            <w:tcW w:w="2551" w:type="dxa"/>
            <w:vAlign w:val="center"/>
          </w:tcPr>
          <w:p>
            <w:pPr>
              <w:pStyle w:val="11"/>
            </w:pPr>
            <w:r>
              <w:t>296.69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1.56</w:t>
            </w:r>
          </w:p>
        </w:tc>
        <w:tc>
          <w:tcPr>
            <w:tcW w:w="2551" w:type="dxa"/>
            <w:vAlign w:val="center"/>
          </w:tcPr>
          <w:p>
            <w:pPr>
              <w:pStyle w:val="11"/>
            </w:pPr>
            <w:r>
              <w:t>1.56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77.21</w:t>
            </w:r>
          </w:p>
        </w:tc>
        <w:tc>
          <w:tcPr>
            <w:tcW w:w="2551" w:type="dxa"/>
            <w:vAlign w:val="center"/>
          </w:tcPr>
          <w:p>
            <w:pPr>
              <w:pStyle w:val="11"/>
            </w:pPr>
          </w:p>
        </w:tc>
        <w:tc>
          <w:tcPr>
            <w:tcW w:w="2551" w:type="dxa"/>
            <w:vAlign w:val="center"/>
          </w:tcPr>
          <w:p>
            <w:pPr>
              <w:pStyle w:val="11"/>
            </w:pPr>
            <w:r>
              <w:t>77.21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3.86</w:t>
            </w:r>
          </w:p>
        </w:tc>
        <w:tc>
          <w:tcPr>
            <w:tcW w:w="2551" w:type="dxa"/>
            <w:vAlign w:val="center"/>
          </w:tcPr>
          <w:p>
            <w:pPr>
              <w:pStyle w:val="11"/>
            </w:pPr>
          </w:p>
        </w:tc>
        <w:tc>
          <w:tcPr>
            <w:tcW w:w="2551" w:type="dxa"/>
            <w:vAlign w:val="center"/>
          </w:tcPr>
          <w:p>
            <w:pPr>
              <w:pStyle w:val="11"/>
            </w:pPr>
            <w:r>
              <w:t>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1.07</w:t>
            </w:r>
          </w:p>
        </w:tc>
        <w:tc>
          <w:tcPr>
            <w:tcW w:w="2551" w:type="dxa"/>
            <w:vAlign w:val="center"/>
          </w:tcPr>
          <w:p>
            <w:pPr>
              <w:pStyle w:val="11"/>
            </w:pPr>
          </w:p>
        </w:tc>
        <w:tc>
          <w:tcPr>
            <w:tcW w:w="2551" w:type="dxa"/>
            <w:vAlign w:val="center"/>
          </w:tcPr>
          <w:p>
            <w:pPr>
              <w:pStyle w:val="11"/>
            </w:pPr>
            <w:r>
              <w:t>1.07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8.56</w:t>
            </w:r>
          </w:p>
        </w:tc>
        <w:tc>
          <w:tcPr>
            <w:tcW w:w="2551" w:type="dxa"/>
            <w:vAlign w:val="center"/>
          </w:tcPr>
          <w:p>
            <w:pPr>
              <w:pStyle w:val="11"/>
            </w:pPr>
          </w:p>
        </w:tc>
        <w:tc>
          <w:tcPr>
            <w:tcW w:w="2551" w:type="dxa"/>
            <w:vAlign w:val="center"/>
          </w:tcPr>
          <w:p>
            <w:pPr>
              <w:pStyle w:val="11"/>
            </w:pPr>
            <w:r>
              <w:t>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6.20</w:t>
            </w:r>
          </w:p>
        </w:tc>
        <w:tc>
          <w:tcPr>
            <w:tcW w:w="2551" w:type="dxa"/>
            <w:vAlign w:val="center"/>
          </w:tcPr>
          <w:p>
            <w:pPr>
              <w:pStyle w:val="11"/>
            </w:pPr>
          </w:p>
        </w:tc>
        <w:tc>
          <w:tcPr>
            <w:tcW w:w="2551" w:type="dxa"/>
            <w:vAlign w:val="center"/>
          </w:tcPr>
          <w:p>
            <w:pPr>
              <w:pStyle w:val="11"/>
            </w:pPr>
            <w:r>
              <w:t>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6.17</w:t>
            </w:r>
          </w:p>
        </w:tc>
        <w:tc>
          <w:tcPr>
            <w:tcW w:w="2551" w:type="dxa"/>
            <w:vAlign w:val="center"/>
          </w:tcPr>
          <w:p>
            <w:pPr>
              <w:pStyle w:val="11"/>
            </w:pPr>
          </w:p>
        </w:tc>
        <w:tc>
          <w:tcPr>
            <w:tcW w:w="2551" w:type="dxa"/>
            <w:vAlign w:val="center"/>
          </w:tcPr>
          <w:p>
            <w:pPr>
              <w:pStyle w:val="11"/>
            </w:pPr>
            <w:r>
              <w:t>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16.80</w:t>
            </w:r>
          </w:p>
        </w:tc>
        <w:tc>
          <w:tcPr>
            <w:tcW w:w="2551" w:type="dxa"/>
            <w:vAlign w:val="center"/>
          </w:tcPr>
          <w:p>
            <w:pPr>
              <w:pStyle w:val="11"/>
            </w:pPr>
          </w:p>
        </w:tc>
        <w:tc>
          <w:tcPr>
            <w:tcW w:w="2551" w:type="dxa"/>
            <w:vAlign w:val="center"/>
          </w:tcPr>
          <w:p>
            <w:pPr>
              <w:pStyle w:val="11"/>
            </w:pPr>
            <w:r>
              <w:t>16.80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107.07</w:t>
            </w:r>
          </w:p>
        </w:tc>
        <w:tc>
          <w:tcPr>
            <w:tcW w:w="2551" w:type="dxa"/>
            <w:vAlign w:val="center"/>
          </w:tcPr>
          <w:p>
            <w:pPr>
              <w:pStyle w:val="11"/>
            </w:pPr>
            <w:r>
              <w:t>107.07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105.85</w:t>
            </w:r>
          </w:p>
        </w:tc>
        <w:tc>
          <w:tcPr>
            <w:tcW w:w="2551" w:type="dxa"/>
            <w:vAlign w:val="center"/>
          </w:tcPr>
          <w:p>
            <w:pPr>
              <w:pStyle w:val="11"/>
            </w:pPr>
            <w:r>
              <w:t>105.85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0.92</w:t>
            </w:r>
          </w:p>
        </w:tc>
        <w:tc>
          <w:tcPr>
            <w:tcW w:w="2551" w:type="dxa"/>
            <w:vAlign w:val="center"/>
          </w:tcPr>
          <w:p>
            <w:pPr>
              <w:pStyle w:val="11"/>
            </w:pPr>
            <w:r>
              <w:t>0.92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4"/>
            </w:pPr>
            <w:r>
              <w:t>“三公”经费小计</w:t>
            </w:r>
          </w:p>
        </w:tc>
        <w:tc>
          <w:tcPr>
            <w:tcW w:w="2381" w:type="dxa"/>
            <w:vAlign w:val="center"/>
          </w:tcPr>
          <w:p>
            <w:pPr>
              <w:pStyle w:val="15"/>
            </w:pPr>
            <w:r>
              <w:rPr>
                <w:rFonts w:hint="eastAsia"/>
                <w:lang w:val="en-US" w:eastAsia="zh-CN"/>
              </w:rPr>
              <w:t>16.8</w:t>
            </w:r>
            <w:r>
              <w:t>0</w:t>
            </w:r>
          </w:p>
        </w:tc>
        <w:tc>
          <w:tcPr>
            <w:tcW w:w="2381" w:type="dxa"/>
            <w:vAlign w:val="center"/>
          </w:tcPr>
          <w:p>
            <w:pPr>
              <w:pStyle w:val="15"/>
            </w:pPr>
            <w:r>
              <w:rPr>
                <w:rFonts w:hint="eastAsia"/>
                <w:lang w:val="en-US" w:eastAsia="zh-CN"/>
              </w:rPr>
              <w:t>16.8</w:t>
            </w:r>
            <w:r>
              <w:t>0</w:t>
            </w: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二、公务用车购置及运维费</w:t>
            </w:r>
          </w:p>
        </w:tc>
        <w:tc>
          <w:tcPr>
            <w:tcW w:w="2381" w:type="dxa"/>
            <w:vAlign w:val="center"/>
          </w:tcPr>
          <w:p>
            <w:pPr>
              <w:pStyle w:val="11"/>
            </w:pPr>
            <w:r>
              <w:rPr>
                <w:rFonts w:hint="eastAsia"/>
                <w:lang w:val="en-US" w:eastAsia="zh-CN"/>
              </w:rPr>
              <w:t>16.8</w:t>
            </w:r>
            <w:r>
              <w:t>0</w:t>
            </w:r>
          </w:p>
        </w:tc>
        <w:tc>
          <w:tcPr>
            <w:tcW w:w="2381" w:type="dxa"/>
            <w:vAlign w:val="center"/>
          </w:tcPr>
          <w:p>
            <w:pPr>
              <w:pStyle w:val="11"/>
            </w:pPr>
            <w:r>
              <w:rPr>
                <w:rFonts w:hint="eastAsia"/>
                <w:lang w:val="en-US" w:eastAsia="zh-CN"/>
              </w:rPr>
              <w:t>16.8</w:t>
            </w:r>
            <w:r>
              <w:t>0</w:t>
            </w: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 xml:space="preserve">          公务用车运行维护费</w:t>
            </w:r>
          </w:p>
        </w:tc>
        <w:tc>
          <w:tcPr>
            <w:tcW w:w="2381" w:type="dxa"/>
            <w:vAlign w:val="center"/>
          </w:tcPr>
          <w:p>
            <w:pPr>
              <w:pStyle w:val="11"/>
            </w:pPr>
            <w:r>
              <w:rPr>
                <w:rFonts w:hint="eastAsia"/>
                <w:lang w:val="en-US" w:eastAsia="zh-CN"/>
              </w:rPr>
              <w:t>16.8</w:t>
            </w:r>
            <w:r>
              <w:t>0</w:t>
            </w:r>
          </w:p>
        </w:tc>
        <w:tc>
          <w:tcPr>
            <w:tcW w:w="2381" w:type="dxa"/>
            <w:vAlign w:val="center"/>
          </w:tcPr>
          <w:p>
            <w:pPr>
              <w:pStyle w:val="11"/>
            </w:pPr>
            <w:r>
              <w:rPr>
                <w:rFonts w:hint="eastAsia"/>
                <w:lang w:val="en-US" w:eastAsia="zh-CN"/>
              </w:rPr>
              <w:t>16.8</w:t>
            </w:r>
            <w:r>
              <w:t>0</w:t>
            </w:r>
          </w:p>
        </w:tc>
        <w:tc>
          <w:tcPr>
            <w:tcW w:w="2381" w:type="dxa"/>
            <w:vAlign w:val="top"/>
          </w:tcPr>
          <w:p>
            <w:pPr>
              <w:pStyle w:val="11"/>
            </w:pPr>
          </w:p>
        </w:tc>
        <w:tc>
          <w:tcPr>
            <w:tcW w:w="2381" w:type="dxa"/>
            <w:vAlign w:val="top"/>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top"/>
          </w:tcPr>
          <w:p>
            <w:pPr>
              <w:pStyle w:val="13"/>
            </w:pP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top"/>
          </w:tcPr>
          <w:p>
            <w:pPr>
              <w:pStyle w:val="11"/>
            </w:pPr>
          </w:p>
        </w:tc>
        <w:tc>
          <w:tcPr>
            <w:tcW w:w="2381" w:type="dxa"/>
            <w:vAlign w:val="top"/>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石家庄市井陉矿区人民法院本级2025年单位预算信息公开情况说明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按照《中华人民共和国预算法》、《地方预决算公开操作规程》和《关于进一步推进预算公开工作的实施意见》规定，现将石家庄市井陉矿区人民法院本级2025年单位预算公开如下：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1"/>
        <w:rPr>
          <w:rFonts w:hint="eastAsia"/>
          <w:lang w:val="en-US" w:eastAsia="zh-CN"/>
        </w:rPr>
      </w:pPr>
      <w:r>
        <w:rPr>
          <w:rFonts w:hint="eastAsia"/>
          <w:lang w:val="en-US" w:eastAsia="zh-CN"/>
        </w:rPr>
        <w:t>根据《石家庄市井陉矿区人民法院职能配置、内设机构和人员编制规定》，石家庄市井陉矿区人民法院的主要职责是：</w:t>
      </w:r>
    </w:p>
    <w:p>
      <w:pPr>
        <w:pStyle w:val="21"/>
        <w:rPr>
          <w:rFonts w:hint="eastAsia"/>
          <w:lang w:val="en-US" w:eastAsia="zh-CN"/>
        </w:rPr>
      </w:pPr>
      <w:r>
        <w:rPr>
          <w:rFonts w:hint="eastAsia"/>
          <w:lang w:val="en-US" w:eastAsia="zh-CN"/>
        </w:rPr>
        <w:t>（一）审判法律、法令规定由本辖区内人民法院管辖的刑事、民事、经济、行政等案件。</w:t>
      </w:r>
    </w:p>
    <w:p>
      <w:pPr>
        <w:pStyle w:val="21"/>
        <w:rPr>
          <w:rFonts w:hint="eastAsia"/>
          <w:lang w:val="en-US" w:eastAsia="zh-CN"/>
        </w:rPr>
      </w:pPr>
      <w:r>
        <w:rPr>
          <w:rFonts w:hint="eastAsia"/>
          <w:lang w:val="en-US" w:eastAsia="zh-CN"/>
        </w:rPr>
        <w:t>（二）依法受理、审查各类告诉、申诉案件，处理来信来访。</w:t>
      </w:r>
    </w:p>
    <w:p>
      <w:pPr>
        <w:pStyle w:val="21"/>
        <w:rPr>
          <w:rFonts w:hint="eastAsia"/>
          <w:lang w:val="en-US" w:eastAsia="zh-CN"/>
        </w:rPr>
      </w:pPr>
      <w:r>
        <w:rPr>
          <w:rFonts w:hint="eastAsia"/>
          <w:lang w:val="en-US" w:eastAsia="zh-CN"/>
        </w:rPr>
        <w:t>（三）依法办理发生法律效力的经济、民事、行政案件判决和裁定的执行事项及刑事案件判决和裁定中有关财产部分的执行事项，办理法律规定由法院执行的其他法律文书的执行事项和由申请法院执行的非诉讼行政案件的执行。</w:t>
      </w:r>
    </w:p>
    <w:p>
      <w:pPr>
        <w:pStyle w:val="21"/>
        <w:rPr>
          <w:rFonts w:hint="eastAsia"/>
          <w:lang w:val="en-US" w:eastAsia="zh-CN"/>
        </w:rPr>
      </w:pPr>
      <w:r>
        <w:rPr>
          <w:rFonts w:hint="eastAsia"/>
          <w:lang w:val="en-US" w:eastAsia="zh-CN"/>
        </w:rPr>
        <w:t>（四）总结审判工作经验及适用法律、政策问题的请示。</w:t>
      </w:r>
    </w:p>
    <w:p>
      <w:pPr>
        <w:pStyle w:val="21"/>
        <w:rPr>
          <w:rFonts w:hint="eastAsia"/>
          <w:lang w:val="en-US" w:eastAsia="zh-CN"/>
        </w:rPr>
      </w:pPr>
      <w:r>
        <w:rPr>
          <w:rFonts w:hint="eastAsia"/>
          <w:lang w:val="en-US" w:eastAsia="zh-CN"/>
        </w:rPr>
        <w:t>（五）依法决定国家赔偿。</w:t>
      </w:r>
    </w:p>
    <w:p>
      <w:pPr>
        <w:pStyle w:val="21"/>
        <w:rPr>
          <w:rFonts w:hint="eastAsia"/>
          <w:lang w:val="en-US" w:eastAsia="zh-CN"/>
        </w:rPr>
      </w:pPr>
      <w:r>
        <w:rPr>
          <w:rFonts w:hint="eastAsia"/>
          <w:lang w:val="en-US" w:eastAsia="zh-CN"/>
        </w:rPr>
        <w:t>（六）管理人民法院的有关经费和物资装备。</w:t>
      </w:r>
    </w:p>
    <w:p>
      <w:pPr>
        <w:pStyle w:val="21"/>
        <w:rPr>
          <w:rFonts w:hint="eastAsia"/>
          <w:lang w:val="en-US" w:eastAsia="zh-CN"/>
        </w:rPr>
      </w:pPr>
      <w:r>
        <w:rPr>
          <w:rFonts w:hint="eastAsia"/>
          <w:lang w:val="en-US" w:eastAsia="zh-CN"/>
        </w:rPr>
        <w:t>（七）负责通讯、计算机等技术管理工作。</w:t>
      </w:r>
    </w:p>
    <w:p>
      <w:pPr>
        <w:pStyle w:val="21"/>
        <w:rPr>
          <w:rFonts w:hint="eastAsia"/>
          <w:lang w:val="en-US" w:eastAsia="zh-CN"/>
        </w:rPr>
      </w:pPr>
      <w:r>
        <w:rPr>
          <w:rFonts w:hint="eastAsia"/>
          <w:lang w:val="en-US" w:eastAsia="zh-CN"/>
        </w:rPr>
        <w:t>（八）在审判工作中，宣传法制，教育公民遵纪守法。</w:t>
      </w:r>
    </w:p>
    <w:p>
      <w:pPr>
        <w:pStyle w:val="21"/>
        <w:rPr>
          <w:rFonts w:hint="eastAsia"/>
          <w:lang w:val="en-US" w:eastAsia="zh-CN"/>
        </w:rPr>
      </w:pPr>
      <w:r>
        <w:rPr>
          <w:rFonts w:hint="eastAsia"/>
          <w:lang w:val="en-US" w:eastAsia="zh-CN"/>
        </w:rPr>
        <w:t>（九）办理区委交办的其他工作。</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石家庄市井陉矿区人民法院本级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市</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预算的编制实行综合预算管理，即全部收入和支出都反映在预算中。石家庄市井陉矿区人民法院机关及所属事业单位的收支包含在</w:t>
      </w:r>
      <w:r>
        <w:rPr>
          <w:rFonts w:hint="eastAsia" w:eastAsia="方正仿宋_GBK"/>
          <w:color w:val="000000"/>
          <w:sz w:val="28"/>
          <w:lang w:eastAsia="zh-CN"/>
        </w:rPr>
        <w:t>单位</w:t>
      </w:r>
      <w:r>
        <w:rPr>
          <w:rFonts w:eastAsia="方正仿宋_GBK"/>
          <w:color w:val="000000"/>
          <w:sz w:val="28"/>
        </w:rPr>
        <w:t>预算中。</w:t>
      </w:r>
    </w:p>
    <w:p>
      <w:pPr>
        <w:spacing w:line="500" w:lineRule="exact"/>
        <w:ind w:firstLine="560" w:firstLineChars="200"/>
        <w:jc w:val="left"/>
        <w:rPr>
          <w:rFonts w:eastAsia="方正仿宋_GBK"/>
          <w:sz w:val="28"/>
          <w:highlight w:val="none"/>
        </w:rPr>
      </w:pPr>
      <w:r>
        <w:rPr>
          <w:rFonts w:eastAsia="方正仿宋_GBK"/>
          <w:sz w:val="28"/>
          <w:highlight w:val="none"/>
        </w:rPr>
        <w:t>收入说明</w:t>
      </w:r>
    </w:p>
    <w:p>
      <w:pPr>
        <w:spacing w:line="500" w:lineRule="exact"/>
        <w:ind w:firstLine="560" w:firstLineChars="200"/>
        <w:jc w:val="left"/>
        <w:rPr>
          <w:rFonts w:eastAsia="方正仿宋_GBK"/>
          <w:sz w:val="28"/>
          <w:highlight w:val="none"/>
        </w:rPr>
      </w:pPr>
      <w:r>
        <w:rPr>
          <w:rFonts w:eastAsia="方正仿宋_GBK"/>
          <w:sz w:val="28"/>
          <w:highlight w:val="none"/>
        </w:rPr>
        <w:t>反映本</w:t>
      </w:r>
      <w:r>
        <w:rPr>
          <w:rFonts w:hint="eastAsia" w:eastAsia="方正仿宋_GBK"/>
          <w:sz w:val="28"/>
          <w:highlight w:val="none"/>
          <w:lang w:val="en-US" w:eastAsia="zh-CN"/>
        </w:rPr>
        <w:t>单位</w:t>
      </w:r>
      <w:r>
        <w:rPr>
          <w:rFonts w:eastAsia="方正仿宋_GBK"/>
          <w:sz w:val="28"/>
          <w:highlight w:val="none"/>
        </w:rPr>
        <w:t>当年全部收入。202</w:t>
      </w:r>
      <w:r>
        <w:rPr>
          <w:rFonts w:hint="eastAsia" w:eastAsia="方正仿宋_GBK"/>
          <w:sz w:val="28"/>
          <w:highlight w:val="none"/>
          <w:lang w:val="en-US" w:eastAsia="zh-CN"/>
        </w:rPr>
        <w:t>5</w:t>
      </w:r>
      <w:r>
        <w:rPr>
          <w:rFonts w:eastAsia="方正仿宋_GBK"/>
          <w:sz w:val="28"/>
          <w:highlight w:val="none"/>
        </w:rPr>
        <w:t>年预算收入</w:t>
      </w:r>
      <w:r>
        <w:rPr>
          <w:rFonts w:hint="eastAsia" w:eastAsia="方正仿宋_GBK"/>
          <w:sz w:val="28"/>
          <w:highlight w:val="none"/>
          <w:lang w:val="en-US" w:eastAsia="zh-CN"/>
        </w:rPr>
        <w:t>1527.95</w:t>
      </w:r>
      <w:r>
        <w:rPr>
          <w:rFonts w:eastAsia="方正仿宋_GBK"/>
          <w:sz w:val="28"/>
          <w:highlight w:val="none"/>
        </w:rPr>
        <w:t>万元，其中：一般公共预算收入</w:t>
      </w:r>
      <w:r>
        <w:rPr>
          <w:rFonts w:hint="eastAsia" w:eastAsia="方正仿宋_GBK"/>
          <w:sz w:val="28"/>
          <w:highlight w:val="none"/>
          <w:lang w:val="en-US" w:eastAsia="zh-CN"/>
        </w:rPr>
        <w:t>1445.33</w:t>
      </w:r>
      <w:bookmarkStart w:id="1" w:name="_GoBack"/>
      <w:bookmarkEnd w:id="1"/>
      <w:r>
        <w:rPr>
          <w:rFonts w:eastAsia="方正仿宋_GBK"/>
          <w:sz w:val="28"/>
          <w:highlight w:val="none"/>
        </w:rPr>
        <w:t>万元，财政专户核拨资金0万元，政府性基金预算拨款0万元，国有资本经营预算收入0万元，事业收入0万元，其他收入0万元</w:t>
      </w:r>
      <w:r>
        <w:rPr>
          <w:rFonts w:hint="eastAsia" w:eastAsia="方正仿宋_GBK"/>
          <w:sz w:val="28"/>
          <w:highlight w:val="none"/>
          <w:lang w:eastAsia="zh-CN"/>
        </w:rPr>
        <w:t>，上年结转</w:t>
      </w:r>
      <w:r>
        <w:rPr>
          <w:rFonts w:hint="eastAsia" w:eastAsia="方正仿宋_GBK"/>
          <w:sz w:val="28"/>
          <w:highlight w:val="none"/>
          <w:lang w:val="en-US" w:eastAsia="zh-CN"/>
        </w:rPr>
        <w:t>82.62万元</w:t>
      </w:r>
      <w:r>
        <w:rPr>
          <w:rFonts w:eastAsia="方正仿宋_GBK"/>
          <w:sz w:val="28"/>
          <w:highlight w:val="none"/>
        </w:rPr>
        <w:t>。</w:t>
      </w:r>
    </w:p>
    <w:p>
      <w:pPr>
        <w:spacing w:line="500" w:lineRule="exact"/>
        <w:ind w:firstLine="560" w:firstLineChars="200"/>
        <w:jc w:val="left"/>
        <w:rPr>
          <w:rFonts w:eastAsia="方正仿宋_GBK"/>
          <w:sz w:val="28"/>
          <w:highlight w:val="none"/>
        </w:rPr>
      </w:pPr>
      <w:r>
        <w:rPr>
          <w:rFonts w:eastAsia="方正仿宋_GBK"/>
          <w:sz w:val="28"/>
          <w:highlight w:val="none"/>
        </w:rPr>
        <w:t>支出说明</w:t>
      </w:r>
    </w:p>
    <w:p>
      <w:pPr>
        <w:spacing w:line="500" w:lineRule="exact"/>
        <w:ind w:firstLine="560"/>
        <w:rPr>
          <w:rFonts w:hint="eastAsia" w:ascii="Times New Roman" w:hAnsi="Times New Roman" w:eastAsia="方正仿宋_GBK" w:cs="Times New Roman"/>
          <w:sz w:val="28"/>
          <w:szCs w:val="24"/>
          <w:highlight w:val="none"/>
          <w:lang w:val="en-US" w:eastAsia="zh-CN" w:bidi="ar-SA"/>
        </w:rPr>
      </w:pPr>
      <w:r>
        <w:rPr>
          <w:rFonts w:ascii="Times New Roman" w:hAnsi="Times New Roman" w:eastAsia="方正仿宋_GBK" w:cs="Times New Roman"/>
          <w:sz w:val="28"/>
          <w:szCs w:val="24"/>
          <w:highlight w:val="none"/>
          <w:lang w:val="en-US" w:eastAsia="uk-UA" w:bidi="ar-SA"/>
        </w:rPr>
        <w:t>支出预算总表支出栏、基本支出表、项目支出表按经济分类和支出功能分类科目编制，反映石家庄市井陉矿区人民法院年度</w:t>
      </w:r>
      <w:r>
        <w:rPr>
          <w:rFonts w:hint="eastAsia" w:eastAsia="方正仿宋_GBK" w:cs="Times New Roman"/>
          <w:sz w:val="28"/>
          <w:szCs w:val="24"/>
          <w:highlight w:val="none"/>
          <w:lang w:val="en-US" w:eastAsia="zh-CN" w:bidi="ar-SA"/>
        </w:rPr>
        <w:t>单位</w:t>
      </w:r>
      <w:r>
        <w:rPr>
          <w:rFonts w:ascii="Times New Roman" w:hAnsi="Times New Roman" w:eastAsia="方正仿宋_GBK" w:cs="Times New Roman"/>
          <w:sz w:val="28"/>
          <w:szCs w:val="24"/>
          <w:highlight w:val="none"/>
          <w:lang w:val="en-US" w:eastAsia="uk-UA" w:bidi="ar-SA"/>
        </w:rPr>
        <w:t>预算中支出预算的总体情况。202</w:t>
      </w:r>
      <w:r>
        <w:rPr>
          <w:rFonts w:hint="eastAsia" w:ascii="Times New Roman" w:hAnsi="Times New Roman" w:eastAsia="方正仿宋_GBK" w:cs="Times New Roman"/>
          <w:sz w:val="28"/>
          <w:szCs w:val="24"/>
          <w:highlight w:val="none"/>
          <w:lang w:val="en-US" w:eastAsia="zh-CN" w:bidi="ar-SA"/>
        </w:rPr>
        <w:t>5</w:t>
      </w:r>
      <w:r>
        <w:rPr>
          <w:rFonts w:ascii="Times New Roman" w:hAnsi="Times New Roman" w:eastAsia="方正仿宋_GBK" w:cs="Times New Roman"/>
          <w:sz w:val="28"/>
          <w:szCs w:val="24"/>
          <w:highlight w:val="none"/>
          <w:lang w:val="en-US" w:eastAsia="uk-UA" w:bidi="ar-SA"/>
        </w:rPr>
        <w:t>年支出预算</w:t>
      </w:r>
      <w:r>
        <w:rPr>
          <w:rFonts w:hint="eastAsia" w:eastAsia="方正仿宋_GBK"/>
          <w:sz w:val="28"/>
          <w:highlight w:val="none"/>
          <w:lang w:val="en-US" w:eastAsia="zh-CN"/>
        </w:rPr>
        <w:t>1527.95</w:t>
      </w:r>
      <w:r>
        <w:rPr>
          <w:rFonts w:ascii="Times New Roman" w:hAnsi="Times New Roman" w:eastAsia="方正仿宋_GBK" w:cs="Times New Roman"/>
          <w:sz w:val="28"/>
          <w:szCs w:val="24"/>
          <w:highlight w:val="none"/>
          <w:lang w:val="en-US" w:eastAsia="uk-UA" w:bidi="ar-SA"/>
        </w:rPr>
        <w:t>万元，其中基本支出</w:t>
      </w:r>
      <w:r>
        <w:rPr>
          <w:rFonts w:hint="eastAsia" w:ascii="Times New Roman" w:hAnsi="Times New Roman" w:eastAsia="方正仿宋_GBK" w:cs="Times New Roman"/>
          <w:sz w:val="28"/>
          <w:szCs w:val="24"/>
          <w:highlight w:val="none"/>
          <w:lang w:val="en-US" w:eastAsia="zh-CN" w:bidi="ar-SA"/>
        </w:rPr>
        <w:t>990.01</w:t>
      </w:r>
      <w:r>
        <w:rPr>
          <w:rFonts w:ascii="Times New Roman" w:hAnsi="Times New Roman" w:eastAsia="方正仿宋_GBK" w:cs="Times New Roman"/>
          <w:sz w:val="28"/>
          <w:szCs w:val="24"/>
          <w:highlight w:val="none"/>
          <w:lang w:val="en-US" w:eastAsia="uk-UA" w:bidi="ar-SA"/>
        </w:rPr>
        <w:t>万元，包括人员经费</w:t>
      </w:r>
      <w:r>
        <w:rPr>
          <w:rFonts w:hint="eastAsia" w:ascii="Times New Roman" w:hAnsi="Times New Roman" w:eastAsia="方正仿宋_GBK" w:cs="Times New Roman"/>
          <w:sz w:val="28"/>
          <w:szCs w:val="24"/>
          <w:highlight w:val="none"/>
          <w:lang w:val="en-US" w:eastAsia="zh-CN" w:bidi="ar-SA"/>
        </w:rPr>
        <w:t>912.8</w:t>
      </w:r>
      <w:r>
        <w:rPr>
          <w:rFonts w:ascii="Times New Roman" w:hAnsi="Times New Roman" w:eastAsia="方正仿宋_GBK" w:cs="Times New Roman"/>
          <w:sz w:val="28"/>
          <w:szCs w:val="24"/>
          <w:highlight w:val="none"/>
          <w:lang w:val="en-US" w:eastAsia="uk-UA" w:bidi="ar-SA"/>
        </w:rPr>
        <w:t>万元，日常公用经费</w:t>
      </w:r>
      <w:r>
        <w:rPr>
          <w:rFonts w:hint="eastAsia" w:ascii="Times New Roman" w:hAnsi="Times New Roman" w:eastAsia="方正仿宋_GBK" w:cs="Times New Roman"/>
          <w:sz w:val="28"/>
          <w:szCs w:val="24"/>
          <w:highlight w:val="none"/>
          <w:lang w:val="en-US" w:eastAsia="zh-CN" w:bidi="ar-SA"/>
        </w:rPr>
        <w:t>77.21</w:t>
      </w:r>
      <w:r>
        <w:rPr>
          <w:rFonts w:ascii="Times New Roman" w:hAnsi="Times New Roman" w:eastAsia="方正仿宋_GBK" w:cs="Times New Roman"/>
          <w:sz w:val="28"/>
          <w:szCs w:val="24"/>
          <w:highlight w:val="none"/>
          <w:lang w:val="en-US" w:eastAsia="uk-UA" w:bidi="ar-SA"/>
        </w:rPr>
        <w:t>万元；项目支出</w:t>
      </w:r>
      <w:r>
        <w:rPr>
          <w:rFonts w:hint="eastAsia" w:ascii="Times New Roman" w:hAnsi="Times New Roman" w:eastAsia="方正仿宋_GBK" w:cs="Times New Roman"/>
          <w:sz w:val="28"/>
          <w:szCs w:val="24"/>
          <w:highlight w:val="none"/>
          <w:lang w:val="en-US" w:eastAsia="zh-CN" w:bidi="ar-SA"/>
        </w:rPr>
        <w:t>537.94</w:t>
      </w:r>
      <w:r>
        <w:rPr>
          <w:rFonts w:ascii="Times New Roman" w:hAnsi="Times New Roman" w:eastAsia="方正仿宋_GBK" w:cs="Times New Roman"/>
          <w:sz w:val="28"/>
          <w:szCs w:val="24"/>
          <w:highlight w:val="none"/>
          <w:lang w:val="en-US" w:eastAsia="uk-UA" w:bidi="ar-SA"/>
        </w:rPr>
        <w:t>万元,包括：</w:t>
      </w:r>
      <w:r>
        <w:rPr>
          <w:rFonts w:hint="eastAsia" w:ascii="Times New Roman" w:hAnsi="Times New Roman" w:eastAsia="方正仿宋_GBK" w:cs="Times New Roman"/>
          <w:sz w:val="28"/>
          <w:szCs w:val="24"/>
          <w:highlight w:val="none"/>
          <w:lang w:val="en-US" w:eastAsia="zh-CN" w:bidi="ar-SA"/>
        </w:rPr>
        <w:t>劳务派遣经费、书记员经费、保安服务费等。</w:t>
      </w:r>
    </w:p>
    <w:p>
      <w:pPr>
        <w:spacing w:line="500" w:lineRule="exact"/>
        <w:ind w:firstLine="560" w:firstLineChars="200"/>
        <w:jc w:val="left"/>
        <w:rPr>
          <w:rFonts w:eastAsia="方正仿宋_GBK"/>
          <w:sz w:val="28"/>
          <w:highlight w:val="none"/>
        </w:rPr>
      </w:pPr>
      <w:r>
        <w:rPr>
          <w:rFonts w:eastAsia="方正仿宋_GBK"/>
          <w:sz w:val="28"/>
          <w:highlight w:val="none"/>
        </w:rPr>
        <w:t>比上年增减情况</w:t>
      </w:r>
    </w:p>
    <w:p>
      <w:pPr>
        <w:spacing w:line="500" w:lineRule="exact"/>
        <w:ind w:firstLine="560" w:firstLineChars="200"/>
        <w:jc w:val="left"/>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5</w:t>
      </w:r>
      <w:r>
        <w:rPr>
          <w:rFonts w:eastAsia="方正仿宋_GBK"/>
          <w:sz w:val="28"/>
          <w:highlight w:val="none"/>
        </w:rPr>
        <w:t>年预算</w:t>
      </w:r>
      <w:r>
        <w:rPr>
          <w:rFonts w:hint="eastAsia" w:eastAsia="方正仿宋_GBK"/>
          <w:sz w:val="28"/>
          <w:highlight w:val="none"/>
          <w:lang w:eastAsia="zh-CN"/>
        </w:rPr>
        <w:t>收支</w:t>
      </w:r>
      <w:r>
        <w:rPr>
          <w:rFonts w:eastAsia="方正仿宋_GBK"/>
          <w:sz w:val="28"/>
          <w:highlight w:val="none"/>
        </w:rPr>
        <w:t>安排</w:t>
      </w:r>
      <w:r>
        <w:rPr>
          <w:rFonts w:hint="eastAsia" w:eastAsia="方正仿宋_GBK"/>
          <w:sz w:val="28"/>
          <w:highlight w:val="none"/>
          <w:lang w:val="en-US" w:eastAsia="zh-CN"/>
        </w:rPr>
        <w:t>1527.95</w:t>
      </w:r>
      <w:r>
        <w:rPr>
          <w:rFonts w:eastAsia="方正仿宋_GBK"/>
          <w:sz w:val="28"/>
          <w:highlight w:val="none"/>
        </w:rPr>
        <w:t>万元，较202</w:t>
      </w:r>
      <w:r>
        <w:rPr>
          <w:rFonts w:hint="eastAsia" w:eastAsia="方正仿宋_GBK"/>
          <w:sz w:val="28"/>
          <w:highlight w:val="none"/>
          <w:lang w:val="en-US" w:eastAsia="zh-CN"/>
        </w:rPr>
        <w:t>4</w:t>
      </w:r>
      <w:r>
        <w:rPr>
          <w:rFonts w:eastAsia="方正仿宋_GBK"/>
          <w:sz w:val="28"/>
          <w:highlight w:val="none"/>
        </w:rPr>
        <w:t>年预算</w:t>
      </w:r>
      <w:r>
        <w:rPr>
          <w:rFonts w:hint="eastAsia" w:eastAsia="方正仿宋_GBK"/>
          <w:sz w:val="28"/>
          <w:highlight w:val="none"/>
          <w:lang w:eastAsia="zh-CN"/>
        </w:rPr>
        <w:t>增减少</w:t>
      </w:r>
      <w:r>
        <w:rPr>
          <w:rFonts w:hint="eastAsia" w:eastAsia="方正仿宋_GBK"/>
          <w:sz w:val="28"/>
          <w:highlight w:val="none"/>
          <w:lang w:val="en-US" w:eastAsia="zh-CN"/>
        </w:rPr>
        <w:t>123.21</w:t>
      </w:r>
      <w:r>
        <w:rPr>
          <w:rFonts w:eastAsia="方正仿宋_GBK"/>
          <w:sz w:val="28"/>
          <w:highlight w:val="none"/>
        </w:rPr>
        <w:t>万元，其中：基本支出</w:t>
      </w:r>
      <w:r>
        <w:rPr>
          <w:rFonts w:hint="eastAsia" w:eastAsia="方正仿宋_GBK"/>
          <w:sz w:val="28"/>
          <w:highlight w:val="none"/>
          <w:lang w:eastAsia="zh-CN"/>
        </w:rPr>
        <w:t>减少</w:t>
      </w:r>
      <w:r>
        <w:rPr>
          <w:rFonts w:hint="eastAsia" w:eastAsia="方正仿宋_GBK"/>
          <w:sz w:val="28"/>
          <w:highlight w:val="none"/>
          <w:lang w:val="en-US" w:eastAsia="zh-CN"/>
        </w:rPr>
        <w:t>19.92</w:t>
      </w:r>
      <w:r>
        <w:rPr>
          <w:rFonts w:eastAsia="方正仿宋_GBK"/>
          <w:sz w:val="28"/>
          <w:highlight w:val="none"/>
        </w:rPr>
        <w:t>万元（人员经费</w:t>
      </w:r>
      <w:r>
        <w:rPr>
          <w:rFonts w:hint="eastAsia" w:eastAsia="方正仿宋_GBK"/>
          <w:sz w:val="28"/>
          <w:highlight w:val="none"/>
          <w:lang w:eastAsia="zh-CN"/>
        </w:rPr>
        <w:t>减少</w:t>
      </w:r>
      <w:r>
        <w:rPr>
          <w:rFonts w:hint="eastAsia" w:eastAsia="方正仿宋_GBK"/>
          <w:sz w:val="28"/>
          <w:highlight w:val="none"/>
          <w:lang w:val="en-US" w:eastAsia="zh-CN"/>
        </w:rPr>
        <w:t>24.72</w:t>
      </w:r>
      <w:r>
        <w:rPr>
          <w:rFonts w:eastAsia="方正仿宋_GBK"/>
          <w:sz w:val="28"/>
          <w:highlight w:val="none"/>
        </w:rPr>
        <w:t>万元、日常公用经费</w:t>
      </w:r>
      <w:r>
        <w:rPr>
          <w:rFonts w:hint="eastAsia" w:eastAsia="方正仿宋_GBK"/>
          <w:sz w:val="28"/>
          <w:highlight w:val="none"/>
          <w:lang w:val="en-US" w:eastAsia="zh-CN"/>
        </w:rPr>
        <w:t>增加4.8万元</w:t>
      </w:r>
      <w:r>
        <w:rPr>
          <w:rFonts w:eastAsia="方正仿宋_GBK"/>
          <w:sz w:val="28"/>
          <w:highlight w:val="none"/>
        </w:rPr>
        <w:t>）；项目支出</w:t>
      </w:r>
      <w:r>
        <w:rPr>
          <w:rFonts w:hint="eastAsia" w:eastAsia="方正仿宋_GBK"/>
          <w:sz w:val="28"/>
          <w:highlight w:val="none"/>
          <w:lang w:val="en-US" w:eastAsia="zh-CN"/>
        </w:rPr>
        <w:t>减少103.29</w:t>
      </w:r>
      <w:r>
        <w:rPr>
          <w:rFonts w:eastAsia="方正仿宋_GBK"/>
          <w:sz w:val="28"/>
          <w:highlight w:val="none"/>
        </w:rPr>
        <w:t>万元</w:t>
      </w:r>
      <w:r>
        <w:rPr>
          <w:rFonts w:hint="eastAsia" w:eastAsia="方正仿宋_GBK"/>
          <w:sz w:val="28"/>
          <w:highlight w:val="none"/>
          <w:lang w:eastAsia="zh-CN"/>
        </w:rPr>
        <w:t>，主要为</w:t>
      </w:r>
      <w:r>
        <w:rPr>
          <w:rFonts w:hint="eastAsia" w:eastAsia="方正仿宋_GBK"/>
          <w:sz w:val="28"/>
          <w:highlight w:val="none"/>
          <w:lang w:val="en-US" w:eastAsia="zh-CN"/>
        </w:rPr>
        <w:t>减少</w:t>
      </w:r>
      <w:r>
        <w:rPr>
          <w:rFonts w:hint="eastAsia" w:eastAsia="方正仿宋_GBK"/>
          <w:sz w:val="28"/>
          <w:highlight w:val="none"/>
          <w:lang w:eastAsia="zh-CN"/>
        </w:rPr>
        <w:t>了运转保障经费、诉源治理调解经费等项目支出</w:t>
      </w:r>
      <w:r>
        <w:rPr>
          <w:rFonts w:eastAsia="方正仿宋_GBK"/>
          <w:sz w:val="28"/>
          <w:highlight w:val="none"/>
        </w:rPr>
        <w:t>。</w:t>
      </w: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pPr>
      <w:r>
        <w:rPr>
          <w:rFonts w:eastAsia="方正仿宋_GBK"/>
          <w:color w:val="000000"/>
          <w:sz w:val="28"/>
        </w:rPr>
        <w:t>202</w:t>
      </w:r>
      <w:r>
        <w:rPr>
          <w:rFonts w:hint="eastAsia" w:eastAsia="方正仿宋_GBK"/>
          <w:color w:val="000000"/>
          <w:sz w:val="28"/>
          <w:lang w:val="en-US" w:eastAsia="zh-CN"/>
        </w:rPr>
        <w:t>5</w:t>
      </w:r>
      <w:r>
        <w:rPr>
          <w:rFonts w:eastAsia="方正仿宋_GBK"/>
          <w:color w:val="000000"/>
          <w:sz w:val="28"/>
        </w:rPr>
        <w:t>年，我</w:t>
      </w:r>
      <w:r>
        <w:rPr>
          <w:rFonts w:hint="eastAsia" w:eastAsia="方正仿宋_GBK"/>
          <w:color w:val="000000"/>
          <w:sz w:val="28"/>
          <w:lang w:val="en-US" w:eastAsia="zh-CN"/>
        </w:rPr>
        <w:t>单位</w:t>
      </w:r>
      <w:r>
        <w:rPr>
          <w:rFonts w:eastAsia="方正仿宋_GBK"/>
          <w:color w:val="000000"/>
          <w:sz w:val="28"/>
        </w:rPr>
        <w:t>机关运行经费共计安排</w:t>
      </w:r>
      <w:r>
        <w:rPr>
          <w:rFonts w:hint="eastAsia" w:eastAsia="方正仿宋_GBK"/>
          <w:color w:val="000000"/>
          <w:sz w:val="28"/>
          <w:lang w:val="en-US" w:eastAsia="zh-CN"/>
        </w:rPr>
        <w:t>77.21</w:t>
      </w:r>
      <w:r>
        <w:rPr>
          <w:rFonts w:eastAsia="方正仿宋_GBK"/>
          <w:color w:val="000000"/>
          <w:sz w:val="28"/>
        </w:rPr>
        <w:t>万元，主要用于保证机关正常运转的办公及印刷费、邮电费、差旅费、会议费、福利费、专用材料及一般设备购置费、办公用房水电费、办公用房取暖费、日常维修费、公务车运行维护费等支出。</w:t>
      </w:r>
    </w:p>
    <w:p>
      <w:pPr>
        <w:pStyle w:val="2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rPr>
          <w:rFonts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5</w:t>
      </w:r>
      <w:r>
        <w:rPr>
          <w:rFonts w:ascii="Times New Roman" w:hAnsi="Times New Roman" w:eastAsia="方正仿宋_GBK" w:cs="Times New Roman"/>
          <w:sz w:val="28"/>
          <w:szCs w:val="24"/>
          <w:highlight w:val="none"/>
          <w:lang w:val="en-US" w:eastAsia="uk-UA" w:bidi="ar-SA"/>
        </w:rPr>
        <w:t>年，我部门财政拨款“三公”经费预算安排</w:t>
      </w:r>
      <w:r>
        <w:rPr>
          <w:rFonts w:hint="eastAsia" w:cs="Times New Roman"/>
          <w:sz w:val="28"/>
          <w:szCs w:val="24"/>
          <w:highlight w:val="none"/>
          <w:lang w:val="en-US" w:eastAsia="zh-CN" w:bidi="ar-SA"/>
        </w:rPr>
        <w:t>16.8</w:t>
      </w:r>
      <w:r>
        <w:rPr>
          <w:rFonts w:ascii="Times New Roman" w:hAnsi="Times New Roman" w:eastAsia="方正仿宋_GBK" w:cs="Times New Roman"/>
          <w:sz w:val="28"/>
          <w:szCs w:val="24"/>
          <w:highlight w:val="none"/>
          <w:lang w:val="en-US" w:eastAsia="uk-UA" w:bidi="ar-SA"/>
        </w:rPr>
        <w:t>万元，其中：</w:t>
      </w:r>
      <w:r>
        <w:rPr>
          <w:rFonts w:hint="eastAsia" w:ascii="Times New Roman" w:hAnsi="Times New Roman" w:eastAsia="方正仿宋_GBK" w:cs="Times New Roman"/>
          <w:sz w:val="28"/>
          <w:szCs w:val="24"/>
          <w:highlight w:val="none"/>
          <w:lang w:val="en-US" w:eastAsia="uk-UA" w:bidi="ar-SA"/>
        </w:rPr>
        <w:t>其中，因公出国（境）费0万元；公务用车购置及运维费 1</w:t>
      </w:r>
      <w:r>
        <w:rPr>
          <w:rFonts w:hint="eastAsia" w:cs="Times New Roman"/>
          <w:sz w:val="28"/>
          <w:szCs w:val="24"/>
          <w:highlight w:val="none"/>
          <w:lang w:val="en-US" w:eastAsia="zh-CN" w:bidi="ar-SA"/>
        </w:rPr>
        <w:t>6.8</w:t>
      </w:r>
      <w:r>
        <w:rPr>
          <w:rFonts w:hint="eastAsia" w:ascii="Times New Roman" w:hAnsi="Times New Roman" w:eastAsia="方正仿宋_GBK" w:cs="Times New Roman"/>
          <w:sz w:val="28"/>
          <w:szCs w:val="24"/>
          <w:highlight w:val="none"/>
          <w:lang w:val="en-US" w:eastAsia="uk-UA" w:bidi="ar-SA"/>
        </w:rPr>
        <w:t>元（其中：公务用车购置费 0 万元，公务用车运行维护费1</w:t>
      </w:r>
      <w:r>
        <w:rPr>
          <w:rFonts w:hint="eastAsia" w:cs="Times New Roman"/>
          <w:sz w:val="28"/>
          <w:szCs w:val="24"/>
          <w:highlight w:val="none"/>
          <w:lang w:val="en-US" w:eastAsia="zh-CN" w:bidi="ar-SA"/>
        </w:rPr>
        <w:t>6.8</w:t>
      </w:r>
      <w:r>
        <w:rPr>
          <w:rFonts w:hint="eastAsia" w:ascii="Times New Roman" w:hAnsi="Times New Roman" w:eastAsia="方正仿宋_GBK" w:cs="Times New Roman"/>
          <w:sz w:val="28"/>
          <w:szCs w:val="24"/>
          <w:highlight w:val="none"/>
          <w:lang w:val="en-US" w:eastAsia="uk-UA" w:bidi="ar-SA"/>
        </w:rPr>
        <w:t xml:space="preserve"> 万元）；公务接待费</w:t>
      </w:r>
      <w:r>
        <w:rPr>
          <w:rFonts w:hint="eastAsia" w:cs="Times New Roman"/>
          <w:sz w:val="28"/>
          <w:szCs w:val="24"/>
          <w:highlight w:val="none"/>
          <w:lang w:val="en-US" w:eastAsia="zh-CN" w:bidi="ar-SA"/>
        </w:rPr>
        <w:t>0</w:t>
      </w:r>
      <w:r>
        <w:rPr>
          <w:rFonts w:hint="eastAsia" w:ascii="Times New Roman" w:hAnsi="Times New Roman" w:eastAsia="方正仿宋_GBK" w:cs="Times New Roman"/>
          <w:sz w:val="28"/>
          <w:szCs w:val="24"/>
          <w:highlight w:val="none"/>
          <w:lang w:val="en-US" w:eastAsia="uk-UA" w:bidi="ar-SA"/>
        </w:rPr>
        <w:t>万元。因公出国（境）费与 202</w:t>
      </w:r>
      <w:r>
        <w:rPr>
          <w:rFonts w:hint="eastAsia" w:cs="Times New Roman"/>
          <w:sz w:val="28"/>
          <w:szCs w:val="24"/>
          <w:highlight w:val="none"/>
          <w:lang w:val="en-US" w:eastAsia="zh-CN" w:bidi="ar-SA"/>
        </w:rPr>
        <w:t>4</w:t>
      </w:r>
      <w:r>
        <w:rPr>
          <w:rFonts w:hint="eastAsia" w:ascii="Times New Roman" w:hAnsi="Times New Roman" w:eastAsia="方正仿宋_GBK" w:cs="Times New Roman"/>
          <w:sz w:val="28"/>
          <w:szCs w:val="24"/>
          <w:highlight w:val="none"/>
          <w:lang w:val="en-US" w:eastAsia="uk-UA" w:bidi="ar-SA"/>
        </w:rPr>
        <w:t xml:space="preserve"> 年持平，无增减变化；公务用车购置及运维费</w:t>
      </w:r>
      <w:r>
        <w:rPr>
          <w:rFonts w:hint="eastAsia" w:cs="Times New Roman"/>
          <w:sz w:val="28"/>
          <w:szCs w:val="24"/>
          <w:highlight w:val="none"/>
          <w:lang w:val="en-US" w:eastAsia="zh-CN" w:bidi="ar-SA"/>
        </w:rPr>
        <w:t>较</w:t>
      </w:r>
      <w:r>
        <w:rPr>
          <w:rFonts w:hint="eastAsia" w:ascii="Times New Roman" w:hAnsi="Times New Roman" w:eastAsia="方正仿宋_GBK" w:cs="Times New Roman"/>
          <w:sz w:val="28"/>
          <w:szCs w:val="24"/>
          <w:highlight w:val="none"/>
          <w:lang w:val="en-US" w:eastAsia="uk-UA" w:bidi="ar-SA"/>
        </w:rPr>
        <w:t>202</w:t>
      </w:r>
      <w:r>
        <w:rPr>
          <w:rFonts w:hint="eastAsia" w:cs="Times New Roman"/>
          <w:sz w:val="28"/>
          <w:szCs w:val="24"/>
          <w:highlight w:val="none"/>
          <w:lang w:val="en-US" w:eastAsia="zh-CN" w:bidi="ar-SA"/>
        </w:rPr>
        <w:t>4</w:t>
      </w:r>
      <w:r>
        <w:rPr>
          <w:rFonts w:hint="eastAsia" w:ascii="Times New Roman" w:hAnsi="Times New Roman" w:eastAsia="方正仿宋_GBK" w:cs="Times New Roman"/>
          <w:sz w:val="28"/>
          <w:szCs w:val="24"/>
          <w:highlight w:val="none"/>
          <w:lang w:val="en-US" w:eastAsia="uk-UA" w:bidi="ar-SA"/>
        </w:rPr>
        <w:t xml:space="preserve"> 年</w:t>
      </w:r>
      <w:r>
        <w:rPr>
          <w:rFonts w:hint="eastAsia" w:cs="Times New Roman"/>
          <w:sz w:val="28"/>
          <w:szCs w:val="24"/>
          <w:highlight w:val="none"/>
          <w:lang w:val="en-US" w:eastAsia="zh-CN" w:bidi="ar-SA"/>
        </w:rPr>
        <w:t>增长4.8万元</w:t>
      </w:r>
      <w:r>
        <w:rPr>
          <w:rFonts w:hint="eastAsia" w:ascii="Times New Roman" w:hAnsi="Times New Roman" w:eastAsia="方正仿宋_GBK" w:cs="Times New Roman"/>
          <w:sz w:val="28"/>
          <w:szCs w:val="24"/>
          <w:highlight w:val="none"/>
          <w:lang w:val="en-US" w:eastAsia="uk-UA" w:bidi="ar-SA"/>
        </w:rPr>
        <w:t>；公务接待费与 202</w:t>
      </w:r>
      <w:r>
        <w:rPr>
          <w:rFonts w:hint="eastAsia" w:cs="Times New Roman"/>
          <w:sz w:val="28"/>
          <w:szCs w:val="24"/>
          <w:highlight w:val="none"/>
          <w:lang w:val="en-US" w:eastAsia="zh-CN" w:bidi="ar-SA"/>
        </w:rPr>
        <w:t>4</w:t>
      </w:r>
      <w:r>
        <w:rPr>
          <w:rFonts w:hint="eastAsia" w:ascii="Times New Roman" w:hAnsi="Times New Roman" w:eastAsia="方正仿宋_GBK" w:cs="Times New Roman"/>
          <w:sz w:val="28"/>
          <w:szCs w:val="24"/>
          <w:highlight w:val="none"/>
          <w:lang w:val="en-US" w:eastAsia="uk-UA" w:bidi="ar-SA"/>
        </w:rPr>
        <w:t xml:space="preserve"> 年持平，无增减变化。</w:t>
      </w: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1、单位运行电费绩效目标表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13010025P000083101254</w:t>
            </w:r>
          </w:p>
        </w:tc>
        <w:tc>
          <w:tcPr>
            <w:tcW w:w="2835" w:type="dxa"/>
            <w:vAlign w:val="center"/>
          </w:tcPr>
          <w:p>
            <w:pPr>
              <w:pStyle w:val="10"/>
            </w:pPr>
            <w:r>
              <w:t>项目名称</w:t>
            </w:r>
          </w:p>
        </w:tc>
        <w:tc>
          <w:tcPr>
            <w:tcW w:w="6095" w:type="dxa"/>
            <w:gridSpan w:val="3"/>
            <w:vAlign w:val="center"/>
          </w:tcPr>
          <w:p>
            <w:pPr>
              <w:pStyle w:val="12"/>
            </w:pPr>
            <w:r>
              <w:t>单位运行电费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13.90</w:t>
            </w:r>
          </w:p>
        </w:tc>
        <w:tc>
          <w:tcPr>
            <w:tcW w:w="2835" w:type="dxa"/>
            <w:vAlign w:val="center"/>
          </w:tcPr>
          <w:p>
            <w:pPr>
              <w:pStyle w:val="10"/>
            </w:pPr>
            <w:r>
              <w:t>其中：财政    资金</w:t>
            </w:r>
          </w:p>
        </w:tc>
        <w:tc>
          <w:tcPr>
            <w:tcW w:w="2551" w:type="dxa"/>
            <w:vAlign w:val="center"/>
          </w:tcPr>
          <w:p>
            <w:pPr>
              <w:pStyle w:val="12"/>
            </w:pPr>
            <w:r>
              <w:t>13.90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支付单位电费，确保办公办案工作正常运转。</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1.支付单位电费，确保办公办案工作正常运转。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保障机关及派出法庭数量</w:t>
            </w:r>
          </w:p>
        </w:tc>
        <w:tc>
          <w:tcPr>
            <w:tcW w:w="5386" w:type="dxa"/>
            <w:vAlign w:val="center"/>
          </w:tcPr>
          <w:p>
            <w:pPr>
              <w:pStyle w:val="12"/>
            </w:pPr>
            <w:r>
              <w:t>保障机关及派出法庭数量</w:t>
            </w:r>
          </w:p>
        </w:tc>
        <w:tc>
          <w:tcPr>
            <w:tcW w:w="2268" w:type="dxa"/>
            <w:vAlign w:val="center"/>
          </w:tcPr>
          <w:p>
            <w:pPr>
              <w:pStyle w:val="12"/>
            </w:pPr>
            <w:r>
              <w:t>≥4个</w:t>
            </w:r>
          </w:p>
        </w:tc>
        <w:tc>
          <w:tcPr>
            <w:tcW w:w="1276" w:type="dxa"/>
            <w:vAlign w:val="center"/>
          </w:tcPr>
          <w:p>
            <w:pPr>
              <w:pStyle w:val="12"/>
            </w:pPr>
            <w:r>
              <w:t>历史经验（近三年电费明细）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设备电路故障率</w:t>
            </w:r>
          </w:p>
        </w:tc>
        <w:tc>
          <w:tcPr>
            <w:tcW w:w="5386" w:type="dxa"/>
            <w:vAlign w:val="center"/>
          </w:tcPr>
          <w:p>
            <w:pPr>
              <w:pStyle w:val="12"/>
            </w:pPr>
            <w:r>
              <w:t>设备电路故障率</w:t>
            </w:r>
          </w:p>
        </w:tc>
        <w:tc>
          <w:tcPr>
            <w:tcW w:w="2268" w:type="dxa"/>
            <w:vAlign w:val="center"/>
          </w:tcPr>
          <w:p>
            <w:pPr>
              <w:pStyle w:val="12"/>
            </w:pPr>
            <w:r>
              <w:t>≤10%</w:t>
            </w:r>
          </w:p>
        </w:tc>
        <w:tc>
          <w:tcPr>
            <w:tcW w:w="1276" w:type="dxa"/>
            <w:vAlign w:val="center"/>
          </w:tcPr>
          <w:p>
            <w:pPr>
              <w:pStyle w:val="12"/>
            </w:pPr>
            <w:r>
              <w:t>历史经验（近三年维修明细）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缴纳及时率</w:t>
            </w:r>
          </w:p>
        </w:tc>
        <w:tc>
          <w:tcPr>
            <w:tcW w:w="5386" w:type="dxa"/>
            <w:vAlign w:val="center"/>
          </w:tcPr>
          <w:p>
            <w:pPr>
              <w:pStyle w:val="12"/>
            </w:pPr>
            <w:r>
              <w:t>电费缴纳及时率</w:t>
            </w:r>
          </w:p>
        </w:tc>
        <w:tc>
          <w:tcPr>
            <w:tcW w:w="2268" w:type="dxa"/>
            <w:vAlign w:val="center"/>
          </w:tcPr>
          <w:p>
            <w:pPr>
              <w:pStyle w:val="12"/>
            </w:pPr>
            <w:r>
              <w:t>≥95%</w:t>
            </w:r>
          </w:p>
        </w:tc>
        <w:tc>
          <w:tcPr>
            <w:tcW w:w="1276" w:type="dxa"/>
            <w:vAlign w:val="center"/>
          </w:tcPr>
          <w:p>
            <w:pPr>
              <w:pStyle w:val="12"/>
            </w:pPr>
            <w:r>
              <w:t>预算资金支出情况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电费节约率</w:t>
            </w:r>
          </w:p>
        </w:tc>
        <w:tc>
          <w:tcPr>
            <w:tcW w:w="5386" w:type="dxa"/>
            <w:vAlign w:val="center"/>
          </w:tcPr>
          <w:p>
            <w:pPr>
              <w:pStyle w:val="12"/>
            </w:pPr>
            <w:r>
              <w:t>电费较上年节约率</w:t>
            </w:r>
          </w:p>
        </w:tc>
        <w:tc>
          <w:tcPr>
            <w:tcW w:w="2268" w:type="dxa"/>
            <w:vAlign w:val="center"/>
          </w:tcPr>
          <w:p>
            <w:pPr>
              <w:pStyle w:val="12"/>
            </w:pPr>
            <w:r>
              <w:t>≥3%</w:t>
            </w:r>
          </w:p>
        </w:tc>
        <w:tc>
          <w:tcPr>
            <w:tcW w:w="1276" w:type="dxa"/>
            <w:vAlign w:val="center"/>
          </w:tcPr>
          <w:p>
            <w:pPr>
              <w:pStyle w:val="12"/>
            </w:pPr>
            <w:r>
              <w:t>历史经验（近两年电费明细）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单位正常运转率</w:t>
            </w:r>
          </w:p>
        </w:tc>
        <w:tc>
          <w:tcPr>
            <w:tcW w:w="2268" w:type="dxa"/>
            <w:vAlign w:val="center"/>
          </w:tcPr>
          <w:p>
            <w:pPr>
              <w:pStyle w:val="12"/>
            </w:pPr>
            <w:r>
              <w:t>100%</w:t>
            </w:r>
          </w:p>
        </w:tc>
        <w:tc>
          <w:tcPr>
            <w:tcW w:w="1276" w:type="dxa"/>
            <w:vAlign w:val="center"/>
          </w:tcPr>
          <w:p>
            <w:pPr>
              <w:pStyle w:val="12"/>
            </w:pPr>
            <w:r>
              <w:t>历史经验（2024年度保障情况）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2、党组织活动经费绩效目标表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13010025P00971110294C</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通过印刷党建宣传手册，达到宣传效果；保障党建活动所需差旅支出，促进活动顺利开展。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1.通过印刷党建宣传手册，达到宣传效果；保障党建活动所需差旅支出，促进活动顺利开展。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党组织活动开展及时率</w:t>
            </w:r>
          </w:p>
        </w:tc>
        <w:tc>
          <w:tcPr>
            <w:tcW w:w="5386" w:type="dxa"/>
            <w:vAlign w:val="center"/>
          </w:tcPr>
          <w:p>
            <w:pPr>
              <w:pStyle w:val="12"/>
            </w:pPr>
            <w:r>
              <w:t>党组织活动开展及时率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项目预算控制额</w:t>
            </w:r>
          </w:p>
        </w:tc>
        <w:tc>
          <w:tcPr>
            <w:tcW w:w="2268" w:type="dxa"/>
            <w:vAlign w:val="center"/>
          </w:tcPr>
          <w:p>
            <w:pPr>
              <w:pStyle w:val="12"/>
            </w:pPr>
            <w:r>
              <w:t>≤2.7万元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党的政策传递顺畅度</w:t>
            </w:r>
          </w:p>
        </w:tc>
        <w:tc>
          <w:tcPr>
            <w:tcW w:w="5386" w:type="dxa"/>
            <w:vAlign w:val="center"/>
          </w:tcPr>
          <w:p>
            <w:pPr>
              <w:pStyle w:val="12"/>
            </w:pPr>
            <w:r>
              <w:t>党的政策传递顺畅度</w:t>
            </w:r>
          </w:p>
        </w:tc>
        <w:tc>
          <w:tcPr>
            <w:tcW w:w="2268" w:type="dxa"/>
            <w:vAlign w:val="center"/>
          </w:tcPr>
          <w:p>
            <w:pPr>
              <w:pStyle w:val="12"/>
            </w:pPr>
            <w:r>
              <w:t>≥96%</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党员干部满意度</w:t>
            </w:r>
          </w:p>
        </w:tc>
        <w:tc>
          <w:tcPr>
            <w:tcW w:w="5386" w:type="dxa"/>
            <w:vAlign w:val="center"/>
          </w:tcPr>
          <w:p>
            <w:pPr>
              <w:pStyle w:val="12"/>
            </w:pPr>
            <w:r>
              <w:t>党员干部满意度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3、文件资料印刷费绩效目标表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13010025P00993510242E</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印刷普法活动宣传册、部门工作报告、制式案卷封皮、档案封皮，保障法院业务工作顺利开展。</w:t>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1.印刷普法活动宣传册、部门工作报告、制式案卷封皮、档案封皮，保障法院业务工作顺利开展。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文件资料印刷数量</w:t>
            </w:r>
          </w:p>
        </w:tc>
        <w:tc>
          <w:tcPr>
            <w:tcW w:w="5386" w:type="dxa"/>
            <w:vAlign w:val="center"/>
          </w:tcPr>
          <w:p>
            <w:pPr>
              <w:pStyle w:val="12"/>
            </w:pPr>
            <w:r>
              <w:t>文件资料印刷数量</w:t>
            </w:r>
          </w:p>
        </w:tc>
        <w:tc>
          <w:tcPr>
            <w:tcW w:w="2268" w:type="dxa"/>
            <w:vAlign w:val="center"/>
          </w:tcPr>
          <w:p>
            <w:pPr>
              <w:pStyle w:val="12"/>
            </w:pPr>
            <w:r>
              <w:t>≥35500页</w:t>
            </w:r>
          </w:p>
        </w:tc>
        <w:tc>
          <w:tcPr>
            <w:tcW w:w="1276" w:type="dxa"/>
            <w:vAlign w:val="center"/>
          </w:tcPr>
          <w:p>
            <w:pPr>
              <w:pStyle w:val="12"/>
            </w:pPr>
            <w:r>
              <w:t>业务活动开展工作计划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文件资料印刷合格率</w:t>
            </w:r>
          </w:p>
        </w:tc>
        <w:tc>
          <w:tcPr>
            <w:tcW w:w="5386" w:type="dxa"/>
            <w:vAlign w:val="center"/>
          </w:tcPr>
          <w:p>
            <w:pPr>
              <w:pStyle w:val="12"/>
            </w:pPr>
            <w:r>
              <w:t>文件资料印刷合格率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文件资料印刷及时率</w:t>
            </w:r>
          </w:p>
        </w:tc>
        <w:tc>
          <w:tcPr>
            <w:tcW w:w="5386" w:type="dxa"/>
            <w:vAlign w:val="center"/>
          </w:tcPr>
          <w:p>
            <w:pPr>
              <w:pStyle w:val="12"/>
            </w:pPr>
            <w:r>
              <w:t>文件资料印刷及时率</w:t>
            </w:r>
          </w:p>
        </w:tc>
        <w:tc>
          <w:tcPr>
            <w:tcW w:w="2268" w:type="dxa"/>
            <w:vAlign w:val="center"/>
          </w:tcPr>
          <w:p>
            <w:pPr>
              <w:pStyle w:val="12"/>
            </w:pPr>
            <w:r>
              <w:t>≥95%</w:t>
            </w:r>
          </w:p>
        </w:tc>
        <w:tc>
          <w:tcPr>
            <w:tcW w:w="1276" w:type="dxa"/>
            <w:vAlign w:val="center"/>
          </w:tcPr>
          <w:p>
            <w:pPr>
              <w:pStyle w:val="12"/>
            </w:pPr>
            <w:r>
              <w:t>业务活动开展工作计划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单页资料印刷成本</w:t>
            </w:r>
          </w:p>
        </w:tc>
        <w:tc>
          <w:tcPr>
            <w:tcW w:w="5386" w:type="dxa"/>
            <w:vAlign w:val="center"/>
          </w:tcPr>
          <w:p>
            <w:pPr>
              <w:pStyle w:val="12"/>
            </w:pPr>
            <w:r>
              <w:t>单页资料印刷成本</w:t>
            </w:r>
          </w:p>
        </w:tc>
        <w:tc>
          <w:tcPr>
            <w:tcW w:w="2268" w:type="dxa"/>
            <w:vAlign w:val="center"/>
          </w:tcPr>
          <w:p>
            <w:pPr>
              <w:pStyle w:val="12"/>
            </w:pPr>
            <w:r>
              <w:t>≤0.5元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文件资料印刷工作正常开展保障率</w:t>
            </w:r>
          </w:p>
        </w:tc>
        <w:tc>
          <w:tcPr>
            <w:tcW w:w="5386" w:type="dxa"/>
            <w:vAlign w:val="center"/>
          </w:tcPr>
          <w:p>
            <w:pPr>
              <w:pStyle w:val="12"/>
            </w:pPr>
            <w:r>
              <w:t>文件资料印刷工作正常开展保障率</w:t>
            </w:r>
          </w:p>
        </w:tc>
        <w:tc>
          <w:tcPr>
            <w:tcW w:w="2268" w:type="dxa"/>
            <w:vAlign w:val="center"/>
          </w:tcPr>
          <w:p>
            <w:pPr>
              <w:pStyle w:val="12"/>
            </w:pPr>
            <w:r>
              <w:t>100%</w:t>
            </w:r>
          </w:p>
        </w:tc>
        <w:tc>
          <w:tcPr>
            <w:tcW w:w="1276" w:type="dxa"/>
            <w:vAlign w:val="center"/>
          </w:tcPr>
          <w:p>
            <w:pPr>
              <w:pStyle w:val="12"/>
            </w:pPr>
            <w:r>
              <w:t>历史经验（2024年度保障情况）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资料使用人员满意度</w:t>
            </w:r>
          </w:p>
        </w:tc>
        <w:tc>
          <w:tcPr>
            <w:tcW w:w="5386" w:type="dxa"/>
            <w:vAlign w:val="center"/>
          </w:tcPr>
          <w:p>
            <w:pPr>
              <w:pStyle w:val="12"/>
            </w:pPr>
            <w:r>
              <w:t>资料使用人员满意度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4、物业管理费（保安经费）绩效目标表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13010025P00641210234U</w:t>
            </w:r>
          </w:p>
        </w:tc>
        <w:tc>
          <w:tcPr>
            <w:tcW w:w="2835" w:type="dxa"/>
            <w:vAlign w:val="center"/>
          </w:tcPr>
          <w:p>
            <w:pPr>
              <w:pStyle w:val="10"/>
            </w:pPr>
            <w:r>
              <w:t>项目名称</w:t>
            </w:r>
          </w:p>
        </w:tc>
        <w:tc>
          <w:tcPr>
            <w:tcW w:w="6095" w:type="dxa"/>
            <w:gridSpan w:val="3"/>
            <w:vAlign w:val="center"/>
          </w:tcPr>
          <w:p>
            <w:pPr>
              <w:pStyle w:val="12"/>
            </w:pPr>
            <w:r>
              <w:t>物业管理费（保安经费）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8.95</w:t>
            </w:r>
          </w:p>
        </w:tc>
        <w:tc>
          <w:tcPr>
            <w:tcW w:w="2835" w:type="dxa"/>
            <w:vAlign w:val="center"/>
          </w:tcPr>
          <w:p>
            <w:pPr>
              <w:pStyle w:val="10"/>
            </w:pPr>
            <w:r>
              <w:t>其中：财政    资金</w:t>
            </w:r>
          </w:p>
        </w:tc>
        <w:tc>
          <w:tcPr>
            <w:tcW w:w="2551" w:type="dxa"/>
            <w:vAlign w:val="center"/>
          </w:tcPr>
          <w:p>
            <w:pPr>
              <w:pStyle w:val="12"/>
            </w:pPr>
            <w:r>
              <w:t>8.95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购买保安服务，保障审判工作。</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1.购买保安服务，保障审判工作。</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保安服务天数</w:t>
            </w:r>
          </w:p>
        </w:tc>
        <w:tc>
          <w:tcPr>
            <w:tcW w:w="5386" w:type="dxa"/>
            <w:vAlign w:val="center"/>
          </w:tcPr>
          <w:p>
            <w:pPr>
              <w:pStyle w:val="12"/>
            </w:pPr>
            <w:r>
              <w:t>保安服务天数</w:t>
            </w:r>
          </w:p>
        </w:tc>
        <w:tc>
          <w:tcPr>
            <w:tcW w:w="2268" w:type="dxa"/>
            <w:vAlign w:val="center"/>
          </w:tcPr>
          <w:p>
            <w:pPr>
              <w:pStyle w:val="12"/>
            </w:pPr>
            <w:r>
              <w:t>365天</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保安服务合格率</w:t>
            </w:r>
          </w:p>
        </w:tc>
        <w:tc>
          <w:tcPr>
            <w:tcW w:w="5386" w:type="dxa"/>
            <w:vAlign w:val="center"/>
          </w:tcPr>
          <w:p>
            <w:pPr>
              <w:pStyle w:val="12"/>
            </w:pPr>
            <w:r>
              <w:t>保安服务合格率</w:t>
            </w:r>
          </w:p>
        </w:tc>
        <w:tc>
          <w:tcPr>
            <w:tcW w:w="2268" w:type="dxa"/>
            <w:vAlign w:val="center"/>
          </w:tcPr>
          <w:p>
            <w:pPr>
              <w:pStyle w:val="12"/>
            </w:pPr>
            <w:r>
              <w:t>100%</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费用拨付及时率</w:t>
            </w:r>
          </w:p>
        </w:tc>
        <w:tc>
          <w:tcPr>
            <w:tcW w:w="5386" w:type="dxa"/>
            <w:vAlign w:val="center"/>
          </w:tcPr>
          <w:p>
            <w:pPr>
              <w:pStyle w:val="12"/>
            </w:pPr>
            <w:r>
              <w:t>费用拨付及时率</w:t>
            </w:r>
          </w:p>
        </w:tc>
        <w:tc>
          <w:tcPr>
            <w:tcW w:w="2268" w:type="dxa"/>
            <w:vAlign w:val="center"/>
          </w:tcPr>
          <w:p>
            <w:pPr>
              <w:pStyle w:val="12"/>
            </w:pPr>
            <w:r>
              <w:t>100%</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发放总金额</w:t>
            </w:r>
          </w:p>
        </w:tc>
        <w:tc>
          <w:tcPr>
            <w:tcW w:w="5386" w:type="dxa"/>
            <w:vAlign w:val="center"/>
          </w:tcPr>
          <w:p>
            <w:pPr>
              <w:pStyle w:val="12"/>
            </w:pPr>
            <w:r>
              <w:t>发放总金额</w:t>
            </w:r>
          </w:p>
        </w:tc>
        <w:tc>
          <w:tcPr>
            <w:tcW w:w="2268" w:type="dxa"/>
            <w:vAlign w:val="center"/>
          </w:tcPr>
          <w:p>
            <w:pPr>
              <w:pStyle w:val="12"/>
            </w:pPr>
            <w:r>
              <w:t>≤8.95万元</w:t>
            </w:r>
          </w:p>
        </w:tc>
        <w:tc>
          <w:tcPr>
            <w:tcW w:w="1276" w:type="dxa"/>
            <w:vAlign w:val="center"/>
          </w:tcPr>
          <w:p>
            <w:pPr>
              <w:pStyle w:val="12"/>
            </w:pPr>
            <w:r>
              <w:t>保安合同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审判安保工作保障率</w:t>
            </w:r>
          </w:p>
        </w:tc>
        <w:tc>
          <w:tcPr>
            <w:tcW w:w="5386" w:type="dxa"/>
            <w:vAlign w:val="center"/>
          </w:tcPr>
          <w:p>
            <w:pPr>
              <w:pStyle w:val="12"/>
            </w:pPr>
            <w:r>
              <w:t>审判安保工作保障率</w:t>
            </w:r>
          </w:p>
        </w:tc>
        <w:tc>
          <w:tcPr>
            <w:tcW w:w="2268" w:type="dxa"/>
            <w:vAlign w:val="center"/>
          </w:tcPr>
          <w:p>
            <w:pPr>
              <w:pStyle w:val="12"/>
            </w:pPr>
            <w:r>
              <w:t>100%</w:t>
            </w:r>
          </w:p>
        </w:tc>
        <w:tc>
          <w:tcPr>
            <w:tcW w:w="1276" w:type="dxa"/>
            <w:vAlign w:val="center"/>
          </w:tcPr>
          <w:p>
            <w:pPr>
              <w:pStyle w:val="12"/>
            </w:pPr>
            <w:r>
              <w:t>实际工作进展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5、专项邮电费绩效目标表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13010025P00667710056F</w:t>
            </w:r>
          </w:p>
        </w:tc>
        <w:tc>
          <w:tcPr>
            <w:tcW w:w="2835" w:type="dxa"/>
            <w:vAlign w:val="center"/>
          </w:tcPr>
          <w:p>
            <w:pPr>
              <w:pStyle w:val="10"/>
            </w:pPr>
            <w:r>
              <w:t>项目名称</w:t>
            </w:r>
          </w:p>
        </w:tc>
        <w:tc>
          <w:tcPr>
            <w:tcW w:w="6095" w:type="dxa"/>
            <w:gridSpan w:val="3"/>
            <w:vAlign w:val="center"/>
          </w:tcPr>
          <w:p>
            <w:pPr>
              <w:pStyle w:val="12"/>
            </w:pPr>
            <w:r>
              <w:t>专项邮电费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及时准确邮寄法律文书。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1.及时准确邮寄法律文书。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邮寄次数</w:t>
            </w:r>
          </w:p>
        </w:tc>
        <w:tc>
          <w:tcPr>
            <w:tcW w:w="5386" w:type="dxa"/>
            <w:vAlign w:val="center"/>
          </w:tcPr>
          <w:p>
            <w:pPr>
              <w:pStyle w:val="12"/>
            </w:pPr>
            <w:r>
              <w:t>法律文书邮寄次数</w:t>
            </w:r>
          </w:p>
        </w:tc>
        <w:tc>
          <w:tcPr>
            <w:tcW w:w="2268" w:type="dxa"/>
            <w:vAlign w:val="center"/>
          </w:tcPr>
          <w:p>
            <w:pPr>
              <w:pStyle w:val="12"/>
            </w:pPr>
            <w:r>
              <w:t>≥5000次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工作质量考核优良率</w:t>
            </w:r>
          </w:p>
        </w:tc>
        <w:tc>
          <w:tcPr>
            <w:tcW w:w="5386" w:type="dxa"/>
            <w:vAlign w:val="center"/>
          </w:tcPr>
          <w:p>
            <w:pPr>
              <w:pStyle w:val="12"/>
            </w:pPr>
            <w:r>
              <w:t>工作质量考核优良率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发放完成时间</w:t>
            </w:r>
          </w:p>
        </w:tc>
        <w:tc>
          <w:tcPr>
            <w:tcW w:w="5386" w:type="dxa"/>
            <w:vAlign w:val="center"/>
          </w:tcPr>
          <w:p>
            <w:pPr>
              <w:pStyle w:val="12"/>
            </w:pPr>
            <w:r>
              <w:t>发放完成时间</w:t>
            </w:r>
          </w:p>
        </w:tc>
        <w:tc>
          <w:tcPr>
            <w:tcW w:w="2268" w:type="dxa"/>
            <w:vAlign w:val="center"/>
          </w:tcPr>
          <w:p>
            <w:pPr>
              <w:pStyle w:val="12"/>
            </w:pPr>
            <w:r>
              <w:t>2025.12.31日前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项目预算控制额</w:t>
            </w:r>
          </w:p>
        </w:tc>
        <w:tc>
          <w:tcPr>
            <w:tcW w:w="2268" w:type="dxa"/>
            <w:vAlign w:val="center"/>
          </w:tcPr>
          <w:p>
            <w:pPr>
              <w:pStyle w:val="12"/>
            </w:pPr>
            <w:r>
              <w:t>≤10万元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与上年相比提高</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6、劳务派遣人员经费绩效目标表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13010025P00964210231X</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w:t>
            </w:r>
          </w:p>
        </w:tc>
        <w:tc>
          <w:tcPr>
            <w:tcW w:w="2835" w:type="dxa"/>
            <w:vAlign w:val="center"/>
          </w:tcPr>
          <w:p>
            <w:pPr>
              <w:pStyle w:val="10"/>
            </w:pPr>
            <w:r>
              <w:t>其中：财政    资金</w:t>
            </w:r>
          </w:p>
        </w:tc>
        <w:tc>
          <w:tcPr>
            <w:tcW w:w="2551" w:type="dxa"/>
            <w:vAlign w:val="center"/>
          </w:tcPr>
          <w:p>
            <w:pPr>
              <w:pStyle w:val="12"/>
            </w:pPr>
            <w:r>
              <w:t>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为劳务派遣人员发放工资，缴纳社会保险，全面提高办公办案效率。</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1.为劳务派遣人员发放工资，缴纳社会保险，全面提高办公办案效率。</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15人</w:t>
            </w:r>
          </w:p>
        </w:tc>
        <w:tc>
          <w:tcPr>
            <w:tcW w:w="1276" w:type="dxa"/>
            <w:vAlign w:val="center"/>
          </w:tcPr>
          <w:p>
            <w:pPr>
              <w:pStyle w:val="12"/>
            </w:pPr>
            <w:r>
              <w:t>劳务派遣人员管理工作方案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劳务派遣人员考核合格率</w:t>
            </w:r>
          </w:p>
        </w:tc>
        <w:tc>
          <w:tcPr>
            <w:tcW w:w="5386" w:type="dxa"/>
            <w:vAlign w:val="center"/>
          </w:tcPr>
          <w:p>
            <w:pPr>
              <w:pStyle w:val="12"/>
            </w:pPr>
            <w:r>
              <w:t>劳务派遣人员考核合格率</w:t>
            </w:r>
          </w:p>
        </w:tc>
        <w:tc>
          <w:tcPr>
            <w:tcW w:w="2268" w:type="dxa"/>
            <w:vAlign w:val="center"/>
          </w:tcPr>
          <w:p>
            <w:pPr>
              <w:pStyle w:val="12"/>
            </w:pPr>
            <w:r>
              <w:t>≥95%</w:t>
            </w:r>
          </w:p>
        </w:tc>
        <w:tc>
          <w:tcPr>
            <w:tcW w:w="1276" w:type="dxa"/>
            <w:vAlign w:val="center"/>
          </w:tcPr>
          <w:p>
            <w:pPr>
              <w:pStyle w:val="12"/>
            </w:pPr>
            <w:r>
              <w:t>历史经验（近三年考核情况）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历史经验（近三年发放情况）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人均工资成本</w:t>
            </w:r>
          </w:p>
        </w:tc>
        <w:tc>
          <w:tcPr>
            <w:tcW w:w="5386" w:type="dxa"/>
            <w:vAlign w:val="center"/>
          </w:tcPr>
          <w:p>
            <w:pPr>
              <w:pStyle w:val="12"/>
            </w:pPr>
            <w:r>
              <w:t>每人每月工资成本</w:t>
            </w:r>
          </w:p>
        </w:tc>
        <w:tc>
          <w:tcPr>
            <w:tcW w:w="2268" w:type="dxa"/>
            <w:vAlign w:val="center"/>
          </w:tcPr>
          <w:p>
            <w:pPr>
              <w:pStyle w:val="12"/>
            </w:pPr>
            <w:r>
              <w:t>≤0.3万元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审判工作保障率</w:t>
            </w:r>
          </w:p>
        </w:tc>
        <w:tc>
          <w:tcPr>
            <w:tcW w:w="5386" w:type="dxa"/>
            <w:vAlign w:val="center"/>
          </w:tcPr>
          <w:p>
            <w:pPr>
              <w:pStyle w:val="12"/>
            </w:pPr>
            <w:r>
              <w:t>审判工作保障率</w:t>
            </w:r>
          </w:p>
        </w:tc>
        <w:tc>
          <w:tcPr>
            <w:tcW w:w="2268" w:type="dxa"/>
            <w:vAlign w:val="center"/>
          </w:tcPr>
          <w:p>
            <w:pPr>
              <w:pStyle w:val="12"/>
            </w:pPr>
            <w:r>
              <w:t>100%</w:t>
            </w:r>
          </w:p>
        </w:tc>
        <w:tc>
          <w:tcPr>
            <w:tcW w:w="1276" w:type="dxa"/>
            <w:vAlign w:val="center"/>
          </w:tcPr>
          <w:p>
            <w:pPr>
              <w:pStyle w:val="12"/>
            </w:pP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7、聘用制书记员经费绩效目标表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13010025P000105101069</w:t>
            </w:r>
          </w:p>
        </w:tc>
        <w:tc>
          <w:tcPr>
            <w:tcW w:w="2835" w:type="dxa"/>
            <w:vAlign w:val="center"/>
          </w:tcPr>
          <w:p>
            <w:pPr>
              <w:pStyle w:val="10"/>
            </w:pPr>
            <w:r>
              <w:t>项目名称</w:t>
            </w:r>
          </w:p>
        </w:tc>
        <w:tc>
          <w:tcPr>
            <w:tcW w:w="6095" w:type="dxa"/>
            <w:gridSpan w:val="3"/>
            <w:vAlign w:val="center"/>
          </w:tcPr>
          <w:p>
            <w:pPr>
              <w:pStyle w:val="12"/>
            </w:pPr>
            <w:r>
              <w:t>聘用制书记员经费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118.00</w:t>
            </w:r>
          </w:p>
        </w:tc>
        <w:tc>
          <w:tcPr>
            <w:tcW w:w="2835" w:type="dxa"/>
            <w:vAlign w:val="center"/>
          </w:tcPr>
          <w:p>
            <w:pPr>
              <w:pStyle w:val="10"/>
            </w:pPr>
            <w:r>
              <w:t>其中：财政    资金</w:t>
            </w:r>
          </w:p>
        </w:tc>
        <w:tc>
          <w:tcPr>
            <w:tcW w:w="2551" w:type="dxa"/>
            <w:vAlign w:val="center"/>
          </w:tcPr>
          <w:p>
            <w:pPr>
              <w:pStyle w:val="12"/>
            </w:pPr>
            <w:r>
              <w:t>118.00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为聘用制书记员发放工资，缴纳社会保险和住房公积金，保障法院工作顺利开展。</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1.为聘用制书记员发放工资，缴纳社会保险和住房公积金，保障法院工作顺利开展。</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聘用制书记员人数</w:t>
            </w:r>
          </w:p>
        </w:tc>
        <w:tc>
          <w:tcPr>
            <w:tcW w:w="5386" w:type="dxa"/>
            <w:vAlign w:val="center"/>
          </w:tcPr>
          <w:p>
            <w:pPr>
              <w:pStyle w:val="12"/>
            </w:pPr>
            <w:r>
              <w:t>聘用制书记员人数</w:t>
            </w:r>
          </w:p>
        </w:tc>
        <w:tc>
          <w:tcPr>
            <w:tcW w:w="2268" w:type="dxa"/>
            <w:vAlign w:val="center"/>
          </w:tcPr>
          <w:p>
            <w:pPr>
              <w:pStyle w:val="12"/>
            </w:pPr>
            <w:r>
              <w:t>16人</w:t>
            </w:r>
          </w:p>
        </w:tc>
        <w:tc>
          <w:tcPr>
            <w:tcW w:w="1276" w:type="dxa"/>
            <w:vAlign w:val="center"/>
          </w:tcPr>
          <w:p>
            <w:pPr>
              <w:pStyle w:val="12"/>
            </w:pPr>
            <w:r>
              <w:t>聘用制书记招聘方案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聘用制书记员年度考核合格率</w:t>
            </w:r>
          </w:p>
        </w:tc>
        <w:tc>
          <w:tcPr>
            <w:tcW w:w="5386" w:type="dxa"/>
            <w:vAlign w:val="center"/>
          </w:tcPr>
          <w:p>
            <w:pPr>
              <w:pStyle w:val="12"/>
            </w:pPr>
            <w:r>
              <w:t>聘用制书记员年度考核合格率</w:t>
            </w:r>
          </w:p>
        </w:tc>
        <w:tc>
          <w:tcPr>
            <w:tcW w:w="2268" w:type="dxa"/>
            <w:vAlign w:val="center"/>
          </w:tcPr>
          <w:p>
            <w:pPr>
              <w:pStyle w:val="12"/>
            </w:pPr>
            <w:r>
              <w:t>≥100%</w:t>
            </w:r>
          </w:p>
        </w:tc>
        <w:tc>
          <w:tcPr>
            <w:tcW w:w="1276" w:type="dxa"/>
            <w:vAlign w:val="center"/>
          </w:tcPr>
          <w:p>
            <w:pPr>
              <w:pStyle w:val="12"/>
            </w:pPr>
            <w:r>
              <w:t>历史经验（近三年考核情况）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历史经验（近三年发放情况）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人均工资成本</w:t>
            </w:r>
          </w:p>
        </w:tc>
        <w:tc>
          <w:tcPr>
            <w:tcW w:w="5386" w:type="dxa"/>
            <w:vAlign w:val="center"/>
          </w:tcPr>
          <w:p>
            <w:pPr>
              <w:pStyle w:val="12"/>
            </w:pPr>
            <w:r>
              <w:t>每人每月工资成本</w:t>
            </w:r>
          </w:p>
        </w:tc>
        <w:tc>
          <w:tcPr>
            <w:tcW w:w="2268" w:type="dxa"/>
            <w:vAlign w:val="center"/>
          </w:tcPr>
          <w:p>
            <w:pPr>
              <w:pStyle w:val="12"/>
            </w:pPr>
            <w:r>
              <w:t>≤0.7万元</w:t>
            </w:r>
          </w:p>
        </w:tc>
        <w:tc>
          <w:tcPr>
            <w:tcW w:w="1276" w:type="dxa"/>
            <w:vAlign w:val="center"/>
          </w:tcPr>
          <w:p>
            <w:pPr>
              <w:pStyle w:val="12"/>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办案业务量较上年增长率</w:t>
            </w:r>
          </w:p>
        </w:tc>
        <w:tc>
          <w:tcPr>
            <w:tcW w:w="5386" w:type="dxa"/>
            <w:vAlign w:val="center"/>
          </w:tcPr>
          <w:p>
            <w:pPr>
              <w:pStyle w:val="12"/>
            </w:pPr>
            <w:r>
              <w:t>办案业务量较上年增长率</w:t>
            </w:r>
          </w:p>
        </w:tc>
        <w:tc>
          <w:tcPr>
            <w:tcW w:w="2268" w:type="dxa"/>
            <w:vAlign w:val="center"/>
          </w:tcPr>
          <w:p>
            <w:pPr>
              <w:pStyle w:val="12"/>
            </w:pPr>
            <w:r>
              <w:t>≥20%</w:t>
            </w:r>
          </w:p>
        </w:tc>
        <w:tc>
          <w:tcPr>
            <w:tcW w:w="1276" w:type="dxa"/>
            <w:vAlign w:val="center"/>
          </w:tcPr>
          <w:p>
            <w:pPr>
              <w:pStyle w:val="12"/>
            </w:pPr>
            <w:r>
              <w:t>历史经验（近三年业务数据）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聘用制书记员满意度</w:t>
            </w:r>
          </w:p>
        </w:tc>
        <w:tc>
          <w:tcPr>
            <w:tcW w:w="5386" w:type="dxa"/>
            <w:vAlign w:val="center"/>
          </w:tcPr>
          <w:p>
            <w:pPr>
              <w:pStyle w:val="12"/>
            </w:pPr>
            <w:r>
              <w:t>聘用制书记员满意度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8、省法院建设补助资金绩效目标表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13010025P00FAW610002X</w:t>
            </w:r>
          </w:p>
        </w:tc>
        <w:tc>
          <w:tcPr>
            <w:tcW w:w="2835" w:type="dxa"/>
            <w:vAlign w:val="center"/>
          </w:tcPr>
          <w:p>
            <w:pPr>
              <w:pStyle w:val="10"/>
            </w:pPr>
            <w:r>
              <w:t>项目名称</w:t>
            </w:r>
          </w:p>
        </w:tc>
        <w:tc>
          <w:tcPr>
            <w:tcW w:w="6095" w:type="dxa"/>
            <w:gridSpan w:val="3"/>
            <w:vAlign w:val="center"/>
          </w:tcPr>
          <w:p>
            <w:pPr>
              <w:pStyle w:val="12"/>
            </w:pPr>
            <w:r>
              <w:t>省法院建设补助资金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80.07</w:t>
            </w:r>
          </w:p>
        </w:tc>
        <w:tc>
          <w:tcPr>
            <w:tcW w:w="2835" w:type="dxa"/>
            <w:vAlign w:val="center"/>
          </w:tcPr>
          <w:p>
            <w:pPr>
              <w:pStyle w:val="10"/>
            </w:pPr>
            <w:r>
              <w:t>其中：财政    资金</w:t>
            </w:r>
          </w:p>
        </w:tc>
        <w:tc>
          <w:tcPr>
            <w:tcW w:w="2551" w:type="dxa"/>
            <w:vAlign w:val="center"/>
          </w:tcPr>
          <w:p>
            <w:pPr>
              <w:pStyle w:val="12"/>
            </w:pPr>
            <w:r>
              <w:t>80.07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加强对审委会的建设使用，保障法院正常工作开展。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1.加强对审委会的建设使用，保障法院正常工作开展。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业务装备采购数</w:t>
            </w:r>
          </w:p>
        </w:tc>
        <w:tc>
          <w:tcPr>
            <w:tcW w:w="5386" w:type="dxa"/>
            <w:vAlign w:val="center"/>
          </w:tcPr>
          <w:p>
            <w:pPr>
              <w:pStyle w:val="12"/>
            </w:pPr>
            <w:r>
              <w:t>业务装备采购数</w:t>
            </w:r>
          </w:p>
        </w:tc>
        <w:tc>
          <w:tcPr>
            <w:tcW w:w="2268" w:type="dxa"/>
            <w:vAlign w:val="center"/>
          </w:tcPr>
          <w:p>
            <w:pPr>
              <w:pStyle w:val="12"/>
            </w:pPr>
            <w:r>
              <w:t>≥13台</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100%</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办公设备采购验收时间</w:t>
            </w:r>
          </w:p>
        </w:tc>
        <w:tc>
          <w:tcPr>
            <w:tcW w:w="2268" w:type="dxa"/>
            <w:vAlign w:val="center"/>
          </w:tcPr>
          <w:p>
            <w:pPr>
              <w:pStyle w:val="12"/>
            </w:pPr>
            <w:r>
              <w:t>2025年10月31日前</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平均采购成本</w:t>
            </w:r>
          </w:p>
        </w:tc>
        <w:tc>
          <w:tcPr>
            <w:tcW w:w="5386" w:type="dxa"/>
            <w:vAlign w:val="center"/>
          </w:tcPr>
          <w:p>
            <w:pPr>
              <w:pStyle w:val="12"/>
            </w:pPr>
            <w:r>
              <w:t>每台设备平均采购成本</w:t>
            </w:r>
          </w:p>
        </w:tc>
        <w:tc>
          <w:tcPr>
            <w:tcW w:w="2268" w:type="dxa"/>
            <w:vAlign w:val="center"/>
          </w:tcPr>
          <w:p>
            <w:pPr>
              <w:pStyle w:val="12"/>
            </w:pPr>
            <w:r>
              <w:t>≤7万元/台</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审判工作保障率</w:t>
            </w:r>
          </w:p>
        </w:tc>
        <w:tc>
          <w:tcPr>
            <w:tcW w:w="5386" w:type="dxa"/>
            <w:vAlign w:val="center"/>
          </w:tcPr>
          <w:p>
            <w:pPr>
              <w:pStyle w:val="12"/>
            </w:pPr>
            <w:r>
              <w:t>审判工作保障率</w:t>
            </w:r>
          </w:p>
        </w:tc>
        <w:tc>
          <w:tcPr>
            <w:tcW w:w="2268" w:type="dxa"/>
            <w:vAlign w:val="center"/>
          </w:tcPr>
          <w:p>
            <w:pPr>
              <w:pStyle w:val="12"/>
            </w:pPr>
            <w:r>
              <w:t>100%</w:t>
            </w:r>
          </w:p>
        </w:tc>
        <w:tc>
          <w:tcPr>
            <w:tcW w:w="1276" w:type="dxa"/>
            <w:vAlign w:val="center"/>
          </w:tcPr>
          <w:p>
            <w:pPr>
              <w:pStyle w:val="12"/>
            </w:pPr>
            <w:r>
              <w:t>省法院建设工作计划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办公设备可持续使用年限</w:t>
            </w:r>
          </w:p>
        </w:tc>
        <w:tc>
          <w:tcPr>
            <w:tcW w:w="5386" w:type="dxa"/>
            <w:vAlign w:val="center"/>
          </w:tcPr>
          <w:p>
            <w:pPr>
              <w:pStyle w:val="12"/>
            </w:pPr>
            <w:r>
              <w:t>可持续使用年限</w:t>
            </w:r>
          </w:p>
        </w:tc>
        <w:tc>
          <w:tcPr>
            <w:tcW w:w="2268" w:type="dxa"/>
            <w:vAlign w:val="center"/>
          </w:tcPr>
          <w:p>
            <w:pPr>
              <w:pStyle w:val="12"/>
            </w:pPr>
            <w:r>
              <w:t>≥6年</w:t>
            </w:r>
          </w:p>
        </w:tc>
        <w:tc>
          <w:tcPr>
            <w:tcW w:w="1276" w:type="dxa"/>
            <w:vAlign w:val="center"/>
          </w:tcPr>
          <w:p>
            <w:pPr>
              <w:pStyle w:val="12"/>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9、省级法院建设补助资金绩效目标表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13010024P00017610023N</w:t>
            </w:r>
          </w:p>
        </w:tc>
        <w:tc>
          <w:tcPr>
            <w:tcW w:w="2835" w:type="dxa"/>
            <w:vAlign w:val="center"/>
          </w:tcPr>
          <w:p>
            <w:pPr>
              <w:pStyle w:val="10"/>
            </w:pPr>
            <w:r>
              <w:t>项目名称</w:t>
            </w:r>
          </w:p>
        </w:tc>
        <w:tc>
          <w:tcPr>
            <w:tcW w:w="6095" w:type="dxa"/>
            <w:gridSpan w:val="3"/>
            <w:vAlign w:val="center"/>
          </w:tcPr>
          <w:p>
            <w:pPr>
              <w:pStyle w:val="12"/>
            </w:pPr>
            <w:r>
              <w:t>省级法院建设补助资金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82.62</w:t>
            </w:r>
          </w:p>
        </w:tc>
        <w:tc>
          <w:tcPr>
            <w:tcW w:w="2835" w:type="dxa"/>
            <w:vAlign w:val="center"/>
          </w:tcPr>
          <w:p>
            <w:pPr>
              <w:pStyle w:val="10"/>
            </w:pPr>
            <w:r>
              <w:t>其中：财政    资金</w:t>
            </w:r>
          </w:p>
        </w:tc>
        <w:tc>
          <w:tcPr>
            <w:tcW w:w="2551" w:type="dxa"/>
            <w:vAlign w:val="center"/>
          </w:tcPr>
          <w:p>
            <w:pPr>
              <w:pStyle w:val="12"/>
            </w:pPr>
            <w:r>
              <w:t>82.62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10、提前下达2025年省级基层公检法司转移支付资金（办案费）绩效目标表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13010025P00990010175H</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30.95</w:t>
            </w:r>
          </w:p>
        </w:tc>
        <w:tc>
          <w:tcPr>
            <w:tcW w:w="2835" w:type="dxa"/>
            <w:vAlign w:val="center"/>
          </w:tcPr>
          <w:p>
            <w:pPr>
              <w:pStyle w:val="10"/>
            </w:pPr>
            <w:r>
              <w:t>其中：财政    资金</w:t>
            </w:r>
          </w:p>
        </w:tc>
        <w:tc>
          <w:tcPr>
            <w:tcW w:w="2551" w:type="dxa"/>
            <w:vAlign w:val="center"/>
          </w:tcPr>
          <w:p>
            <w:pPr>
              <w:pStyle w:val="12"/>
            </w:pPr>
            <w:r>
              <w:t>30.95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11、提前下达2025年省级基层公检法司转移支付资金（装备费）绩效目标表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13010025P009900101765</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9.05</w:t>
            </w:r>
          </w:p>
        </w:tc>
        <w:tc>
          <w:tcPr>
            <w:tcW w:w="2835" w:type="dxa"/>
            <w:vAlign w:val="center"/>
          </w:tcPr>
          <w:p>
            <w:pPr>
              <w:pStyle w:val="10"/>
            </w:pPr>
            <w:r>
              <w:t>其中：财政    资金</w:t>
            </w:r>
          </w:p>
        </w:tc>
        <w:tc>
          <w:tcPr>
            <w:tcW w:w="2551" w:type="dxa"/>
            <w:vAlign w:val="center"/>
          </w:tcPr>
          <w:p>
            <w:pPr>
              <w:pStyle w:val="12"/>
            </w:pPr>
            <w:r>
              <w:t>9.05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12、提前下达2025年中央政法纪检监察转移支付资金（办案费）绩效目标表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13010025P00990010173A</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提前下达2025年中央政法纪检监察转移支付资金（办案费）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13、提前下达2025年中央政法纪检监察转移支付资金（装备费）绩效目标表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13010025P00990010174X</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提前下达2025年中央政法纪检监察转移支付资金（装备费）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1.转移支付资金绩效目标涉密</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14、业务保障经费绩效目标表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13010025P00976510106A</w:t>
            </w:r>
          </w:p>
        </w:tc>
        <w:tc>
          <w:tcPr>
            <w:tcW w:w="2835" w:type="dxa"/>
            <w:vAlign w:val="center"/>
          </w:tcPr>
          <w:p>
            <w:pPr>
              <w:pStyle w:val="10"/>
            </w:pPr>
            <w:r>
              <w:t>项目名称</w:t>
            </w:r>
          </w:p>
        </w:tc>
        <w:tc>
          <w:tcPr>
            <w:tcW w:w="6095" w:type="dxa"/>
            <w:gridSpan w:val="3"/>
            <w:vAlign w:val="center"/>
          </w:tcPr>
          <w:p>
            <w:pPr>
              <w:pStyle w:val="12"/>
            </w:pPr>
            <w:r>
              <w:t>业务保障经费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56.70</w:t>
            </w:r>
          </w:p>
        </w:tc>
        <w:tc>
          <w:tcPr>
            <w:tcW w:w="2835" w:type="dxa"/>
            <w:vAlign w:val="center"/>
          </w:tcPr>
          <w:p>
            <w:pPr>
              <w:pStyle w:val="10"/>
            </w:pPr>
            <w:r>
              <w:t>其中：财政    资金</w:t>
            </w:r>
          </w:p>
        </w:tc>
        <w:tc>
          <w:tcPr>
            <w:tcW w:w="2551" w:type="dxa"/>
            <w:vAlign w:val="center"/>
          </w:tcPr>
          <w:p>
            <w:pPr>
              <w:pStyle w:val="12"/>
            </w:pPr>
            <w:r>
              <w:t>56.70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保障机关运行所需的宣传费用、维修维护费、办公耗材费等支出。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1.用于单位人员宣传费用、维修维护费、办公耗材费等支出，保障机关业务正常运行。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业务保障人数</w:t>
            </w:r>
          </w:p>
        </w:tc>
        <w:tc>
          <w:tcPr>
            <w:tcW w:w="5386" w:type="dxa"/>
            <w:vAlign w:val="center"/>
          </w:tcPr>
          <w:p>
            <w:pPr>
              <w:pStyle w:val="12"/>
            </w:pPr>
            <w:r>
              <w:t>业务保障办公人数</w:t>
            </w:r>
          </w:p>
        </w:tc>
        <w:tc>
          <w:tcPr>
            <w:tcW w:w="2268" w:type="dxa"/>
            <w:vAlign w:val="center"/>
          </w:tcPr>
          <w:p>
            <w:pPr>
              <w:pStyle w:val="12"/>
            </w:pPr>
            <w:r>
              <w:t>≥44人</w:t>
            </w:r>
          </w:p>
        </w:tc>
        <w:tc>
          <w:tcPr>
            <w:tcW w:w="1276" w:type="dxa"/>
            <w:vAlign w:val="center"/>
          </w:tcPr>
          <w:p>
            <w:pPr>
              <w:pStyle w:val="12"/>
            </w:pPr>
            <w:r>
              <w:t>单位工作人员统计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业务保障率</w:t>
            </w:r>
          </w:p>
        </w:tc>
        <w:tc>
          <w:tcPr>
            <w:tcW w:w="2268" w:type="dxa"/>
            <w:vAlign w:val="center"/>
          </w:tcPr>
          <w:p>
            <w:pPr>
              <w:pStyle w:val="12"/>
            </w:pPr>
            <w:r>
              <w:t>≥90%</w:t>
            </w:r>
          </w:p>
        </w:tc>
        <w:tc>
          <w:tcPr>
            <w:tcW w:w="1276" w:type="dxa"/>
            <w:vAlign w:val="center"/>
          </w:tcPr>
          <w:p>
            <w:pPr>
              <w:pStyle w:val="12"/>
            </w:pPr>
            <w:r>
              <w:t>业务保障工作计划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业务保障期限</w:t>
            </w:r>
          </w:p>
        </w:tc>
        <w:tc>
          <w:tcPr>
            <w:tcW w:w="5386" w:type="dxa"/>
            <w:vAlign w:val="center"/>
          </w:tcPr>
          <w:p>
            <w:pPr>
              <w:pStyle w:val="12"/>
            </w:pPr>
            <w:r>
              <w:t>业务保障期限</w:t>
            </w:r>
          </w:p>
        </w:tc>
        <w:tc>
          <w:tcPr>
            <w:tcW w:w="2268" w:type="dxa"/>
            <w:vAlign w:val="center"/>
          </w:tcPr>
          <w:p>
            <w:pPr>
              <w:pStyle w:val="12"/>
            </w:pPr>
            <w:r>
              <w:t>1年</w:t>
            </w:r>
          </w:p>
        </w:tc>
        <w:tc>
          <w:tcPr>
            <w:tcW w:w="1276" w:type="dxa"/>
            <w:vAlign w:val="center"/>
          </w:tcPr>
          <w:p>
            <w:pPr>
              <w:pStyle w:val="12"/>
            </w:pPr>
            <w:r>
              <w:t>业务保障工作计划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机关运转经费控制金额</w:t>
            </w:r>
          </w:p>
        </w:tc>
        <w:tc>
          <w:tcPr>
            <w:tcW w:w="5386" w:type="dxa"/>
            <w:vAlign w:val="center"/>
          </w:tcPr>
          <w:p>
            <w:pPr>
              <w:pStyle w:val="12"/>
            </w:pPr>
            <w:r>
              <w:t>机关运转经费控制金额</w:t>
            </w:r>
          </w:p>
        </w:tc>
        <w:tc>
          <w:tcPr>
            <w:tcW w:w="2268" w:type="dxa"/>
            <w:vAlign w:val="center"/>
          </w:tcPr>
          <w:p>
            <w:pPr>
              <w:pStyle w:val="12"/>
            </w:pPr>
            <w:r>
              <w:t>≤2.8万元/人</w:t>
            </w:r>
          </w:p>
        </w:tc>
        <w:tc>
          <w:tcPr>
            <w:tcW w:w="1276" w:type="dxa"/>
            <w:vAlign w:val="center"/>
          </w:tcPr>
          <w:p>
            <w:pPr>
              <w:pStyle w:val="12"/>
            </w:pPr>
            <w:r>
              <w:t>年度预决算文本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部门正常运转率</w:t>
            </w:r>
          </w:p>
        </w:tc>
        <w:tc>
          <w:tcPr>
            <w:tcW w:w="5386" w:type="dxa"/>
            <w:vAlign w:val="center"/>
          </w:tcPr>
          <w:p>
            <w:pPr>
              <w:pStyle w:val="12"/>
            </w:pPr>
            <w:r>
              <w:t>部门正常运转率</w:t>
            </w:r>
          </w:p>
        </w:tc>
        <w:tc>
          <w:tcPr>
            <w:tcW w:w="2268" w:type="dxa"/>
            <w:vAlign w:val="center"/>
          </w:tcPr>
          <w:p>
            <w:pPr>
              <w:pStyle w:val="12"/>
            </w:pPr>
            <w:r>
              <w:t>≥95%</w:t>
            </w:r>
          </w:p>
        </w:tc>
        <w:tc>
          <w:tcPr>
            <w:tcW w:w="1276" w:type="dxa"/>
            <w:vAlign w:val="center"/>
          </w:tcPr>
          <w:p>
            <w:pPr>
              <w:pStyle w:val="12"/>
            </w:pPr>
            <w:r>
              <w:t>业务保障工作计划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175.24</w:t>
            </w:r>
          </w:p>
        </w:tc>
        <w:tc>
          <w:tcPr>
            <w:tcW w:w="964" w:type="dxa"/>
            <w:vAlign w:val="center"/>
          </w:tcPr>
          <w:p>
            <w:pPr>
              <w:pStyle w:val="15"/>
            </w:pPr>
            <w:r>
              <w:t>92.62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82.62</w:t>
            </w:r>
          </w:p>
        </w:tc>
        <w:tc>
          <w:tcPr>
            <w:tcW w:w="964" w:type="dxa"/>
            <w:vAlign w:val="center"/>
          </w:tcPr>
          <w:p>
            <w:pPr>
              <w:pStyle w:val="15"/>
            </w:pPr>
            <w:r>
              <w:t>175.24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石家庄市井陉矿区人民法院本级小计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175.24</w:t>
            </w:r>
          </w:p>
        </w:tc>
        <w:tc>
          <w:tcPr>
            <w:tcW w:w="964" w:type="dxa"/>
            <w:vAlign w:val="center"/>
          </w:tcPr>
          <w:p>
            <w:pPr>
              <w:pStyle w:val="15"/>
            </w:pPr>
            <w:r>
              <w:t>92.62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82.62</w:t>
            </w:r>
          </w:p>
        </w:tc>
        <w:tc>
          <w:tcPr>
            <w:tcW w:w="964" w:type="dxa"/>
            <w:vAlign w:val="center"/>
          </w:tcPr>
          <w:p>
            <w:pPr>
              <w:pStyle w:val="15"/>
            </w:pPr>
            <w:r>
              <w:t>175.24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省级法院建设补助资金</w:t>
            </w:r>
          </w:p>
        </w:tc>
        <w:tc>
          <w:tcPr>
            <w:tcW w:w="964" w:type="dxa"/>
            <w:vAlign w:val="center"/>
          </w:tcPr>
          <w:p>
            <w:pPr>
              <w:pStyle w:val="11"/>
            </w:pPr>
            <w:r>
              <w:t>82.62</w:t>
            </w:r>
          </w:p>
        </w:tc>
        <w:tc>
          <w:tcPr>
            <w:tcW w:w="1134" w:type="dxa"/>
            <w:vAlign w:val="center"/>
          </w:tcPr>
          <w:p>
            <w:pPr>
              <w:pStyle w:val="12"/>
            </w:pPr>
            <w:r>
              <w:t>办公用房施工</w:t>
            </w:r>
          </w:p>
        </w:tc>
        <w:tc>
          <w:tcPr>
            <w:tcW w:w="1134" w:type="dxa"/>
            <w:vAlign w:val="center"/>
          </w:tcPr>
          <w:p>
            <w:pPr>
              <w:pStyle w:val="12"/>
            </w:pPr>
            <w:r>
              <w:t>B01010000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82.62</w:t>
            </w:r>
          </w:p>
        </w:tc>
        <w:tc>
          <w:tcPr>
            <w:tcW w:w="964" w:type="dxa"/>
            <w:vAlign w:val="center"/>
          </w:tcPr>
          <w:p>
            <w:pPr>
              <w:pStyle w:val="11"/>
            </w:pPr>
            <w:r>
              <w:t>82.62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82.62</w:t>
            </w:r>
          </w:p>
        </w:tc>
        <w:tc>
          <w:tcPr>
            <w:tcW w:w="964" w:type="dxa"/>
            <w:vAlign w:val="center"/>
          </w:tcPr>
          <w:p>
            <w:pPr>
              <w:pStyle w:val="11"/>
            </w:pPr>
            <w:r>
              <w:t>82.62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省法院建设补助资金</w:t>
            </w:r>
          </w:p>
        </w:tc>
        <w:tc>
          <w:tcPr>
            <w:tcW w:w="964" w:type="dxa"/>
            <w:vAlign w:val="center"/>
          </w:tcPr>
          <w:p>
            <w:pPr>
              <w:pStyle w:val="11"/>
            </w:pPr>
            <w:r>
              <w:t>80.07</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80.07</w:t>
            </w:r>
          </w:p>
        </w:tc>
        <w:tc>
          <w:tcPr>
            <w:tcW w:w="964" w:type="dxa"/>
            <w:vAlign w:val="center"/>
          </w:tcPr>
          <w:p>
            <w:pPr>
              <w:pStyle w:val="11"/>
            </w:pPr>
            <w:r>
              <w:t>80.07</w:t>
            </w:r>
          </w:p>
        </w:tc>
        <w:tc>
          <w:tcPr>
            <w:tcW w:w="964" w:type="dxa"/>
            <w:vAlign w:val="center"/>
          </w:tcPr>
          <w:p>
            <w:pPr>
              <w:pStyle w:val="11"/>
            </w:pPr>
            <w:r>
              <w:t>80.07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4.90</w:t>
            </w:r>
          </w:p>
        </w:tc>
        <w:tc>
          <w:tcPr>
            <w:tcW w:w="964" w:type="dxa"/>
            <w:vAlign w:val="center"/>
          </w:tcPr>
          <w:p>
            <w:pPr>
              <w:pStyle w:val="11"/>
            </w:pPr>
            <w:r>
              <w:t>4.90</w:t>
            </w:r>
          </w:p>
        </w:tc>
        <w:tc>
          <w:tcPr>
            <w:tcW w:w="964" w:type="dxa"/>
            <w:vAlign w:val="center"/>
          </w:tcPr>
          <w:p>
            <w:pPr>
              <w:pStyle w:val="11"/>
            </w:pPr>
            <w:r>
              <w:t>4.90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套</w:t>
            </w:r>
          </w:p>
        </w:tc>
        <w:tc>
          <w:tcPr>
            <w:tcW w:w="850" w:type="dxa"/>
            <w:vAlign w:val="center"/>
          </w:tcPr>
          <w:p>
            <w:pPr>
              <w:pStyle w:val="11"/>
            </w:pPr>
            <w:r>
              <w:t>15</w:t>
            </w:r>
          </w:p>
        </w:tc>
        <w:tc>
          <w:tcPr>
            <w:tcW w:w="850" w:type="dxa"/>
            <w:vAlign w:val="center"/>
          </w:tcPr>
          <w:p>
            <w:pPr>
              <w:pStyle w:val="11"/>
            </w:pPr>
            <w:r>
              <w:t>0.19</w:t>
            </w:r>
          </w:p>
        </w:tc>
        <w:tc>
          <w:tcPr>
            <w:tcW w:w="964" w:type="dxa"/>
            <w:vAlign w:val="center"/>
          </w:tcPr>
          <w:p>
            <w:pPr>
              <w:pStyle w:val="11"/>
            </w:pPr>
            <w:r>
              <w:t>2.85</w:t>
            </w:r>
          </w:p>
        </w:tc>
        <w:tc>
          <w:tcPr>
            <w:tcW w:w="964" w:type="dxa"/>
            <w:vAlign w:val="center"/>
          </w:tcPr>
          <w:p>
            <w:pPr>
              <w:pStyle w:val="11"/>
            </w:pPr>
            <w:r>
              <w:t>2.85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0.81</w:t>
            </w:r>
          </w:p>
        </w:tc>
        <w:tc>
          <w:tcPr>
            <w:tcW w:w="964" w:type="dxa"/>
            <w:vAlign w:val="center"/>
          </w:tcPr>
          <w:p>
            <w:pPr>
              <w:pStyle w:val="11"/>
            </w:pPr>
            <w:r>
              <w:t>0.81</w:t>
            </w:r>
          </w:p>
        </w:tc>
        <w:tc>
          <w:tcPr>
            <w:tcW w:w="964" w:type="dxa"/>
            <w:vAlign w:val="center"/>
          </w:tcPr>
          <w:p>
            <w:pPr>
              <w:pStyle w:val="11"/>
            </w:pPr>
            <w:r>
              <w:t>0.81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提前下达2025年省级基层公检法司转移支付资金（装备费）</w:t>
            </w:r>
          </w:p>
        </w:tc>
        <w:tc>
          <w:tcPr>
            <w:tcW w:w="964" w:type="dxa"/>
            <w:vAlign w:val="center"/>
          </w:tcPr>
          <w:p>
            <w:pPr>
              <w:pStyle w:val="11"/>
            </w:pPr>
            <w:r>
              <w:t>9.05</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把</w:t>
            </w:r>
          </w:p>
        </w:tc>
        <w:tc>
          <w:tcPr>
            <w:tcW w:w="850" w:type="dxa"/>
            <w:vAlign w:val="center"/>
          </w:tcPr>
          <w:p>
            <w:pPr>
              <w:pStyle w:val="11"/>
            </w:pPr>
            <w:r>
              <w:t>14</w:t>
            </w:r>
          </w:p>
        </w:tc>
        <w:tc>
          <w:tcPr>
            <w:tcW w:w="850" w:type="dxa"/>
            <w:vAlign w:val="center"/>
          </w:tcPr>
          <w:p>
            <w:pPr>
              <w:pStyle w:val="11"/>
            </w:pPr>
            <w:r>
              <w:t>0.04</w:t>
            </w:r>
          </w:p>
        </w:tc>
        <w:tc>
          <w:tcPr>
            <w:tcW w:w="964" w:type="dxa"/>
            <w:vAlign w:val="center"/>
          </w:tcPr>
          <w:p>
            <w:pPr>
              <w:pStyle w:val="11"/>
            </w:pPr>
            <w:r>
              <w:t>0.49</w:t>
            </w:r>
          </w:p>
        </w:tc>
        <w:tc>
          <w:tcPr>
            <w:tcW w:w="964" w:type="dxa"/>
            <w:vAlign w:val="center"/>
          </w:tcPr>
          <w:p>
            <w:pPr>
              <w:pStyle w:val="11"/>
            </w:pPr>
            <w:r>
              <w:t>0.49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提前下达2025年中央政法纪检监察转移支付资金（装备费）</w:t>
            </w:r>
          </w:p>
        </w:tc>
        <w:tc>
          <w:tcPr>
            <w:tcW w:w="964" w:type="dxa"/>
            <w:vAlign w:val="center"/>
          </w:tcPr>
          <w:p>
            <w:pPr>
              <w:pStyle w:val="11"/>
            </w:pPr>
            <w:r>
              <w:t>13.00</w:t>
            </w:r>
          </w:p>
        </w:tc>
        <w:tc>
          <w:tcPr>
            <w:tcW w:w="1134" w:type="dxa"/>
            <w:vAlign w:val="center"/>
          </w:tcPr>
          <w:p>
            <w:pPr>
              <w:pStyle w:val="12"/>
            </w:pPr>
            <w:r>
              <w:t>金属质架类</w:t>
            </w:r>
          </w:p>
        </w:tc>
        <w:tc>
          <w:tcPr>
            <w:tcW w:w="1134" w:type="dxa"/>
            <w:vAlign w:val="center"/>
          </w:tcPr>
          <w:p>
            <w:pPr>
              <w:pStyle w:val="12"/>
            </w:pPr>
            <w:r>
              <w:t>A05010602</w:t>
            </w:r>
          </w:p>
        </w:tc>
        <w:tc>
          <w:tcPr>
            <w:tcW w:w="709" w:type="dxa"/>
            <w:vAlign w:val="center"/>
          </w:tcPr>
          <w:p>
            <w:pPr>
              <w:pStyle w:val="13"/>
            </w:pPr>
            <w:r>
              <w:t>个</w:t>
            </w:r>
          </w:p>
        </w:tc>
        <w:tc>
          <w:tcPr>
            <w:tcW w:w="850" w:type="dxa"/>
            <w:vAlign w:val="center"/>
          </w:tcPr>
          <w:p>
            <w:pPr>
              <w:pStyle w:val="11"/>
            </w:pPr>
            <w:r>
              <w:t>8</w:t>
            </w:r>
          </w:p>
        </w:tc>
        <w:tc>
          <w:tcPr>
            <w:tcW w:w="850" w:type="dxa"/>
            <w:vAlign w:val="center"/>
          </w:tcPr>
          <w:p>
            <w:pPr>
              <w:pStyle w:val="11"/>
            </w:pPr>
            <w:r>
              <w:t>0.44</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石家庄市井陉矿区人民法院本级上年末固定资产金额为1960.92万元（详见下表）。本年度拟购置固定资产总额为102.12万元，已按要求列入政府采购预算，详见政府采购预算表。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614001石家庄市井陉矿区人民法院本级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1960.92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4052</w:t>
            </w:r>
          </w:p>
        </w:tc>
        <w:tc>
          <w:tcPr>
            <w:tcW w:w="2835" w:type="dxa"/>
            <w:vAlign w:val="center"/>
          </w:tcPr>
          <w:p>
            <w:pPr>
              <w:pStyle w:val="11"/>
            </w:pPr>
            <w:r>
              <w:t>421.47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620</w:t>
            </w:r>
          </w:p>
        </w:tc>
        <w:tc>
          <w:tcPr>
            <w:tcW w:w="2835" w:type="dxa"/>
            <w:vAlign w:val="center"/>
          </w:tcPr>
          <w:p>
            <w:pPr>
              <w:pStyle w:val="11"/>
            </w:pPr>
            <w:r>
              <w:t>421.36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132.17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7</w:t>
            </w:r>
          </w:p>
        </w:tc>
        <w:tc>
          <w:tcPr>
            <w:tcW w:w="2835" w:type="dxa"/>
            <w:vAlign w:val="center"/>
          </w:tcPr>
          <w:p>
            <w:pPr>
              <w:pStyle w:val="11"/>
            </w:pPr>
            <w:r>
              <w:t>362.35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1982</w:t>
            </w:r>
          </w:p>
        </w:tc>
        <w:tc>
          <w:tcPr>
            <w:tcW w:w="2835" w:type="dxa"/>
            <w:vAlign w:val="center"/>
          </w:tcPr>
          <w:p>
            <w:pPr>
              <w:pStyle w:val="11"/>
            </w:pPr>
            <w:r>
              <w:t>1044.93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94C"/>
    <w:rsid w:val="002C594C"/>
    <w:rsid w:val="00E16BF8"/>
    <w:rsid w:val="05257400"/>
    <w:rsid w:val="0A4C64F8"/>
    <w:rsid w:val="35CD51CD"/>
    <w:rsid w:val="5BBC4EC8"/>
    <w:rsid w:val="600A4DE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Pages>
  <Words>5837</Words>
  <Characters>7549</Characters>
  <Lines>232</Lines>
  <Paragraphs>65</Paragraphs>
  <TotalTime>2</TotalTime>
  <ScaleCrop>false</ScaleCrop>
  <LinksUpToDate>false</LinksUpToDate>
  <CharactersWithSpaces>7711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2025-01-22T00:10:00Z</dcterms:created>
  <dc:creator>Administrator</dc:creator>
  <cp:lastModifiedBy>。。</cp:lastModifiedBy>
  <dcterms:modified xsi:type="dcterms:W3CDTF">2025-08-18T01:50:36Z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DF847E299C5B45C0A4929AD914F88C54_13</vt:lpwstr>
  </property>
  <property fmtid="{D5CDD505-2E9C-101B-9397-08002B2CF9AE}" pid="4" name="KSOTemplateDocerSaveRecord">
    <vt:lpwstr>eyJoZGlkIjoiZTNiMmJjMGUyMDNhMGI0MjllZTc4OTE3ODRjOTBjMWQiLCJ1c2VySWQiOiIxOTQ4OTg5MzcifQ==</vt:lpwstr>
  </property>
</Properties>
</file>