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D1EC48">
      <w:pPr>
        <w:spacing w:line="560" w:lineRule="exact"/>
        <w:jc w:val="center"/>
        <w:outlineLvl w:val="9"/>
        <w:rPr>
          <w:rFonts w:ascii="宋体" w:hAnsi="宋体" w:cs="宋体"/>
          <w:b/>
          <w:bCs/>
          <w:sz w:val="44"/>
          <w:szCs w:val="44"/>
        </w:rPr>
      </w:pPr>
    </w:p>
    <w:p w14:paraId="4E07581D">
      <w:pPr>
        <w:spacing w:line="360" w:lineRule="auto"/>
        <w:jc w:val="center"/>
        <w:outlineLvl w:val="9"/>
        <w:rPr>
          <w:rFonts w:hint="eastAsia" w:ascii="方正小标宋简体" w:eastAsia="方正小标宋简体"/>
          <w:sz w:val="44"/>
          <w:szCs w:val="44"/>
        </w:rPr>
      </w:pPr>
    </w:p>
    <w:p w14:paraId="06DB6598">
      <w:pPr>
        <w:spacing w:line="560" w:lineRule="exact"/>
        <w:jc w:val="center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</w:p>
    <w:p w14:paraId="6DC3B5BD">
      <w:pPr>
        <w:spacing w:line="360" w:lineRule="auto"/>
        <w:ind w:firstLine="0" w:firstLineChars="0"/>
        <w:jc w:val="center"/>
        <w:outlineLvl w:val="0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中共石家庄市委金融委员会办公室</w:t>
      </w:r>
    </w:p>
    <w:p w14:paraId="29F1C6F9">
      <w:pPr>
        <w:spacing w:line="360" w:lineRule="auto"/>
        <w:ind w:firstLine="0" w:firstLineChars="0"/>
        <w:jc w:val="center"/>
        <w:outlineLvl w:val="0"/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  <w:t>202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  <w:t>年度整体支出绩效自评报告</w:t>
      </w:r>
    </w:p>
    <w:p w14:paraId="57525609">
      <w:pPr>
        <w:spacing w:line="360" w:lineRule="auto"/>
        <w:ind w:firstLine="0" w:firstLineChars="0"/>
        <w:jc w:val="center"/>
        <w:outlineLvl w:val="0"/>
        <w:rPr>
          <w:rFonts w:ascii="方正小标宋简体" w:eastAsia="方正小标宋简体"/>
          <w:sz w:val="44"/>
          <w:szCs w:val="44"/>
        </w:rPr>
      </w:pPr>
    </w:p>
    <w:p w14:paraId="64C792B8">
      <w:pPr>
        <w:spacing w:line="360" w:lineRule="auto"/>
        <w:jc w:val="center"/>
        <w:outlineLvl w:val="9"/>
        <w:rPr>
          <w:rFonts w:ascii="方正小标宋简体" w:eastAsia="方正小标宋简体"/>
          <w:sz w:val="44"/>
          <w:szCs w:val="44"/>
        </w:rPr>
      </w:pPr>
    </w:p>
    <w:p w14:paraId="02A9E3D3">
      <w:pPr>
        <w:spacing w:line="360" w:lineRule="auto"/>
        <w:jc w:val="center"/>
        <w:outlineLvl w:val="9"/>
        <w:rPr>
          <w:rFonts w:ascii="方正小标宋简体" w:eastAsia="方正小标宋简体"/>
          <w:sz w:val="44"/>
          <w:szCs w:val="44"/>
        </w:rPr>
      </w:pPr>
    </w:p>
    <w:p w14:paraId="3E09620D">
      <w:pPr>
        <w:spacing w:line="360" w:lineRule="auto"/>
        <w:jc w:val="center"/>
        <w:outlineLvl w:val="9"/>
        <w:rPr>
          <w:rFonts w:ascii="方正小标宋简体" w:eastAsia="方正小标宋简体"/>
          <w:sz w:val="44"/>
          <w:szCs w:val="44"/>
        </w:rPr>
      </w:pPr>
    </w:p>
    <w:p w14:paraId="6E7F5FE7">
      <w:pPr>
        <w:spacing w:line="360" w:lineRule="auto"/>
        <w:jc w:val="center"/>
        <w:outlineLvl w:val="9"/>
        <w:rPr>
          <w:rFonts w:ascii="方正小标宋简体" w:eastAsia="方正小标宋简体"/>
          <w:sz w:val="44"/>
          <w:szCs w:val="44"/>
        </w:rPr>
      </w:pPr>
    </w:p>
    <w:p w14:paraId="1452753D">
      <w:pPr>
        <w:pStyle w:val="13"/>
        <w:outlineLvl w:val="9"/>
        <w:rPr>
          <w:rFonts w:ascii="仿宋_GB2312" w:hAnsi="Calibri" w:eastAsia="仿宋_GB2312"/>
          <w:b/>
          <w:bCs w:val="0"/>
          <w:kern w:val="2"/>
          <w:lang w:val="zh-CN"/>
        </w:rPr>
      </w:pPr>
      <w:bookmarkStart w:id="0" w:name="_Toc490646852"/>
      <w:bookmarkStart w:id="1" w:name="_Toc493694284"/>
      <w:bookmarkStart w:id="2" w:name="_Toc27629"/>
      <w:bookmarkStart w:id="3" w:name="_Toc493260892"/>
      <w:bookmarkStart w:id="4" w:name="_Toc11709"/>
      <w:bookmarkStart w:id="5" w:name="_Toc16174"/>
      <w:bookmarkStart w:id="6" w:name="_Toc32076"/>
      <w:bookmarkStart w:id="7" w:name="_Toc493260688"/>
      <w:bookmarkStart w:id="8" w:name="_Toc29521"/>
      <w:bookmarkStart w:id="9" w:name="_Toc10437"/>
      <w:bookmarkStart w:id="10" w:name="_Toc493260783"/>
      <w:bookmarkStart w:id="11" w:name="_Toc491442033"/>
      <w:bookmarkStart w:id="12" w:name="_Toc19745"/>
      <w:bookmarkStart w:id="13" w:name="_Toc14801"/>
    </w:p>
    <w:p w14:paraId="2F17916A">
      <w:pPr>
        <w:pStyle w:val="13"/>
        <w:outlineLvl w:val="9"/>
        <w:rPr>
          <w:rFonts w:ascii="仿宋_GB2312" w:hAnsi="Calibri" w:eastAsia="仿宋_GB2312"/>
          <w:b/>
          <w:bCs w:val="0"/>
          <w:kern w:val="2"/>
          <w:lang w:val="zh-CN"/>
        </w:rPr>
      </w:pPr>
    </w:p>
    <w:p w14:paraId="022E9CE3">
      <w:pPr>
        <w:pStyle w:val="13"/>
        <w:jc w:val="both"/>
        <w:outlineLvl w:val="9"/>
        <w:rPr>
          <w:rFonts w:ascii="仿宋_GB2312" w:hAnsi="Calibri" w:eastAsia="仿宋_GB2312"/>
          <w:b/>
          <w:bCs w:val="0"/>
          <w:kern w:val="2"/>
          <w:lang w:val="zh-CN"/>
        </w:rPr>
      </w:pPr>
    </w:p>
    <w:p w14:paraId="600950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中共石家庄市委金融委员会办公室</w:t>
      </w:r>
    </w:p>
    <w:p w14:paraId="73A273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zh-CN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zh-CN" w:eastAsia="zh-CN"/>
        </w:rPr>
        <w:t>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zh-CN" w:eastAsia="zh-CN"/>
        </w:rPr>
        <w:t>年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zh-CN" w:eastAsia="zh-CN"/>
        </w:rPr>
        <w:t>月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24B3B927">
      <w:pPr>
        <w:tabs>
          <w:tab w:val="left" w:pos="2207"/>
        </w:tabs>
        <w:snapToGrid w:val="0"/>
        <w:spacing w:line="360" w:lineRule="auto"/>
        <w:rPr>
          <w:rFonts w:ascii="仿宋" w:hAnsi="仿宋" w:eastAsia="仿宋" w:cs="仿宋"/>
          <w:sz w:val="32"/>
          <w:szCs w:val="32"/>
        </w:rPr>
      </w:pPr>
    </w:p>
    <w:p w14:paraId="7A62822F">
      <w:pPr>
        <w:tabs>
          <w:tab w:val="left" w:pos="2207"/>
        </w:tabs>
        <w:rPr>
          <w:rFonts w:ascii="仿宋" w:hAnsi="仿宋" w:eastAsia="仿宋" w:cs="仿宋"/>
          <w:sz w:val="32"/>
          <w:szCs w:val="32"/>
        </w:rPr>
        <w:sectPr>
          <w:pgSz w:w="11906" w:h="16838"/>
          <w:pgMar w:top="1440" w:right="1800" w:bottom="1440" w:left="1800" w:header="851" w:footer="992" w:gutter="0"/>
          <w:pgNumType w:fmt="decimal"/>
          <w:cols w:space="720" w:num="1"/>
          <w:docGrid w:type="lines" w:linePitch="312" w:charSpace="0"/>
        </w:sectPr>
      </w:pPr>
    </w:p>
    <w:p w14:paraId="57C86E0D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hint="eastAsia" w:ascii="黑体" w:hAnsi="黑体" w:eastAsia="黑体" w:cs="黑体"/>
          <w:kern w:val="2"/>
          <w:sz w:val="30"/>
          <w:szCs w:val="30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0"/>
          <w:szCs w:val="30"/>
          <w:lang w:val="en-US" w:eastAsia="zh-CN" w:bidi="ar-SA"/>
        </w:rPr>
        <w:t>目 录</w:t>
      </w:r>
    </w:p>
    <w:p w14:paraId="1781A907">
      <w:pPr>
        <w:pStyle w:val="10"/>
        <w:tabs>
          <w:tab w:val="right" w:leader="dot" w:pos="8845"/>
        </w:tabs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fldChar w:fldCharType="begin"/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instrText xml:space="preserve">TOC \o "1-2" \h \u </w:instrTex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fldChar w:fldCharType="separate"/>
      </w:r>
    </w:p>
    <w:p w14:paraId="058C7EF6">
      <w:pPr>
        <w:pStyle w:val="10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_Toc26219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黑体" w:hAnsi="黑体" w:eastAsia="黑体"/>
          <w:sz w:val="28"/>
          <w:szCs w:val="44"/>
        </w:rPr>
        <w:t>一、部门</w:t>
      </w:r>
      <w:r>
        <w:rPr>
          <w:rFonts w:hint="eastAsia" w:ascii="黑体" w:hAnsi="黑体" w:eastAsia="黑体"/>
          <w:sz w:val="28"/>
          <w:szCs w:val="48"/>
        </w:rPr>
        <w:t>基本情况</w:t>
      </w:r>
      <w:r>
        <w:rPr>
          <w:sz w:val="28"/>
          <w:szCs w:val="32"/>
        </w:rPr>
        <w:tab/>
      </w:r>
      <w:r>
        <w:rPr>
          <w:sz w:val="28"/>
          <w:szCs w:val="32"/>
        </w:rPr>
        <w:fldChar w:fldCharType="begin"/>
      </w:r>
      <w:r>
        <w:rPr>
          <w:sz w:val="28"/>
          <w:szCs w:val="32"/>
        </w:rPr>
        <w:instrText xml:space="preserve"> PAGEREF _Toc26219 \h </w:instrText>
      </w:r>
      <w:r>
        <w:rPr>
          <w:sz w:val="28"/>
          <w:szCs w:val="32"/>
        </w:rPr>
        <w:fldChar w:fldCharType="separate"/>
      </w:r>
      <w:r>
        <w:rPr>
          <w:sz w:val="28"/>
          <w:szCs w:val="32"/>
        </w:rPr>
        <w:t>1</w:t>
      </w:r>
      <w:r>
        <w:rPr>
          <w:sz w:val="28"/>
          <w:szCs w:val="32"/>
        </w:rPr>
        <w:fldChar w:fldCharType="end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05B831B7">
      <w:pPr>
        <w:pStyle w:val="11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_Toc26873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楷体" w:hAnsi="楷体" w:eastAsia="楷体" w:cs="楷体_GB2312"/>
          <w:bCs/>
          <w:sz w:val="28"/>
          <w:szCs w:val="44"/>
        </w:rPr>
        <w:t>（一）部门概况</w:t>
      </w:r>
      <w:r>
        <w:rPr>
          <w:sz w:val="28"/>
          <w:szCs w:val="32"/>
        </w:rPr>
        <w:tab/>
      </w:r>
      <w:r>
        <w:rPr>
          <w:sz w:val="28"/>
          <w:szCs w:val="32"/>
        </w:rPr>
        <w:fldChar w:fldCharType="begin"/>
      </w:r>
      <w:r>
        <w:rPr>
          <w:sz w:val="28"/>
          <w:szCs w:val="32"/>
        </w:rPr>
        <w:instrText xml:space="preserve"> PAGEREF _Toc26873 \h </w:instrText>
      </w:r>
      <w:r>
        <w:rPr>
          <w:sz w:val="28"/>
          <w:szCs w:val="32"/>
        </w:rPr>
        <w:fldChar w:fldCharType="separate"/>
      </w:r>
      <w:r>
        <w:rPr>
          <w:sz w:val="28"/>
          <w:szCs w:val="32"/>
        </w:rPr>
        <w:t>1</w:t>
      </w:r>
      <w:r>
        <w:rPr>
          <w:sz w:val="28"/>
          <w:szCs w:val="32"/>
        </w:rPr>
        <w:fldChar w:fldCharType="end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18808124">
      <w:pPr>
        <w:pStyle w:val="11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_Toc21030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楷体" w:hAnsi="楷体" w:eastAsia="楷体" w:cs="楷体_GB2312"/>
          <w:bCs/>
          <w:sz w:val="28"/>
          <w:szCs w:val="44"/>
        </w:rPr>
        <w:t>（二）部门收支预决算情况</w:t>
      </w:r>
      <w:r>
        <w:rPr>
          <w:sz w:val="28"/>
          <w:szCs w:val="32"/>
        </w:rPr>
        <w:tab/>
      </w:r>
      <w:r>
        <w:rPr>
          <w:sz w:val="28"/>
          <w:szCs w:val="32"/>
        </w:rPr>
        <w:fldChar w:fldCharType="begin"/>
      </w:r>
      <w:r>
        <w:rPr>
          <w:sz w:val="28"/>
          <w:szCs w:val="32"/>
        </w:rPr>
        <w:instrText xml:space="preserve"> PAGEREF _Toc21030 \h </w:instrText>
      </w:r>
      <w:r>
        <w:rPr>
          <w:sz w:val="28"/>
          <w:szCs w:val="32"/>
        </w:rPr>
        <w:fldChar w:fldCharType="separate"/>
      </w:r>
      <w:r>
        <w:rPr>
          <w:sz w:val="28"/>
          <w:szCs w:val="32"/>
        </w:rPr>
        <w:t>3</w:t>
      </w:r>
      <w:r>
        <w:rPr>
          <w:sz w:val="28"/>
          <w:szCs w:val="32"/>
        </w:rPr>
        <w:fldChar w:fldCharType="end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226327EB">
      <w:pPr>
        <w:pStyle w:val="11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_Toc16442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楷体" w:hAnsi="楷体" w:eastAsia="楷体" w:cs="楷体_GB2312"/>
          <w:bCs/>
          <w:sz w:val="28"/>
          <w:szCs w:val="44"/>
        </w:rPr>
        <w:t>（三）部门整体支出绩效目标、指标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4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15597E80">
      <w:pPr>
        <w:pStyle w:val="10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_Toc20923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黑体" w:hAnsi="黑体" w:eastAsia="黑体"/>
          <w:sz w:val="28"/>
          <w:szCs w:val="44"/>
        </w:rPr>
        <w:t>二、自评工作开展情况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4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273237BD">
      <w:pPr>
        <w:pStyle w:val="11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_Toc29697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楷体" w:hAnsi="楷体" w:eastAsia="楷体" w:cs="楷体_GB2312"/>
          <w:bCs/>
          <w:sz w:val="28"/>
          <w:szCs w:val="44"/>
        </w:rPr>
        <w:t>（一）自评的组织工作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4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36363F12">
      <w:pPr>
        <w:pStyle w:val="11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_Toc112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楷体" w:hAnsi="楷体" w:eastAsia="楷体" w:cs="楷体_GB2312"/>
          <w:bCs/>
          <w:sz w:val="28"/>
          <w:szCs w:val="44"/>
          <w:lang w:val="en-US" w:eastAsia="zh-CN"/>
        </w:rPr>
        <w:t>（二）绩效自评的方法和过程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5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79077E0A">
      <w:pPr>
        <w:pStyle w:val="10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_Toc31742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黑体" w:hAnsi="黑体" w:eastAsia="黑体"/>
          <w:sz w:val="28"/>
          <w:szCs w:val="44"/>
        </w:rPr>
        <w:t>三、部门整体支出绩效目标实现情况及指标分析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5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1789CD90">
      <w:pPr>
        <w:pStyle w:val="11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_Toc31361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楷体" w:hAnsi="楷体" w:eastAsia="楷体" w:cs="楷体_GB2312"/>
          <w:bCs/>
          <w:sz w:val="28"/>
          <w:szCs w:val="44"/>
          <w:lang w:val="en-US" w:eastAsia="zh-CN"/>
        </w:rPr>
        <w:t>（一）总体绩效目标实现情况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5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4AEFF20C">
      <w:pPr>
        <w:pStyle w:val="11"/>
        <w:tabs>
          <w:tab w:val="right" w:leader="dot" w:pos="8845"/>
        </w:tabs>
        <w:rPr>
          <w:rFonts w:hint="default"/>
          <w:sz w:val="28"/>
          <w:szCs w:val="32"/>
          <w:lang w:val="en-US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_Toc30758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楷体" w:hAnsi="楷体" w:eastAsia="楷体" w:cs="楷体_GB2312"/>
          <w:bCs/>
          <w:sz w:val="28"/>
          <w:szCs w:val="44"/>
          <w:lang w:val="en-US" w:eastAsia="zh-CN"/>
        </w:rPr>
        <w:t>（二）分项绩效目标实现情况及指标分析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6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  <w:r>
        <w:rPr>
          <w:rFonts w:hint="eastAsia" w:ascii="宋体" w:hAnsi="宋体" w:cs="宋体"/>
          <w:bCs/>
          <w:kern w:val="0"/>
          <w:sz w:val="28"/>
          <w:szCs w:val="56"/>
          <w:lang w:val="en-US" w:eastAsia="zh-CN"/>
        </w:rPr>
        <w:t>-8</w:t>
      </w:r>
    </w:p>
    <w:p w14:paraId="1C623549">
      <w:pPr>
        <w:pStyle w:val="10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_Toc18570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黑体" w:hAnsi="黑体" w:eastAsia="黑体"/>
          <w:sz w:val="28"/>
          <w:szCs w:val="44"/>
        </w:rPr>
        <w:t>四、评价结论和评价等级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9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50619B25">
      <w:pPr>
        <w:pStyle w:val="10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_Toc26657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黑体" w:hAnsi="黑体" w:eastAsia="黑体"/>
          <w:sz w:val="28"/>
          <w:szCs w:val="44"/>
        </w:rPr>
        <w:t>五、存在的问题及改进措施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9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54F1D974">
      <w:pPr>
        <w:pStyle w:val="11"/>
        <w:tabs>
          <w:tab w:val="right" w:leader="dot" w:pos="8845"/>
        </w:tabs>
        <w:rPr>
          <w:sz w:val="28"/>
          <w:szCs w:val="32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_Toc3066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楷体" w:hAnsi="楷体" w:eastAsia="楷体" w:cs="楷体_GB2312"/>
          <w:bCs/>
          <w:sz w:val="28"/>
          <w:szCs w:val="44"/>
          <w:lang w:val="en-US" w:eastAsia="zh-CN"/>
        </w:rPr>
        <w:t>（一）存在的主要问题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9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</w:p>
    <w:p w14:paraId="1B554EC0">
      <w:pPr>
        <w:pStyle w:val="11"/>
        <w:tabs>
          <w:tab w:val="right" w:leader="dot" w:pos="8845"/>
        </w:tabs>
        <w:rPr>
          <w:rFonts w:hint="default"/>
          <w:sz w:val="28"/>
          <w:szCs w:val="32"/>
          <w:lang w:val="en-US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_Toc11063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楷体" w:hAnsi="楷体" w:eastAsia="楷体" w:cs="楷体_GB2312"/>
          <w:bCs/>
          <w:sz w:val="28"/>
          <w:szCs w:val="44"/>
          <w:lang w:val="en-US" w:eastAsia="zh-CN"/>
        </w:rPr>
        <w:t>（二）针对问题提出具体的改进措施或建议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1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  <w:r>
        <w:rPr>
          <w:rFonts w:hint="eastAsia" w:ascii="宋体" w:hAnsi="宋体" w:cs="宋体"/>
          <w:bCs/>
          <w:kern w:val="0"/>
          <w:sz w:val="28"/>
          <w:szCs w:val="56"/>
          <w:lang w:val="en-US" w:eastAsia="zh-CN"/>
        </w:rPr>
        <w:t>0</w:t>
      </w:r>
    </w:p>
    <w:p w14:paraId="68DE2229">
      <w:pPr>
        <w:pStyle w:val="10"/>
        <w:tabs>
          <w:tab w:val="right" w:leader="dot" w:pos="8845"/>
        </w:tabs>
        <w:rPr>
          <w:rFonts w:hint="default"/>
          <w:sz w:val="28"/>
          <w:szCs w:val="32"/>
          <w:lang w:val="en-US"/>
        </w:rPr>
      </w:pP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begin"/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instrText xml:space="preserve"> HYPERLINK \l _Toc530 </w:instrTex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separate"/>
      </w:r>
      <w:r>
        <w:rPr>
          <w:rFonts w:hint="eastAsia" w:ascii="黑体" w:hAnsi="黑体" w:eastAsia="黑体"/>
          <w:sz w:val="28"/>
          <w:szCs w:val="44"/>
        </w:rPr>
        <w:t>六、评价工作组人员名单及签字（姓名、工作单位、职务、职称）</w:t>
      </w:r>
      <w:r>
        <w:rPr>
          <w:sz w:val="28"/>
          <w:szCs w:val="32"/>
        </w:rPr>
        <w:tab/>
      </w:r>
      <w:r>
        <w:rPr>
          <w:rFonts w:hint="eastAsia"/>
          <w:sz w:val="28"/>
          <w:szCs w:val="32"/>
          <w:lang w:val="en-US" w:eastAsia="zh-CN"/>
        </w:rPr>
        <w:t>1</w:t>
      </w:r>
      <w:r>
        <w:rPr>
          <w:rFonts w:hint="eastAsia" w:ascii="宋体" w:hAnsi="宋体" w:cs="宋体"/>
          <w:bCs/>
          <w:kern w:val="0"/>
          <w:sz w:val="28"/>
          <w:szCs w:val="56"/>
          <w:lang w:eastAsia="zh-CN"/>
        </w:rPr>
        <w:fldChar w:fldCharType="end"/>
      </w:r>
      <w:r>
        <w:rPr>
          <w:rFonts w:hint="eastAsia" w:ascii="宋体" w:hAnsi="宋体" w:cs="宋体"/>
          <w:bCs/>
          <w:kern w:val="0"/>
          <w:sz w:val="28"/>
          <w:szCs w:val="56"/>
          <w:lang w:val="en-US" w:eastAsia="zh-CN"/>
        </w:rPr>
        <w:t>1</w:t>
      </w:r>
    </w:p>
    <w:p w14:paraId="301D54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Cs/>
          <w:kern w:val="0"/>
          <w:szCs w:val="44"/>
          <w:lang w:eastAsia="zh-CN"/>
        </w:rPr>
        <w:fldChar w:fldCharType="end"/>
      </w:r>
    </w:p>
    <w:p w14:paraId="49DD7F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</w:p>
    <w:p w14:paraId="4EC944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both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</w:p>
    <w:p w14:paraId="5B3E56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sectPr>
          <w:footerReference r:id="rId3" w:type="default"/>
          <w:pgSz w:w="11906" w:h="16838"/>
          <w:pgMar w:top="1440" w:right="1474" w:bottom="1440" w:left="1587" w:header="851" w:footer="992" w:gutter="0"/>
          <w:pgNumType w:fmt="decimal"/>
          <w:cols w:space="0" w:num="1"/>
          <w:docGrid w:type="lines" w:linePitch="312" w:charSpace="0"/>
        </w:sectPr>
      </w:pPr>
    </w:p>
    <w:p w14:paraId="4A02E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bookmarkStart w:id="14" w:name="_Toc8948"/>
      <w:bookmarkStart w:id="15" w:name="_Toc11936"/>
    </w:p>
    <w:bookmarkEnd w:id="14"/>
    <w:bookmarkEnd w:id="15"/>
    <w:p w14:paraId="1A143CCD">
      <w:pPr>
        <w:spacing w:line="360" w:lineRule="auto"/>
        <w:ind w:firstLine="0" w:firstLineChars="0"/>
        <w:jc w:val="center"/>
        <w:outlineLvl w:val="0"/>
        <w:rPr>
          <w:rFonts w:hint="eastAsia" w:ascii="方正小标宋简体" w:hAnsi="Calibri" w:eastAsia="方正小标宋简体" w:cs="黑体"/>
          <w:sz w:val="44"/>
          <w:szCs w:val="44"/>
          <w:lang w:eastAsia="zh-CN"/>
        </w:rPr>
      </w:pPr>
      <w:bookmarkStart w:id="16" w:name="_Toc12075"/>
      <w:bookmarkStart w:id="17" w:name="_Toc2919"/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中共石家庄市委金融委员会办公室</w:t>
      </w:r>
    </w:p>
    <w:p w14:paraId="287595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202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年度整体支出绩效自评报告</w:t>
      </w:r>
      <w:bookmarkEnd w:id="16"/>
      <w:bookmarkEnd w:id="17"/>
    </w:p>
    <w:p w14:paraId="19511EA1">
      <w:pPr>
        <w:spacing w:line="560" w:lineRule="exact"/>
        <w:jc w:val="both"/>
        <w:rPr>
          <w:rFonts w:ascii="华文楷体" w:eastAsia="华文楷体"/>
          <w:sz w:val="32"/>
          <w:szCs w:val="32"/>
        </w:rPr>
      </w:pPr>
    </w:p>
    <w:p w14:paraId="71DF37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中共石家庄市委金融委员会办公室（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以下简称“我办”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年整体支出情况实施了财政支出绩效自评价，形成本评价报告。</w:t>
      </w:r>
    </w:p>
    <w:p w14:paraId="0DCF1BA5">
      <w:pPr>
        <w:adjustRightInd w:val="0"/>
        <w:snapToGrid w:val="0"/>
        <w:spacing w:line="560" w:lineRule="exact"/>
        <w:outlineLvl w:val="0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</w:t>
      </w:r>
      <w:bookmarkStart w:id="18" w:name="_Toc26219"/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  <w:bookmarkEnd w:id="18"/>
    </w:p>
    <w:p w14:paraId="660103F1">
      <w:pPr>
        <w:adjustRightInd w:val="0"/>
        <w:snapToGrid w:val="0"/>
        <w:spacing w:line="560" w:lineRule="exact"/>
        <w:ind w:firstLine="640" w:firstLineChars="200"/>
        <w:outlineLvl w:val="1"/>
        <w:rPr>
          <w:rFonts w:ascii="楷体" w:hAnsi="楷体" w:eastAsia="楷体" w:cs="楷体_GB2312"/>
          <w:bCs/>
          <w:sz w:val="32"/>
          <w:szCs w:val="32"/>
        </w:rPr>
      </w:pPr>
      <w:bookmarkStart w:id="19" w:name="_Toc26873"/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  <w:bookmarkEnd w:id="19"/>
    </w:p>
    <w:p w14:paraId="1BB3F8F2">
      <w:pPr>
        <w:adjustRightInd w:val="0"/>
        <w:snapToGrid w:val="0"/>
        <w:spacing w:line="560" w:lineRule="exact"/>
        <w:ind w:firstLine="643" w:firstLineChars="200"/>
        <w:outlineLvl w:val="1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bookmarkStart w:id="20" w:name="_Toc29807"/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b/>
          <w:bCs/>
          <w:sz w:val="32"/>
          <w:szCs w:val="32"/>
        </w:rPr>
        <w:t>部门</w:t>
      </w:r>
      <w:bookmarkEnd w:id="20"/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职责</w:t>
      </w:r>
    </w:p>
    <w:p w14:paraId="05CD1641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bookmarkStart w:id="21" w:name="_Toc28381"/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）研究分析全市金融形势和金融业发展重大问题,研究拟订全市金融业发展规划和政策，提出促进和加强金融业发展的建议；组织开展政府与金融机构合作、金融机构和企业对接,协调金融业与全市经济社会发展的衔接，支持服务实体经济发展。</w:t>
      </w:r>
    </w:p>
    <w:p w14:paraId="3DB7CFFA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）负责联系中央金融驻石监管部门和驻石金融机构，协调做好金融运行中涉及地方政府配合的相关工作。</w:t>
      </w:r>
    </w:p>
    <w:p w14:paraId="5C2CF0E7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）协调引进金融机构，统筹协调全市金融功能区规划、建设和发展；协调推进金融服务民生、金融人才队伍、金融生态环境、金融信用体系建设。</w:t>
      </w:r>
    </w:p>
    <w:p w14:paraId="60E48E0E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）拟订地方金融机构改革发展意见并组织实施；组织协调新设立的地方法人金融机构的谋划、筹建、申报等前期工作，推进全市农村信用社改革工作。</w:t>
      </w:r>
    </w:p>
    <w:p w14:paraId="4A7744F5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）负责促进全市资本市场的改革、培育和发展,制定推进多层次资本市场建设的政策措施；协调推动、培育推荐企业挂牌上市，联系和服务资本市场中介机构，协调上市公司重组、兼并和再融资；牵头全市直接融资工作。</w:t>
      </w:r>
    </w:p>
    <w:p w14:paraId="7A2C95CF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）负责全市地方金融监督管理工作。承担小额贷款公司、融资担保公司、典当行、融资租赁公司、商业保理公司、地方资产管理公司、地方金融控股集团等地方金融组织的监督管理、行政执法、规范发展和风险处置工作；指导协调有关部门和县（市、区）政府做好投资公司、开展信用互助的农民专业合作社、社会众筹机构、地方各类交易场所的规范发展，配合做好风险处置工作；统筹协调互联网金融、民间融资等新型金融业态的监督管理和风险处置工作；负责网络借贷信息中介机构的审核工作。</w:t>
      </w:r>
    </w:p>
    <w:p w14:paraId="6493ECBC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）依照权限做好地方金融组织的设立、合并、分立以及各类重大事项变更的审核和备案工作。</w:t>
      </w:r>
    </w:p>
    <w:p w14:paraId="7F7CB15F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）组织协调防范和处置化解地方金融风险工作，牵头做好全市金融风险的监测预警、宣传教育、排查化解等工作；负责全市金融突发事件应急机制建设，协调配合有关部门依法做好非法金融案件的调查处理、善后处置和金融稳定工作。</w:t>
      </w:r>
    </w:p>
    <w:p w14:paraId="745C6E76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）牵头组织行业主管部门、监管部门等对涉嫌非法集资的单位和个人进行调查认定，依法对非法集资行为进行行政处罚。</w:t>
      </w:r>
    </w:p>
    <w:p w14:paraId="0068EA4E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）协调有关部门依法做好防范和处置非法集资以及社会稳定工作；负责做好地方金融消费者权益保护工作。</w:t>
      </w:r>
    </w:p>
    <w:p w14:paraId="26D896A5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）完成市委、市政府交办的其他任务。</w:t>
      </w:r>
    </w:p>
    <w:p w14:paraId="5E7A23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outlineLvl w:val="1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b/>
          <w:bCs/>
          <w:sz w:val="32"/>
          <w:szCs w:val="32"/>
        </w:rPr>
        <w:t>组织机构及人员</w:t>
      </w:r>
      <w:bookmarkEnd w:id="21"/>
    </w:p>
    <w:p w14:paraId="32C0A0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1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我办为行政机关，市政府组成部门，机构规格正县级，9个内设机构，编制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人。目前实有48人，其中46人为行政人员，2人为工勤人员。</w:t>
      </w:r>
    </w:p>
    <w:p w14:paraId="04757E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outlineLvl w:val="1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bookmarkStart w:id="22" w:name="_Toc26258"/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3.资产情况</w:t>
      </w:r>
      <w:bookmarkEnd w:id="22"/>
    </w:p>
    <w:p w14:paraId="655FAA90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截至2023年底，我办共有资产87.06万元，其中：固定资产净值86.93万元,无形资产净值0.13万元。</w:t>
      </w:r>
    </w:p>
    <w:p w14:paraId="65E02A70">
      <w:pPr>
        <w:adjustRightInd w:val="0"/>
        <w:snapToGrid w:val="0"/>
        <w:spacing w:line="560" w:lineRule="exact"/>
        <w:ind w:firstLine="643" w:firstLineChars="200"/>
        <w:outlineLvl w:val="1"/>
        <w:rPr>
          <w:rFonts w:hint="eastAsia" w:ascii="楷体" w:hAnsi="楷体" w:eastAsia="楷体" w:cs="楷体_GB2312"/>
          <w:b/>
          <w:bCs w:val="0"/>
          <w:sz w:val="32"/>
          <w:szCs w:val="32"/>
          <w:highlight w:val="none"/>
        </w:rPr>
      </w:pPr>
      <w:bookmarkStart w:id="23" w:name="_Toc21030"/>
      <w:r>
        <w:rPr>
          <w:rFonts w:hint="eastAsia" w:ascii="楷体" w:hAnsi="楷体" w:eastAsia="楷体" w:cs="楷体_GB2312"/>
          <w:b/>
          <w:bCs w:val="0"/>
          <w:sz w:val="32"/>
          <w:szCs w:val="32"/>
          <w:highlight w:val="none"/>
        </w:rPr>
        <w:t>（二）部门收支预决算情况</w:t>
      </w:r>
      <w:bookmarkEnd w:id="23"/>
    </w:p>
    <w:p w14:paraId="28A417EC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24" w:name="_Toc15197"/>
      <w:bookmarkStart w:id="25" w:name="_Toc32759"/>
      <w:bookmarkStart w:id="26" w:name="_Toc22150"/>
      <w:bookmarkStart w:id="27" w:name="_Toc16442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1.预算安排情况</w:t>
      </w:r>
      <w:bookmarkEnd w:id="24"/>
      <w:bookmarkEnd w:id="25"/>
      <w:bookmarkEnd w:id="26"/>
    </w:p>
    <w:p w14:paraId="64D27BAA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2023年我办预算收入9340.74万元，均为一般公共预算财政拨款收入。</w:t>
      </w:r>
    </w:p>
    <w:p w14:paraId="58E253A9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2023年预算支出9340.74万元，其中：基本支出1037.64万元，包括人员经费914.23万元和公用经费123.41万元；项目支出8303.10万元。</w:t>
      </w:r>
    </w:p>
    <w:p w14:paraId="40537ABE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28" w:name="_Toc13174"/>
      <w:bookmarkStart w:id="29" w:name="_Toc28078"/>
      <w:bookmarkStart w:id="30" w:name="_Toc14823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2.决算情况</w:t>
      </w:r>
      <w:bookmarkEnd w:id="28"/>
      <w:bookmarkEnd w:id="29"/>
      <w:bookmarkEnd w:id="30"/>
    </w:p>
    <w:p w14:paraId="60C69798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2023年我办收入决算9440.43万元，其中：一般公共预算财政拨款收入9440.43万元。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年初结转和结余31.42万元。</w:t>
      </w:r>
    </w:p>
    <w:p w14:paraId="172842C0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2023年支出决算9440.43万元，其中：基本支出1057.46万元，包括人员经费919.31万元和公用经费138.15万元；项目支出8382.96万元。</w:t>
      </w:r>
    </w:p>
    <w:p w14:paraId="61BECDA4">
      <w:pPr>
        <w:adjustRightInd w:val="0"/>
        <w:snapToGrid w:val="0"/>
        <w:spacing w:line="560" w:lineRule="exact"/>
        <w:ind w:firstLine="640" w:firstLineChars="200"/>
        <w:outlineLvl w:val="1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  <w:bookmarkEnd w:id="27"/>
    </w:p>
    <w:p w14:paraId="55FF9E9B">
      <w:pPr>
        <w:adjustRightInd w:val="0"/>
        <w:snapToGrid w:val="0"/>
        <w:spacing w:line="560" w:lineRule="exact"/>
        <w:ind w:firstLine="643" w:firstLineChars="200"/>
        <w:outlineLvl w:val="1"/>
        <w:rPr>
          <w:rFonts w:hint="default" w:ascii="仿宋" w:hAnsi="仿宋" w:eastAsia="仿宋"/>
          <w:b/>
          <w:bCs/>
          <w:sz w:val="32"/>
          <w:szCs w:val="32"/>
          <w:lang w:val="en-US" w:eastAsia="zh-CN"/>
        </w:rPr>
      </w:pPr>
      <w:bookmarkStart w:id="31" w:name="_Toc10432"/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1.总体绩效目标</w:t>
      </w:r>
      <w:bookmarkEnd w:id="31"/>
    </w:p>
    <w:p w14:paraId="2B119ABA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FF0000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2023年，我办将继续统筹推进服务实体经济、防控金融风险、深化金融改革、强化地方金融监管等工作，凝聚全市金融力量，完善扶持政策，优化金融资源配置，激发金融机构主体活力，推动金融服务提质、监管提效、产业提级，为解决发展不平衡不充分问题，推动高质量发展提供更加坚实有力的金融支撑，助力加快建设现代化国际化美丽省会城市。</w:t>
      </w:r>
    </w:p>
    <w:p w14:paraId="292F044C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1AD0F8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1"/>
        <w:rPr>
          <w:rFonts w:ascii="楷体" w:hAnsi="楷体" w:eastAsia="楷体" w:cs="楷体_GB2312"/>
          <w:sz w:val="32"/>
          <w:szCs w:val="32"/>
        </w:rPr>
      </w:pPr>
      <w:bookmarkStart w:id="32" w:name="_Toc29697"/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  <w:bookmarkEnd w:id="32"/>
    </w:p>
    <w:p w14:paraId="7210B046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保证绩效评价工作顺利开展，我办成立了绩效评价工作小组，副主任刘建龙同志任组长，刘雄飞、陈旭、冯文平、胡美妹、孙国峰、李健、韩杰、居春娣、彭秀文、李晓源、邸丹、樊璠为成员，负责绩效评价的组织管理和实施工作。领导小组办公室设在我办办公室，刘雄飞办公室主任，成员包括邸丹、樊璠，负责日常事务。</w:t>
      </w:r>
      <w:bookmarkStart w:id="33" w:name="_Toc10325"/>
      <w:bookmarkStart w:id="34" w:name="_Toc9252"/>
      <w:bookmarkStart w:id="35" w:name="_Toc7154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按照绩效评价工作要求，明确绩效评价的内容和范围，初步制定绩效评价工作方案。对我办各预算项目单独进行打分自评，在资料搜集、信息核实、现场调研、访谈沟通等工作的基础上，挖掘绩效数据，拟定项目产出、项目执行、项目效益等指标体系，准确地计量和评判各项目实施后产生的社会效益和可持续影响，最终形成评价结论。各项目自评工作为实施全办年度绩效评价工作奠定了基础。办公室对金融办年度绩效的相关资料进行收集、梳理。一是通过分析、核实，确保所收集数据、资料的真实、可靠。二是逐一梳理各项目文件内容，形成资料清单，并对存在的问题及时进行标注。三是与项目负责人沟通，直接对照资料清单进行核实，随时处理标注的问题，确保已提交及需补充的资料能准确反映项目绩效目标实现情况。办公室在对收集到的项目数据、资料进行核对、比较、计算的基础上，对比年初项目绩效目标，形成评价结论；根据结论，撰写项目绩效自评表及重点项目绩效评价报告，并提交领导小组审定。</w:t>
      </w:r>
    </w:p>
    <w:bookmarkEnd w:id="33"/>
    <w:bookmarkEnd w:id="34"/>
    <w:bookmarkEnd w:id="35"/>
    <w:p w14:paraId="5B4FB939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自评的方法和过程</w:t>
      </w:r>
    </w:p>
    <w:p w14:paraId="54F2A835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bookmarkStart w:id="36" w:name="_Toc25386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1.科学公正原则。此次绩效自评运用科学合理的方法，按照规范的程序，对金融办部门整体预算资金使用绩效进行客观、公正的反映。</w:t>
      </w:r>
    </w:p>
    <w:p w14:paraId="6F395E4A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2.统筹兼顾原则。单位自评、部门自评和财政自评应职责明确，各有侧重，相互衔接，绩效自评结果将上报财政部门作为财政自评参考依据。</w:t>
      </w:r>
    </w:p>
    <w:p w14:paraId="7C2127BC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3.激励约束原则。此次绩效自评结果与预算安排、政策调整、改进管理实质性挂钩，体现奖优罚劣和激励相容导向，有效安排、低效压减、无效问责。</w:t>
      </w:r>
    </w:p>
    <w:bookmarkEnd w:id="36"/>
    <w:p w14:paraId="6C2F8EEC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本次绩效自评将资金使用产出及效果与年初指标值相比较，完成相应指标值；对完成值高于指标值较多的，分析其形成原因，针对评价过程中发现的问题进一步提出相关意见建议，为以后年度金融办履行部门职责作出更好的预算管理和资金安排。</w:t>
      </w:r>
    </w:p>
    <w:p w14:paraId="7C56F88C">
      <w:pPr>
        <w:spacing w:line="560" w:lineRule="exact"/>
        <w:outlineLvl w:val="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</w:t>
      </w:r>
      <w:bookmarkStart w:id="37" w:name="_Toc31742"/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  <w:bookmarkEnd w:id="37"/>
    </w:p>
    <w:p w14:paraId="684808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1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bookmarkStart w:id="38" w:name="_Toc31361"/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（一）总体绩效目标实现情况</w:t>
      </w:r>
      <w:bookmarkEnd w:id="38"/>
    </w:p>
    <w:p w14:paraId="39E916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2023年以来，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我办认真贯彻落实市委、市政府部署，聚焦经济总量过万亿奋斗目标，围绕打造5个以上千亿级产业集群、县域经济发展、乡村振兴、城市更新等市委、市政府重点工作，金融办深入开展八个行动，推动观念大更新、业务大提升、作风大转变、成效大突破，为经济总量过万亿提供了有力金融支撑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2023年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，全市金融业增加值（不含辛集）811.2亿元，比上年同期增加74.5亿元；同比增长8.0%，占全市生产总值、第三产业增加值的比重分别为11.4%、18.0%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纵深推进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防范处置非法集资攻坚战，金融风险防范处置稳定有力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，地方金融监管水平持续提升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。</w:t>
      </w:r>
    </w:p>
    <w:p w14:paraId="6F4D0584">
      <w:pPr>
        <w:spacing w:line="560" w:lineRule="exact"/>
        <w:outlineLvl w:val="1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bookmarkStart w:id="39" w:name="_Toc30758"/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（二）分项绩效目标实现情况及指标分析</w:t>
      </w:r>
      <w:bookmarkEnd w:id="39"/>
    </w:p>
    <w:p w14:paraId="330A28E1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40" w:name="_Toc28059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（1）进一步扩大有效信贷投放</w:t>
      </w:r>
    </w:p>
    <w:p w14:paraId="261A37EA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我办按照2023年初绩效工作的要求，</w:t>
      </w: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深入贯彻落实各项政策措施，引导金融机构扩大信贷投放，强化金融服务实体经济功能。初步实现了全市贷款存量“稳”、增量“扩”、结构“优”、成本“降”的目标。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金融机构信贷投放不断扩大，金融服务实体经济能力不断增强。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截至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月末，全市金融机构本外币各项贷款余额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18135.04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亿元，占全省贷款总额的20.9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%；同比增长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11.27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%；较年初增加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1836.26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亿元，高于去年同期增量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284.85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亿元。</w:t>
      </w:r>
    </w:p>
    <w:p w14:paraId="39B74FDF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（2）加快企业挂牌上市步伐</w:t>
      </w:r>
    </w:p>
    <w:p w14:paraId="58CB0318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我办按照2023年初绩效工作的要求，加大拟挂牌上市企业培训，深入开展调查研究，及时发现、帮助企业协调挂牌上市融资过程中遇到的问题，年内推动企业到境内外多层次资本市场挂牌上市融资。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全市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新增过会上市企业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家，新增审核期企业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2家、辅导期企业9家、挂牌企业28家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；全市私募基金管理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人达到58家，管理规模167.70亿元，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资本市场各项指标始终名</w:t>
      </w: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列全省前茅。</w:t>
      </w:r>
    </w:p>
    <w:p w14:paraId="11727A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（3）持续深化金融领域改革</w:t>
      </w:r>
    </w:p>
    <w:p w14:paraId="3D0BC543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我办按照2023年初绩效工作的要求，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"/>
        </w:rPr>
        <w:t>出台了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"/>
        </w:rPr>
        <w:t>《石家庄市财政引导金融支持实体经济发展专项资金管理办法》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（石财金〔202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〕-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《小微企业贷款风险补偿资金管理办法》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（石财金〔202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〕-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发放2022年度小微企业贷款增量奖励和中小微企业无还本续贷奖励合计2722.40万元，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落实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企业首发债券补助资金76万元，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落实</w:t>
      </w:r>
      <w:r>
        <w:rPr>
          <w:rFonts w:hint="eastAsia" w:ascii="仿宋_GB2312" w:hAnsi="仿宋_GB2312" w:eastAsia="仿宋_GB2312" w:cs="仿宋_GB2312"/>
          <w:sz w:val="32"/>
          <w:szCs w:val="32"/>
          <w:lang w:val="en"/>
        </w:rPr>
        <w:t>融资担保机构降费奖补资金65.17万元</w:t>
      </w: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调动企业积极性，有力缓解中小微企业融资难融资贵等问题。鼓励银行机构设立“石家庄人才贷”，为我市引进的高层次人才提供信用贷款，目前已发放贷款1100万元，发放奖补资金16.23万元；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对投资我市种子期、初创期高层次人才企业的投资机构已发放奖补资金23.5万元。</w:t>
      </w:r>
    </w:p>
    <w:p w14:paraId="293527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（4）加强地方金融监管工作</w:t>
      </w:r>
    </w:p>
    <w:p w14:paraId="2194B6D0">
      <w:pPr>
        <w:pStyle w:val="2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firstLine="64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我办按照2023年初绩效工作的要求，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聚焦地方金融监管和行政执法主责主业，全面提升素质能力。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highlight w:val="none"/>
          <w:lang w:val="en-US" w:eastAsia="zh-CN" w:bidi="ar-SA"/>
        </w:rPr>
        <w:t>一是强化队伍建设。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增加管理与执法人员力量，目前，全市23个县（市、区）及管委会已配齐了专职人员。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highlight w:val="none"/>
          <w:lang w:val="en-US" w:eastAsia="zh-CN" w:bidi="ar-SA"/>
        </w:rPr>
        <w:t>二是提升行政执法水平。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制定了《全市地方金融监管部门行政执法能力提升工作方案》，开展了全市处置非法集资牵头部门执法人员培训、“双随机、</w:t>
      </w:r>
      <w:bookmarkStart w:id="47" w:name="_GoBack"/>
      <w:bookmarkEnd w:id="47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一公开”等业务培训。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highlight w:val="none"/>
          <w:lang w:val="en-US" w:eastAsia="zh-CN" w:bidi="ar-SA"/>
        </w:rPr>
        <w:t>三是完善行政执法体制。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建立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了非法集资线索办理流程、行政案件办理程序、联合执法工作机制和重要线索案件集体讨论制度。深入5个重点县区开展非法集资线索核查指导，严格规范公正文明执法。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highlight w:val="none"/>
          <w:lang w:val="en-US" w:eastAsia="zh-CN" w:bidi="ar-SA"/>
        </w:rPr>
        <w:t>四是强化日常监管。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" w:eastAsia="zh-CN"/>
        </w:rPr>
        <w:t>编制并公示了部门联合抽查工作计划、地方金融组织随机抽查实施方案、双随机抽查事项清单，编制了“一业一查”检查对象名录库、执法检查人员名录及执法检查抽查工作指引，动态调整“一单两库”相关信息。截至目前，年度计划双随机抽查的23家地方金融组织已全部完成检查并进行了公示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highlight w:val="none"/>
          <w:lang w:val="en-US" w:eastAsia="zh-CN" w:bidi="ar-SA"/>
        </w:rPr>
        <w:t>五是加强非现场监管。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加强风险预警和远程监测，充分利用“河北金融云”监管服务平台，重点检查地方金融组织注册登记、经营财务、股东状态、企业信用、信访举报等情况，及时防范和识别风险。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/>
        </w:rPr>
        <w:t>六</w:t>
      </w: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是创新监管执法方式。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为方便企业报送审批材料，提升审批服务效率，研发建设了审批业务工作平台，共辅导企业报送30余件审批材料，得到了省金融局的充分认可，拟将相关经验在全省进行推广。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七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highlight w:val="none"/>
          <w:lang w:val="en-US" w:eastAsia="zh-CN" w:bidi="ar-SA"/>
        </w:rPr>
        <w:t>是深入推进减量增质工作。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按照《河北省地方金融组织监管评级和分类监管工作办法（暂行）》组织县（市、区）对地方金融组织开展评级评分。对全市20家典当行、51家小额贷款公司进行了年审，对年审发现的问题督导企业落实整改，对年审中发现失联、空壳类企业加大清退力度，截止2023年底，已有1家小贷公司完成清退，正在清退3家。</w:t>
      </w:r>
    </w:p>
    <w:p w14:paraId="3DA7E17F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（5）加大金融风险防范化解力度</w:t>
      </w:r>
    </w:p>
    <w:p w14:paraId="24C76982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我办按照2023年初绩效工作的要求，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在市委市政府坚强领导下，有序推进卓达、轻易贷案件、东旭集团、融投担保等重大风险点和一批高风险金融机构的处置化解工作。目前，卓达非法集资案件已经完成第一次资金清退，拟于近期启动第二批资金清退；轻易贷非法集资案件已进入司法审理阶段，正在积极推进追赃挽损；东旭集团债务重组取得实质性进展；无极、栾城、赞皇、藁城等地农信社已基本完成风险处置；在全国首创引入银行保险基金介入金融机构风险处置，化解恒升系村镇银行风险。</w:t>
      </w:r>
    </w:p>
    <w:bookmarkEnd w:id="40"/>
    <w:p w14:paraId="3D36A7D6">
      <w:pPr>
        <w:numPr>
          <w:ilvl w:val="0"/>
          <w:numId w:val="1"/>
        </w:numPr>
        <w:spacing w:line="560" w:lineRule="exact"/>
        <w:ind w:firstLine="640" w:firstLineChars="200"/>
        <w:outlineLvl w:val="0"/>
        <w:rPr>
          <w:rFonts w:hint="eastAsia" w:ascii="黑体" w:hAnsi="黑体" w:eastAsia="黑体"/>
          <w:sz w:val="32"/>
          <w:szCs w:val="32"/>
        </w:rPr>
      </w:pPr>
      <w:bookmarkStart w:id="41" w:name="_Toc18570"/>
      <w:r>
        <w:rPr>
          <w:rFonts w:hint="eastAsia" w:ascii="黑体" w:hAnsi="黑体" w:eastAsia="黑体"/>
          <w:sz w:val="32"/>
          <w:szCs w:val="32"/>
        </w:rPr>
        <w:t>评价结论和评价等级</w:t>
      </w:r>
      <w:bookmarkEnd w:id="41"/>
    </w:p>
    <w:p w14:paraId="6397B17A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我办按照中央、省、市金融工作安排部署要求，以建设京津冀区域性金融中心为主线，统筹做好了服务实体经济、深化金融改革、防控金融风险三项工作，建立了健全金融服务体系以及加强地方金融监管。部门整体支出管理水平得到提升。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评价项目共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，预算数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8775.35万元，其中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评价得分在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85</w:t>
      </w:r>
      <w:r>
        <w:rPr>
          <w:rFonts w:hint="eastAsia" w:ascii="仿宋_GB2312" w:hAnsi="仿宋_GB2312" w:eastAsia="仿宋_GB2312" w:cs="仿宋_GB2312"/>
          <w:sz w:val="32"/>
          <w:szCs w:val="32"/>
        </w:rPr>
        <w:t>（含）-100分的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14个、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评价得分在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75</w:t>
      </w:r>
      <w:r>
        <w:rPr>
          <w:rFonts w:hint="eastAsia" w:ascii="仿宋_GB2312" w:hAnsi="仿宋_GB2312" w:eastAsia="仿宋_GB2312" w:cs="仿宋_GB2312"/>
          <w:sz w:val="32"/>
          <w:szCs w:val="32"/>
        </w:rPr>
        <w:t>（含）-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85</w:t>
      </w:r>
      <w:r>
        <w:rPr>
          <w:rFonts w:hint="eastAsia" w:ascii="仿宋_GB2312" w:hAnsi="仿宋_GB2312" w:eastAsia="仿宋_GB2312" w:cs="仿宋_GB2312"/>
          <w:sz w:val="32"/>
          <w:szCs w:val="32"/>
        </w:rPr>
        <w:t>分的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2个、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评价得分在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60</w:t>
      </w:r>
      <w:r>
        <w:rPr>
          <w:rFonts w:hint="eastAsia" w:ascii="仿宋_GB2312" w:hAnsi="仿宋_GB2312" w:eastAsia="仿宋_GB2312" w:cs="仿宋_GB2312"/>
          <w:sz w:val="32"/>
          <w:szCs w:val="32"/>
        </w:rPr>
        <w:t>（含）-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75</w:t>
      </w:r>
      <w:r>
        <w:rPr>
          <w:rFonts w:hint="eastAsia" w:ascii="仿宋_GB2312" w:hAnsi="仿宋_GB2312" w:eastAsia="仿宋_GB2312" w:cs="仿宋_GB2312"/>
          <w:sz w:val="32"/>
          <w:szCs w:val="32"/>
        </w:rPr>
        <w:t>分的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0个、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评价得分在60分以下的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31F25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14" w:firstLineChars="192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经过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评价结果汇总分析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我办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16个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评价项目整体执行情况较好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个项目自评结果为“优秀”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工作场地租赁费和叁陆伍集团经营风险化解工作专项经费2个项目自评结果为“良好”，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按照部门职责定位和各项工作履职情况进行综合评价，各项工作产出、效益及满意度均基本实现年初既定目标，较为圆满的完成了年度任务，此次部门整体支出综合绩效评价为96分，等级为“优秀”。</w:t>
      </w:r>
    </w:p>
    <w:p w14:paraId="0F572058">
      <w:pPr>
        <w:spacing w:line="560" w:lineRule="exact"/>
        <w:ind w:firstLine="640" w:firstLineChars="200"/>
        <w:outlineLvl w:val="0"/>
        <w:rPr>
          <w:rFonts w:ascii="黑体" w:hAnsi="黑体" w:eastAsia="黑体"/>
          <w:sz w:val="32"/>
          <w:szCs w:val="32"/>
        </w:rPr>
      </w:pPr>
      <w:bookmarkStart w:id="42" w:name="_Toc26657"/>
      <w:r>
        <w:rPr>
          <w:rFonts w:hint="eastAsia" w:ascii="黑体" w:hAnsi="黑体" w:eastAsia="黑体"/>
          <w:sz w:val="32"/>
          <w:szCs w:val="32"/>
        </w:rPr>
        <w:t>五、存在的问题及改进措施</w:t>
      </w:r>
      <w:bookmarkEnd w:id="42"/>
    </w:p>
    <w:p w14:paraId="620602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1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bookmarkStart w:id="43" w:name="_Toc3066"/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（一）存在的主要问题</w:t>
      </w:r>
      <w:bookmarkEnd w:id="43"/>
    </w:p>
    <w:p w14:paraId="5B06D475">
      <w:pPr>
        <w:spacing w:line="360" w:lineRule="auto"/>
        <w:ind w:firstLine="640" w:firstLineChars="200"/>
        <w:outlineLvl w:val="1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bookmarkStart w:id="44" w:name="_Toc19175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项目初期编制了绩效目标，绩效目标设置较为合理、明确，符合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中共石家庄市委金融委员会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的年度工作任务，但是经济效益指标细化、量化程度不足，不利于后期对项目实施作出全面的评价。补充预算执行率指标。</w:t>
      </w:r>
    </w:p>
    <w:p w14:paraId="3778886B">
      <w:pPr>
        <w:spacing w:line="360" w:lineRule="auto"/>
        <w:ind w:firstLine="640" w:firstLineChars="200"/>
        <w:outlineLvl w:val="1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预算执行率有待进一步提高</w:t>
      </w:r>
    </w:p>
    <w:p w14:paraId="6BB980B3">
      <w:pPr>
        <w:spacing w:line="360" w:lineRule="auto"/>
        <w:ind w:firstLine="640" w:firstLineChars="200"/>
        <w:outlineLvl w:val="1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预算编制与项目实际支出有一定偏差，不利于财政资金统筹使用，预算管理有待加强，预算编制科学性和准确性有待提高。</w:t>
      </w:r>
      <w:bookmarkEnd w:id="44"/>
      <w:bookmarkStart w:id="45" w:name="_Toc11063"/>
    </w:p>
    <w:p w14:paraId="6A69A8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1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（二）针对问题提出具体的改进措施或建议</w:t>
      </w:r>
      <w:bookmarkEnd w:id="45"/>
    </w:p>
    <w:p w14:paraId="44D5F1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sz w:val="32"/>
          <w:szCs w:val="32"/>
        </w:rPr>
      </w:pPr>
      <w:bookmarkStart w:id="46" w:name="_Toc530"/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预算编制阶段。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财政预算项目申报阶段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，我办</w:t>
      </w:r>
      <w:r>
        <w:rPr>
          <w:rFonts w:hint="eastAsia" w:ascii="仿宋_GB2312" w:hAnsi="仿宋_GB2312" w:eastAsia="仿宋_GB2312" w:cs="仿宋_GB2312"/>
          <w:sz w:val="32"/>
          <w:szCs w:val="32"/>
        </w:rPr>
        <w:t>将认真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科学合理填报绩效目标申报表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同时进一步加强绩效目标申报表审核工作，保证各项指标细化、量化，进一步提高绩效目标设定的科学合理性。进一步加强各项目的预算资金管理，加大对预算编制与执行的监督管理力度，提高预算资金使用效率。</w:t>
      </w:r>
    </w:p>
    <w:p w14:paraId="5DECEF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预算执行阶段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进一步强化项目操作管理，通过实行全过程的绩效运行监控工作，及时发现执行偏差并纠正，保证项目按计划有序开展。</w:t>
      </w:r>
    </w:p>
    <w:p w14:paraId="0D4AAC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项目完成阶段。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进一步强化对绩效成果性资料的整理，归集，通过询问、实地调研等多种方式对项目实施效果和满意度进行统计与分析，不断提高财政资金使用效益。</w:t>
      </w:r>
    </w:p>
    <w:p w14:paraId="62BD6D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重视结果应用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优化财政支出结构、提高财政资金使用效益，在更高层次上实现财政资源配置的公平性和合理性。</w:t>
      </w:r>
    </w:p>
    <w:p w14:paraId="724C6D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5.强化学习培训。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</w:rPr>
        <w:t>各业务处室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相关人员加强培训，特别是加强针对《预算法》《行政事业单位会计制度》，项目立项规范，绩效评价相关方针、政策以及市财政有关规定等的学习培训，切实提高部门预算收支、项目立项和绩效目标的管理水平。</w:t>
      </w:r>
    </w:p>
    <w:p w14:paraId="30495E52">
      <w:pPr>
        <w:adjustRightInd w:val="0"/>
        <w:snapToGrid w:val="0"/>
        <w:spacing w:line="560" w:lineRule="exact"/>
        <w:ind w:firstLine="640" w:firstLineChars="200"/>
        <w:outlineLvl w:val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  <w:bookmarkEnd w:id="46"/>
    </w:p>
    <w:p w14:paraId="640F30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组长：刘建龙 市委金融办副主任</w:t>
      </w:r>
    </w:p>
    <w:p w14:paraId="5CE0B3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组员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刘雄飞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综合科科长</w:t>
      </w:r>
    </w:p>
    <w:p w14:paraId="1D5A09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陈  旭 市委金融办政策法规科科长、一级主任科员</w:t>
      </w:r>
    </w:p>
    <w:p w14:paraId="2F7370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冯文平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市委金融办协调服务一科科长</w:t>
      </w:r>
    </w:p>
    <w:p w14:paraId="50569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胡美妹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市委金融办协调服务二科科长</w:t>
      </w:r>
    </w:p>
    <w:p w14:paraId="66F016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80" w:leftChars="0" w:hanging="2880" w:hangingChars="9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孙国锋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市委金融办打击非法金融活动科科长、一级主任科员</w:t>
      </w:r>
    </w:p>
    <w:p w14:paraId="7BBBF1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居春娣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市委金融办地方金融管理一科科长</w:t>
      </w:r>
    </w:p>
    <w:p w14:paraId="272E8C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市委金融办地方金融管理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科科长</w:t>
      </w:r>
    </w:p>
    <w:p w14:paraId="0DBAF4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市委金融办风险防控科科长</w:t>
      </w:r>
    </w:p>
    <w:p w14:paraId="21A292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彭秀文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市委金融办党建指导科副科长</w:t>
      </w:r>
    </w:p>
    <w:p w14:paraId="593686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76" w:leftChars="76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李晓源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市委金融办机关党总支专职副书记、一级主任科员</w:t>
      </w:r>
    </w:p>
    <w:p w14:paraId="1FB371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320" w:firstLineChars="1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市委金融办机关党总支四级主任科员</w:t>
      </w:r>
    </w:p>
    <w:p w14:paraId="60CF40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市委金融办综合科工勤</w:t>
      </w:r>
    </w:p>
    <w:p w14:paraId="7393EB3E"/>
    <w:p w14:paraId="018CA6F5">
      <w:pPr>
        <w:widowControl w:val="0"/>
        <w:wordWrap/>
        <w:adjustRightInd/>
        <w:snapToGrid w:val="0"/>
        <w:spacing w:line="560" w:lineRule="exact"/>
        <w:ind w:right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</w:pPr>
    </w:p>
    <w:p w14:paraId="3C82B379">
      <w:pPr>
        <w:pStyle w:val="17"/>
        <w:ind w:left="0" w:leftChars="0" w:firstLine="0" w:firstLineChars="0"/>
        <w:rPr>
          <w:rFonts w:hint="eastAsia"/>
          <w:lang w:val="en-US" w:eastAsia="zh-CN"/>
        </w:rPr>
      </w:pPr>
    </w:p>
    <w:p w14:paraId="1392F6FA">
      <w:pPr>
        <w:widowControl w:val="0"/>
        <w:wordWrap/>
        <w:adjustRightInd/>
        <w:snapToGrid w:val="0"/>
        <w:spacing w:line="560" w:lineRule="exact"/>
        <w:ind w:left="5438" w:leftChars="304" w:right="0" w:hanging="4800" w:hangingChars="15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 xml:space="preserve"> 中共石家庄市委金融委员会办公室                                2024年4月16日</w:t>
      </w:r>
    </w:p>
    <w:p w14:paraId="489D0C82">
      <w:pPr>
        <w:pStyle w:val="3"/>
        <w:outlineLvl w:val="9"/>
        <w:rPr>
          <w:rFonts w:hint="eastAsia"/>
          <w:lang w:eastAsia="zh-CN"/>
        </w:rPr>
      </w:pPr>
    </w:p>
    <w:sectPr>
      <w:footerReference r:id="rId4" w:type="default"/>
      <w:pgSz w:w="11906" w:h="16838"/>
      <w:pgMar w:top="1440" w:right="1474" w:bottom="1440" w:left="1587" w:header="851" w:footer="992" w:gutter="0"/>
      <w:pgNumType w:fmt="decimal" w:start="1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F99BEC">
    <w:pPr>
      <w:pStyle w:val="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A55DC2">
    <w:pPr>
      <w:pStyle w:val="8"/>
    </w:pPr>
    <w:r>
      <w:pict>
        <v:shape id="Quad Arrow 3073" o:spid="_x0000_s4098" o:spt="202" type="#_x0000_t202" style="position:absolute;left:0pt;margin-left:201.1pt;margin-top:-6.05pt;height:17.7pt;width:41.5pt;mso-position-horizontal-relative:margin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>
            <w:txbxContent>
              <w:p w14:paraId="7D96FE3A">
                <w:pPr>
                  <w:snapToGrid w:val="0"/>
                  <w:rPr>
                    <w:rFonts w:hint="eastAsia" w:eastAsia="宋体"/>
                    <w:sz w:val="24"/>
                    <w:szCs w:val="36"/>
                    <w:lang w:val="en-US" w:eastAsia="zh-CN"/>
                  </w:rPr>
                </w:pPr>
              </w:p>
            </w:txbxContent>
          </v:textbox>
        </v:shape>
      </w:pict>
    </w:r>
    <w:r>
      <w:rPr>
        <w:sz w:val="18"/>
      </w:rPr>
      <w:pict>
        <v:shape id="_x0000_s4100" o:spid="_x0000_s4100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2435738A">
                <w:pPr>
                  <w:pStyle w:val="8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- 1 -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AA2C1B"/>
    <w:multiLevelType w:val="singleLevel"/>
    <w:tmpl w:val="BDAA2C1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GJhYTYyYThlMzMyNTdiNWFlMjYyNGExYTEyNWY2MWYifQ=="/>
  </w:docVars>
  <w:rsids>
    <w:rsidRoot w:val="0EBD2122"/>
    <w:rsid w:val="000B0260"/>
    <w:rsid w:val="001E21B6"/>
    <w:rsid w:val="003074AF"/>
    <w:rsid w:val="004F5239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1FB0577"/>
    <w:rsid w:val="02106AB0"/>
    <w:rsid w:val="02B43A28"/>
    <w:rsid w:val="02BA3130"/>
    <w:rsid w:val="03D438C4"/>
    <w:rsid w:val="04425FE9"/>
    <w:rsid w:val="046F331E"/>
    <w:rsid w:val="05B44CC5"/>
    <w:rsid w:val="07956271"/>
    <w:rsid w:val="08B45813"/>
    <w:rsid w:val="08EA6F99"/>
    <w:rsid w:val="09265338"/>
    <w:rsid w:val="092730A7"/>
    <w:rsid w:val="09330F29"/>
    <w:rsid w:val="09721397"/>
    <w:rsid w:val="0ACE4A7B"/>
    <w:rsid w:val="0AF838A6"/>
    <w:rsid w:val="0BB63BED"/>
    <w:rsid w:val="0C2D757F"/>
    <w:rsid w:val="0CAD315B"/>
    <w:rsid w:val="0CD65E05"/>
    <w:rsid w:val="0D002EE5"/>
    <w:rsid w:val="0D4234FE"/>
    <w:rsid w:val="0D5A43A4"/>
    <w:rsid w:val="0EB97A43"/>
    <w:rsid w:val="0EBD2122"/>
    <w:rsid w:val="0ED87FEF"/>
    <w:rsid w:val="0ED94285"/>
    <w:rsid w:val="0EFD592E"/>
    <w:rsid w:val="0F214EAE"/>
    <w:rsid w:val="0F3F08C0"/>
    <w:rsid w:val="0FF173AB"/>
    <w:rsid w:val="100002BF"/>
    <w:rsid w:val="105E4DAD"/>
    <w:rsid w:val="10F41EA1"/>
    <w:rsid w:val="11B71E6A"/>
    <w:rsid w:val="132D7177"/>
    <w:rsid w:val="14302658"/>
    <w:rsid w:val="14595663"/>
    <w:rsid w:val="15BB5BFB"/>
    <w:rsid w:val="16A86BE1"/>
    <w:rsid w:val="174A5489"/>
    <w:rsid w:val="176432E6"/>
    <w:rsid w:val="183215A0"/>
    <w:rsid w:val="18B05267"/>
    <w:rsid w:val="190B50EC"/>
    <w:rsid w:val="1AAF0063"/>
    <w:rsid w:val="1AF234E7"/>
    <w:rsid w:val="1B662AAD"/>
    <w:rsid w:val="1BE140DE"/>
    <w:rsid w:val="1BEA548C"/>
    <w:rsid w:val="1C8660C3"/>
    <w:rsid w:val="1E936360"/>
    <w:rsid w:val="1EAC5B66"/>
    <w:rsid w:val="1ECF26A2"/>
    <w:rsid w:val="212C5BFF"/>
    <w:rsid w:val="21943950"/>
    <w:rsid w:val="22C30F5F"/>
    <w:rsid w:val="23C623BF"/>
    <w:rsid w:val="248C197D"/>
    <w:rsid w:val="249436DC"/>
    <w:rsid w:val="24C148B0"/>
    <w:rsid w:val="24D82326"/>
    <w:rsid w:val="252959AF"/>
    <w:rsid w:val="257007B0"/>
    <w:rsid w:val="25777D91"/>
    <w:rsid w:val="262F7398"/>
    <w:rsid w:val="26E70EE5"/>
    <w:rsid w:val="2703209D"/>
    <w:rsid w:val="276E09CD"/>
    <w:rsid w:val="277A6671"/>
    <w:rsid w:val="27BF5A1F"/>
    <w:rsid w:val="27E9642C"/>
    <w:rsid w:val="284F273B"/>
    <w:rsid w:val="28C457D9"/>
    <w:rsid w:val="28EB2539"/>
    <w:rsid w:val="292D35B7"/>
    <w:rsid w:val="2A467278"/>
    <w:rsid w:val="2B852ADC"/>
    <w:rsid w:val="2BBD4024"/>
    <w:rsid w:val="2CC26E7F"/>
    <w:rsid w:val="2D75565B"/>
    <w:rsid w:val="2E5D0646"/>
    <w:rsid w:val="2E7B3D22"/>
    <w:rsid w:val="2E7D372E"/>
    <w:rsid w:val="2E81758A"/>
    <w:rsid w:val="2ECD14F7"/>
    <w:rsid w:val="2F0A5A38"/>
    <w:rsid w:val="2F644BAF"/>
    <w:rsid w:val="302A2C8F"/>
    <w:rsid w:val="309830E9"/>
    <w:rsid w:val="313A1981"/>
    <w:rsid w:val="31861927"/>
    <w:rsid w:val="334A4B46"/>
    <w:rsid w:val="33BA1FA3"/>
    <w:rsid w:val="33E84E63"/>
    <w:rsid w:val="33EB6CFF"/>
    <w:rsid w:val="351E1058"/>
    <w:rsid w:val="35A12947"/>
    <w:rsid w:val="3624120B"/>
    <w:rsid w:val="37387040"/>
    <w:rsid w:val="38B44364"/>
    <w:rsid w:val="395F7BB5"/>
    <w:rsid w:val="396226AE"/>
    <w:rsid w:val="397432B9"/>
    <w:rsid w:val="39F9594E"/>
    <w:rsid w:val="3B0A6B5A"/>
    <w:rsid w:val="3B625C0A"/>
    <w:rsid w:val="3CEE1963"/>
    <w:rsid w:val="3CF03B2D"/>
    <w:rsid w:val="3D244530"/>
    <w:rsid w:val="3DB42E7B"/>
    <w:rsid w:val="3E016C29"/>
    <w:rsid w:val="3E055E64"/>
    <w:rsid w:val="3E756A36"/>
    <w:rsid w:val="3EBC016B"/>
    <w:rsid w:val="3EEA4CD8"/>
    <w:rsid w:val="3EFA4F14"/>
    <w:rsid w:val="3F121D84"/>
    <w:rsid w:val="3F963DEC"/>
    <w:rsid w:val="3FD71156"/>
    <w:rsid w:val="40167761"/>
    <w:rsid w:val="4024643A"/>
    <w:rsid w:val="41EA5C7B"/>
    <w:rsid w:val="43454BD3"/>
    <w:rsid w:val="43A549DC"/>
    <w:rsid w:val="43B57504"/>
    <w:rsid w:val="44075764"/>
    <w:rsid w:val="446C43E1"/>
    <w:rsid w:val="45A6429F"/>
    <w:rsid w:val="466B6D3A"/>
    <w:rsid w:val="46A22B1A"/>
    <w:rsid w:val="46D82784"/>
    <w:rsid w:val="46FD57C4"/>
    <w:rsid w:val="4806752C"/>
    <w:rsid w:val="48366CFA"/>
    <w:rsid w:val="48C621F7"/>
    <w:rsid w:val="48E649AE"/>
    <w:rsid w:val="491F33FC"/>
    <w:rsid w:val="49695393"/>
    <w:rsid w:val="4A2D63C1"/>
    <w:rsid w:val="4A9A1CA8"/>
    <w:rsid w:val="4AA9052E"/>
    <w:rsid w:val="4B666118"/>
    <w:rsid w:val="4BB72E46"/>
    <w:rsid w:val="4C6205A3"/>
    <w:rsid w:val="4C6735A7"/>
    <w:rsid w:val="4C9C27FE"/>
    <w:rsid w:val="4EA84268"/>
    <w:rsid w:val="4EBD2088"/>
    <w:rsid w:val="4F813436"/>
    <w:rsid w:val="4F864083"/>
    <w:rsid w:val="50744D49"/>
    <w:rsid w:val="50901003"/>
    <w:rsid w:val="50F76880"/>
    <w:rsid w:val="512260B4"/>
    <w:rsid w:val="5167665C"/>
    <w:rsid w:val="51DB0B0A"/>
    <w:rsid w:val="52BD6ACB"/>
    <w:rsid w:val="539D0FFC"/>
    <w:rsid w:val="53FC3E0F"/>
    <w:rsid w:val="54BE447B"/>
    <w:rsid w:val="55537534"/>
    <w:rsid w:val="55F02A8A"/>
    <w:rsid w:val="561A74F1"/>
    <w:rsid w:val="566724AF"/>
    <w:rsid w:val="56DE2088"/>
    <w:rsid w:val="57551807"/>
    <w:rsid w:val="588230D0"/>
    <w:rsid w:val="58864D94"/>
    <w:rsid w:val="590349A9"/>
    <w:rsid w:val="59466B54"/>
    <w:rsid w:val="597244E8"/>
    <w:rsid w:val="59F62FD6"/>
    <w:rsid w:val="5A074538"/>
    <w:rsid w:val="5A4B6B1B"/>
    <w:rsid w:val="5B9D70BC"/>
    <w:rsid w:val="5BE6021B"/>
    <w:rsid w:val="5C6A19A3"/>
    <w:rsid w:val="5E641170"/>
    <w:rsid w:val="5EB71C30"/>
    <w:rsid w:val="5F92277B"/>
    <w:rsid w:val="5FFF40BC"/>
    <w:rsid w:val="60C61DEF"/>
    <w:rsid w:val="610B1246"/>
    <w:rsid w:val="61F7C93C"/>
    <w:rsid w:val="623616DF"/>
    <w:rsid w:val="625910E3"/>
    <w:rsid w:val="62791FE6"/>
    <w:rsid w:val="63212E9C"/>
    <w:rsid w:val="63EDB684"/>
    <w:rsid w:val="64FAE410"/>
    <w:rsid w:val="65386FD2"/>
    <w:rsid w:val="66AF0CE5"/>
    <w:rsid w:val="670A0744"/>
    <w:rsid w:val="675635B6"/>
    <w:rsid w:val="679A7081"/>
    <w:rsid w:val="67F178E4"/>
    <w:rsid w:val="67F9E68F"/>
    <w:rsid w:val="694234B6"/>
    <w:rsid w:val="69594684"/>
    <w:rsid w:val="6AC537CF"/>
    <w:rsid w:val="6CC7308C"/>
    <w:rsid w:val="6D437B25"/>
    <w:rsid w:val="6DF968F5"/>
    <w:rsid w:val="6E5B14A6"/>
    <w:rsid w:val="6FBB7EC1"/>
    <w:rsid w:val="6FDFFC5C"/>
    <w:rsid w:val="6FFF5159"/>
    <w:rsid w:val="705B5186"/>
    <w:rsid w:val="711B255E"/>
    <w:rsid w:val="71934F00"/>
    <w:rsid w:val="71A14E1B"/>
    <w:rsid w:val="72407DE6"/>
    <w:rsid w:val="72D369FE"/>
    <w:rsid w:val="740A1156"/>
    <w:rsid w:val="74BB7BBE"/>
    <w:rsid w:val="756D3991"/>
    <w:rsid w:val="75C0260C"/>
    <w:rsid w:val="75D7691F"/>
    <w:rsid w:val="76681945"/>
    <w:rsid w:val="76FC3D77"/>
    <w:rsid w:val="7772672B"/>
    <w:rsid w:val="77BE6726"/>
    <w:rsid w:val="78FD327E"/>
    <w:rsid w:val="79202AC9"/>
    <w:rsid w:val="7A097A01"/>
    <w:rsid w:val="7AFF01AF"/>
    <w:rsid w:val="7B65510B"/>
    <w:rsid w:val="7B7DE546"/>
    <w:rsid w:val="7BB51E06"/>
    <w:rsid w:val="7C387F7C"/>
    <w:rsid w:val="7CF37EEE"/>
    <w:rsid w:val="7DB800FE"/>
    <w:rsid w:val="7E4509F6"/>
    <w:rsid w:val="7E757028"/>
    <w:rsid w:val="7EB39042"/>
    <w:rsid w:val="7F3138A2"/>
    <w:rsid w:val="7F3B2C31"/>
    <w:rsid w:val="7F45772D"/>
    <w:rsid w:val="7F6F75D5"/>
    <w:rsid w:val="7F7E0075"/>
    <w:rsid w:val="7FE83423"/>
    <w:rsid w:val="7FEFE4DD"/>
    <w:rsid w:val="CBFDB559"/>
    <w:rsid w:val="D65F933B"/>
    <w:rsid w:val="DDB7873F"/>
    <w:rsid w:val="E7EF896F"/>
    <w:rsid w:val="E9FF55C5"/>
    <w:rsid w:val="EDAF4EB7"/>
    <w:rsid w:val="EEF34B4F"/>
    <w:rsid w:val="F7FFCFC0"/>
    <w:rsid w:val="FDEDF576"/>
    <w:rsid w:val="FF3DEF94"/>
    <w:rsid w:val="FF5753CC"/>
    <w:rsid w:val="FF7DFD38"/>
    <w:rsid w:val="FF8B7ADE"/>
    <w:rsid w:val="FFFF74D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iPriority="99" w:semiHidden="0" w:name="index 9"/>
    <w:lsdException w:qFormat="1" w:uiPriority="39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outlineLvl w:val="1"/>
    </w:pPr>
    <w:rPr>
      <w:rFonts w:hint="eastAsia" w:ascii="宋体" w:hAnsi="宋体"/>
      <w:sz w:val="36"/>
      <w:szCs w:val="36"/>
      <w:lang w:val="en-US" w:eastAsia="zh-CN" w:bidi="ar-SA"/>
    </w:rPr>
  </w:style>
  <w:style w:type="paragraph" w:styleId="3">
    <w:name w:val="heading 6"/>
    <w:basedOn w:val="1"/>
    <w:next w:val="1"/>
    <w:unhideWhenUsed/>
    <w:qFormat/>
    <w:uiPriority w:val="0"/>
    <w:pPr>
      <w:keepNext/>
      <w:keepLines/>
      <w:tabs>
        <w:tab w:val="left" w:pos="1151"/>
      </w:tabs>
      <w:spacing w:before="240" w:after="64" w:line="320" w:lineRule="auto"/>
      <w:ind w:left="1151" w:hanging="1151"/>
      <w:outlineLvl w:val="5"/>
    </w:pPr>
    <w:rPr>
      <w:rFonts w:ascii="Cambria" w:hAnsi="Cambria"/>
      <w:b/>
      <w:bCs/>
    </w:rPr>
  </w:style>
  <w:style w:type="character" w:default="1" w:styleId="16">
    <w:name w:val="Default Paragraph Font"/>
    <w:unhideWhenUsed/>
    <w:qFormat/>
    <w:uiPriority w:val="1"/>
  </w:style>
  <w:style w:type="table" w:default="1" w:styleId="1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ind w:firstLine="420" w:firstLineChars="200"/>
    </w:pPr>
  </w:style>
  <w:style w:type="paragraph" w:styleId="5">
    <w:name w:val="Body Text Indent"/>
    <w:basedOn w:val="1"/>
    <w:qFormat/>
    <w:uiPriority w:val="99"/>
    <w:pPr>
      <w:spacing w:after="120"/>
      <w:ind w:left="420" w:leftChars="200"/>
    </w:pPr>
  </w:style>
  <w:style w:type="paragraph" w:styleId="6">
    <w:name w:val="Plain Text"/>
    <w:basedOn w:val="1"/>
    <w:next w:val="7"/>
    <w:qFormat/>
    <w:uiPriority w:val="0"/>
    <w:rPr>
      <w:rFonts w:ascii="宋体" w:hAnsi="Courier New" w:eastAsia="宋体" w:cs="Courier New"/>
      <w:szCs w:val="21"/>
    </w:rPr>
  </w:style>
  <w:style w:type="paragraph" w:styleId="7">
    <w:name w:val="index 9"/>
    <w:basedOn w:val="1"/>
    <w:next w:val="1"/>
    <w:unhideWhenUsed/>
    <w:qFormat/>
    <w:uiPriority w:val="99"/>
    <w:pPr>
      <w:ind w:left="1600" w:leftChars="1600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0">
    <w:name w:val="toc 1"/>
    <w:basedOn w:val="1"/>
    <w:next w:val="1"/>
    <w:unhideWhenUsed/>
    <w:qFormat/>
    <w:uiPriority w:val="39"/>
  </w:style>
  <w:style w:type="paragraph" w:styleId="11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3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kern w:val="28"/>
      <w:sz w:val="32"/>
      <w:szCs w:val="20"/>
    </w:rPr>
  </w:style>
  <w:style w:type="paragraph" w:styleId="14">
    <w:name w:val="Body Text First Indent 2"/>
    <w:basedOn w:val="5"/>
    <w:qFormat/>
    <w:uiPriority w:val="99"/>
    <w:pPr>
      <w:ind w:firstLine="420" w:firstLineChars="200"/>
    </w:pPr>
  </w:style>
  <w:style w:type="paragraph" w:customStyle="1" w:styleId="17">
    <w:name w:val="Char"/>
    <w:basedOn w:val="1"/>
    <w:qFormat/>
    <w:uiPriority w:val="0"/>
    <w:pPr>
      <w:spacing w:line="360" w:lineRule="auto"/>
      <w:ind w:firstLine="200" w:firstLineChars="200"/>
    </w:pPr>
    <w:rPr>
      <w:rFonts w:ascii="宋体" w:hAnsi="宋体" w:eastAsia="宋体" w:cs="宋体"/>
      <w:sz w:val="24"/>
    </w:rPr>
  </w:style>
  <w:style w:type="paragraph" w:customStyle="1" w:styleId="18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9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0">
    <w:name w:val="插入文本样式-插入职责分类绩效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1">
    <w:name w:val="Body Text First Indent 21"/>
    <w:basedOn w:val="22"/>
    <w:qFormat/>
    <w:uiPriority w:val="0"/>
    <w:pPr>
      <w:ind w:firstLine="420" w:firstLineChars="200"/>
    </w:pPr>
  </w:style>
  <w:style w:type="paragraph" w:customStyle="1" w:styleId="22">
    <w:name w:val="Body Text Indent1"/>
    <w:basedOn w:val="1"/>
    <w:qFormat/>
    <w:uiPriority w:val="0"/>
    <w:pPr>
      <w:spacing w:after="120"/>
      <w:ind w:left="420" w:leftChars="200"/>
    </w:pPr>
    <w:rPr>
      <w:rFonts w:hint="eastAsia"/>
    </w:rPr>
  </w:style>
  <w:style w:type="paragraph" w:customStyle="1" w:styleId="23">
    <w:name w:val="p0"/>
    <w:basedOn w:val="1"/>
    <w:qFormat/>
    <w:uiPriority w:val="0"/>
    <w:pPr>
      <w:widowControl/>
    </w:pPr>
    <w:rPr>
      <w:kern w:val="0"/>
      <w:szCs w:val="21"/>
    </w:rPr>
  </w:style>
  <w:style w:type="character" w:customStyle="1" w:styleId="24">
    <w:name w:val="NormalCharacter"/>
    <w:semiHidden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paragraph" w:customStyle="1" w:styleId="25">
    <w:name w:val="WPSOffice手动目录 1"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26">
    <w:name w:val="WPSOffice手动目录 2"/>
    <w:qFormat/>
    <w:uiPriority w:val="0"/>
    <w:pPr>
      <w:ind w:leftChars="20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27">
    <w:name w:val="BodyText1I2"/>
    <w:basedOn w:val="28"/>
    <w:qFormat/>
    <w:uiPriority w:val="0"/>
    <w:pPr>
      <w:ind w:firstLine="420" w:firstLineChars="200"/>
    </w:pPr>
  </w:style>
  <w:style w:type="paragraph" w:customStyle="1" w:styleId="28">
    <w:name w:val="BodyTextIndent"/>
    <w:basedOn w:val="1"/>
    <w:qFormat/>
    <w:uiPriority w:val="0"/>
    <w:pPr>
      <w:spacing w:after="120" w:afterLines="0"/>
      <w:ind w:left="420" w:leftChars="200"/>
      <w:textAlignment w:val="baseline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4098"/>
    <customShpInfo spid="_x0000_s4100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5934</Words>
  <Characters>6229</Characters>
  <Lines>4</Lines>
  <Paragraphs>1</Paragraphs>
  <TotalTime>104</TotalTime>
  <ScaleCrop>false</ScaleCrop>
  <LinksUpToDate>false</LinksUpToDate>
  <CharactersWithSpaces>6412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2020-02-07T03:46:00Z</dcterms:created>
  <dc:creator>欣欣大人</dc:creator>
  <cp:lastModifiedBy>13323011735</cp:lastModifiedBy>
  <cp:lastPrinted>2024-08-07T22:45:00Z</cp:lastPrinted>
  <dcterms:modified xsi:type="dcterms:W3CDTF">2025-06-19T09:22:45Z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F3D5BB88D3C34B1EA80357B41A408C54_12</vt:lpwstr>
  </property>
  <property fmtid="{D5CDD505-2E9C-101B-9397-08002B2CF9AE}" pid="4" name="KSOTemplateDocerSaveRecord">
    <vt:lpwstr>eyJoZGlkIjoiYTRkZjYwODQyN2QxOTU4Mzc5MDkyZjcyNTA5NjE4M2QiLCJ1c2VySWQiOiIxNTUwMjQwMDk2In0=</vt:lpwstr>
  </property>
</Properties>
</file>