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5FD9FE">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cs="宋体"/>
          <w:b/>
          <w:bCs/>
          <w:sz w:val="44"/>
          <w:szCs w:val="44"/>
        </w:rPr>
      </w:pPr>
    </w:p>
    <w:p w14:paraId="15FFD909">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石家庄市数据资源管理局</w:t>
      </w:r>
    </w:p>
    <w:p w14:paraId="5DA569EE">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14:paraId="62AB9A3C">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ascii="华文楷体" w:eastAsia="华文楷体"/>
          <w:sz w:val="32"/>
          <w:szCs w:val="32"/>
        </w:rPr>
      </w:pPr>
    </w:p>
    <w:p w14:paraId="67AE103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为</w:t>
      </w:r>
      <w:r>
        <w:rPr>
          <w:rFonts w:hint="eastAsia" w:ascii="仿宋_GB2312" w:hAnsi="仿宋_GB2312" w:eastAsia="仿宋_GB2312" w:cs="仿宋_GB2312"/>
          <w:sz w:val="32"/>
          <w:szCs w:val="32"/>
          <w:highlight w:val="none"/>
        </w:rPr>
        <w:t>贯彻落实</w:t>
      </w:r>
      <w:r>
        <w:rPr>
          <w:rFonts w:hint="eastAsia" w:ascii="仿宋_GB2312" w:hAnsi="仿宋_GB2312" w:eastAsia="仿宋_GB2312" w:cs="仿宋_GB2312"/>
          <w:sz w:val="32"/>
          <w:szCs w:val="32"/>
          <w:highlight w:val="none"/>
          <w:lang w:eastAsia="zh-CN"/>
        </w:rPr>
        <w:t>市委市政府《关于全面落实预算绩效管理的实施意见》（石发﹝</w:t>
      </w:r>
      <w:r>
        <w:rPr>
          <w:rFonts w:hint="eastAsia" w:ascii="仿宋_GB2312" w:hAnsi="仿宋_GB2312" w:eastAsia="仿宋_GB2312" w:cs="仿宋_GB2312"/>
          <w:sz w:val="32"/>
          <w:szCs w:val="32"/>
          <w:highlight w:val="none"/>
          <w:lang w:val="en-US" w:eastAsia="zh-CN"/>
        </w:rPr>
        <w:t>2019</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8号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文件精神，遵循“科学性、规范性、客观性和公正性”的原则，对石家庄市数据资源管理局</w:t>
      </w:r>
      <w:r>
        <w:rPr>
          <w:rFonts w:hint="eastAsia" w:ascii="仿宋_GB2312" w:hAnsi="仿宋_GB2312" w:eastAsia="仿宋_GB2312" w:cs="仿宋_GB2312"/>
          <w:sz w:val="32"/>
          <w:szCs w:val="32"/>
          <w:highlight w:val="none"/>
          <w:lang w:val="en-US" w:eastAsia="zh-CN"/>
        </w:rPr>
        <w:t>2022年</w:t>
      </w:r>
      <w:r>
        <w:rPr>
          <w:rFonts w:hint="eastAsia" w:ascii="仿宋_GB2312" w:hAnsi="仿宋_GB2312" w:eastAsia="仿宋_GB2312" w:cs="仿宋_GB2312"/>
          <w:sz w:val="32"/>
          <w:szCs w:val="32"/>
          <w:highlight w:val="none"/>
          <w:lang w:eastAsia="zh-CN"/>
        </w:rPr>
        <w:t>整体支出情况</w:t>
      </w:r>
      <w:r>
        <w:rPr>
          <w:rFonts w:hint="eastAsia" w:ascii="仿宋_GB2312" w:hAnsi="仿宋_GB2312" w:eastAsia="仿宋_GB2312" w:cs="仿宋_GB2312"/>
          <w:sz w:val="32"/>
          <w:szCs w:val="32"/>
          <w:highlight w:val="none"/>
        </w:rPr>
        <w:t>实施了财政支出绩效自评价，形成本评价报告。</w:t>
      </w:r>
    </w:p>
    <w:p w14:paraId="2371009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textAlignment w:val="auto"/>
        <w:outlineLvl w:val="9"/>
        <w:rPr>
          <w:rFonts w:ascii="黑体" w:hAnsi="黑体" w:eastAsia="黑体"/>
          <w:b/>
          <w:bCs/>
          <w:sz w:val="32"/>
          <w:szCs w:val="36"/>
          <w:highlight w:val="none"/>
        </w:rPr>
      </w:pPr>
      <w:r>
        <w:rPr>
          <w:rFonts w:hint="eastAsia" w:ascii="仿宋" w:hAnsi="仿宋" w:eastAsia="仿宋"/>
          <w:sz w:val="32"/>
          <w:szCs w:val="32"/>
          <w:highlight w:val="none"/>
        </w:rPr>
        <w:t xml:space="preserve">    </w:t>
      </w:r>
      <w:r>
        <w:rPr>
          <w:rFonts w:hint="eastAsia" w:ascii="黑体" w:hAnsi="黑体" w:eastAsia="黑体"/>
          <w:sz w:val="32"/>
          <w:szCs w:val="32"/>
          <w:highlight w:val="none"/>
        </w:rPr>
        <w:t>一、</w:t>
      </w:r>
      <w:r>
        <w:rPr>
          <w:rFonts w:hint="eastAsia" w:ascii="黑体" w:hAnsi="黑体" w:eastAsia="黑体"/>
          <w:sz w:val="32"/>
          <w:szCs w:val="32"/>
          <w:highlight w:val="none"/>
          <w:lang w:eastAsia="zh-CN"/>
        </w:rPr>
        <w:t>部门</w:t>
      </w:r>
      <w:r>
        <w:rPr>
          <w:rFonts w:hint="eastAsia" w:ascii="黑体" w:hAnsi="黑体" w:eastAsia="黑体"/>
          <w:sz w:val="32"/>
          <w:szCs w:val="36"/>
          <w:highlight w:val="none"/>
        </w:rPr>
        <w:t>基本情况</w:t>
      </w:r>
    </w:p>
    <w:p w14:paraId="54E2477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（一）</w:t>
      </w:r>
      <w:r>
        <w:rPr>
          <w:rFonts w:hint="eastAsia" w:ascii="仿宋_GB2312" w:hAnsi="仿宋_GB2312" w:eastAsia="仿宋_GB2312" w:cs="仿宋_GB2312"/>
          <w:b/>
          <w:bCs/>
          <w:sz w:val="32"/>
          <w:szCs w:val="32"/>
          <w:highlight w:val="none"/>
          <w:lang w:eastAsia="zh-CN"/>
        </w:rPr>
        <w:t>部门</w:t>
      </w:r>
      <w:r>
        <w:rPr>
          <w:rFonts w:hint="eastAsia" w:ascii="仿宋_GB2312" w:hAnsi="仿宋_GB2312" w:eastAsia="仿宋_GB2312" w:cs="仿宋_GB2312"/>
          <w:b/>
          <w:bCs/>
          <w:sz w:val="32"/>
          <w:szCs w:val="32"/>
          <w:highlight w:val="none"/>
        </w:rPr>
        <w:t>概况</w:t>
      </w:r>
    </w:p>
    <w:p w14:paraId="4905EB79">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根据《中共</w:t>
      </w: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"https://baike.baidu.com/item/%E6%B2%B3%E5%8C%97%E7%9C%81/153775" \t "https://baike.baidu.com/item/%E7%9F%B3%E5%AE%B6%E5%BA%84%E5%B8%82%E6%95%B0%E6%8D%AE%E8%B5%84%E6%BA%90%E7%AE%A1%E7%90%86%E5%B1%80/_blank"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kern w:val="2"/>
          <w:sz w:val="32"/>
          <w:szCs w:val="32"/>
          <w:lang w:val="en-US" w:eastAsia="zh-CN" w:bidi="ar-SA"/>
        </w:rPr>
        <w:t>河北省</w:t>
      </w:r>
      <w:r>
        <w:rPr>
          <w:rFonts w:hint="eastAsia" w:ascii="仿宋_GB2312" w:hAnsi="仿宋_GB2312" w:eastAsia="仿宋_GB2312" w:cs="仿宋_GB2312"/>
          <w:kern w:val="2"/>
          <w:sz w:val="32"/>
          <w:szCs w:val="32"/>
          <w:lang w:val="en-US" w:eastAsia="zh-CN" w:bidi="ar-SA"/>
        </w:rPr>
        <w:fldChar w:fldCharType="end"/>
      </w:r>
      <w:r>
        <w:rPr>
          <w:rFonts w:hint="eastAsia" w:ascii="仿宋_GB2312" w:hAnsi="仿宋_GB2312" w:eastAsia="仿宋_GB2312" w:cs="仿宋_GB2312"/>
          <w:kern w:val="2"/>
          <w:sz w:val="32"/>
          <w:szCs w:val="32"/>
          <w:lang w:val="en-US" w:eastAsia="zh-CN" w:bidi="ar-SA"/>
        </w:rPr>
        <w:t>委办公厅、</w:t>
      </w: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"https://baike.baidu.com/item/%E6%B2%B3%E5%8C%97%E7%9C%81%E4%BA%BA%E6%B0%91%E6%94%BF%E5%BA%9C%E5%8A%9E%E5%85%AC%E5%8E%85/7054123" \t "https://baike.baidu.com/item/%E7%9F%B3%E5%AE%B6%E5%BA%84%E5%B8%82%E6%95%B0%E6%8D%AE%E8%B5%84%E6%BA%90%E7%AE%A1%E7%90%86%E5%B1%80/_blank"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kern w:val="2"/>
          <w:sz w:val="32"/>
          <w:szCs w:val="32"/>
          <w:lang w:val="en-US" w:eastAsia="zh-CN" w:bidi="ar-SA"/>
        </w:rPr>
        <w:t>河北省人民政府办公厅</w:t>
      </w:r>
      <w:r>
        <w:rPr>
          <w:rFonts w:hint="eastAsia" w:ascii="仿宋_GB2312" w:hAnsi="仿宋_GB2312" w:eastAsia="仿宋_GB2312" w:cs="仿宋_GB2312"/>
          <w:kern w:val="2"/>
          <w:sz w:val="32"/>
          <w:szCs w:val="32"/>
          <w:lang w:val="en-US" w:eastAsia="zh-CN" w:bidi="ar-SA"/>
        </w:rPr>
        <w:fldChar w:fldCharType="end"/>
      </w:r>
      <w:r>
        <w:rPr>
          <w:rFonts w:hint="eastAsia" w:ascii="仿宋_GB2312" w:hAnsi="仿宋_GB2312" w:eastAsia="仿宋_GB2312" w:cs="仿宋_GB2312"/>
          <w:kern w:val="2"/>
          <w:sz w:val="32"/>
          <w:szCs w:val="32"/>
          <w:lang w:val="en-US" w:eastAsia="zh-CN" w:bidi="ar-SA"/>
        </w:rPr>
        <w:t>关于印发〈</w:t>
      </w: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"https://baike.baidu.com/item/%E7%9F%B3%E5%AE%B6%E5%BA%84%E5%B8%82%E6%9C%BA%E6%9E%84%E6%94%B9%E9%9D%A9%E6%96%B9%E6%A1%88/23247354" \t "https://baike.baidu.com/item/%E7%9F%B3%E5%AE%B6%E5%BA%84%E5%B8%82%E6%95%B0%E6%8D%AE%E8%B5%84%E6%BA%90%E7%AE%A1%E7%90%86%E5%B1%80/_blank"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kern w:val="2"/>
          <w:sz w:val="32"/>
          <w:szCs w:val="32"/>
          <w:lang w:val="en-US" w:eastAsia="zh-CN" w:bidi="ar-SA"/>
        </w:rPr>
        <w:t>石家庄市机构改革方案</w:t>
      </w:r>
      <w:r>
        <w:rPr>
          <w:rFonts w:hint="eastAsia" w:ascii="仿宋_GB2312" w:hAnsi="仿宋_GB2312" w:eastAsia="仿宋_GB2312" w:cs="仿宋_GB2312"/>
          <w:kern w:val="2"/>
          <w:sz w:val="32"/>
          <w:szCs w:val="32"/>
          <w:lang w:val="en-US" w:eastAsia="zh-CN" w:bidi="ar-SA"/>
        </w:rPr>
        <w:fldChar w:fldCharType="end"/>
      </w:r>
      <w:r>
        <w:rPr>
          <w:rFonts w:hint="eastAsia" w:ascii="仿宋_GB2312" w:hAnsi="仿宋_GB2312" w:eastAsia="仿宋_GB2312" w:cs="仿宋_GB2312"/>
          <w:kern w:val="2"/>
          <w:sz w:val="32"/>
          <w:szCs w:val="32"/>
          <w:lang w:val="en-US" w:eastAsia="zh-CN" w:bidi="ar-SA"/>
        </w:rPr>
        <w:t>〉的通知》（冀办字〔2018〕106号），石家庄市数据资源管理局（简称市数据资源管理局），为市政府</w:t>
      </w:r>
      <w:r>
        <w:rPr>
          <w:rFonts w:hint="eastAsia" w:ascii="仿宋_GB2312" w:hAnsi="仿宋_GB2312" w:eastAsia="仿宋_GB2312" w:cs="仿宋_GB2312"/>
          <w:kern w:val="2"/>
          <w:sz w:val="32"/>
          <w:szCs w:val="32"/>
          <w:lang w:val="en-US" w:eastAsia="zh-CN" w:bidi="ar-SA"/>
        </w:rPr>
        <w:fldChar w:fldCharType="begin"/>
      </w:r>
      <w:r>
        <w:rPr>
          <w:rFonts w:hint="eastAsia" w:ascii="仿宋_GB2312" w:hAnsi="仿宋_GB2312" w:eastAsia="仿宋_GB2312" w:cs="仿宋_GB2312"/>
          <w:kern w:val="2"/>
          <w:sz w:val="32"/>
          <w:szCs w:val="32"/>
          <w:lang w:val="en-US" w:eastAsia="zh-CN" w:bidi="ar-SA"/>
        </w:rPr>
        <w:instrText xml:space="preserve"> HYPERLINK "https://baike.baidu.com/item/%E5%B7%A5%E4%BD%9C%E9%83%A8%E9%97%A8/22986209" \t "https://baike.baidu.com/item/%E7%9F%B3%E5%AE%B6%E5%BA%84%E5%B8%82%E6%95%B0%E6%8D%AE%E8%B5%84%E6%BA%90%E7%AE%A1%E7%90%86%E5%B1%80/_blank" </w:instrText>
      </w:r>
      <w:r>
        <w:rPr>
          <w:rFonts w:hint="eastAsia" w:ascii="仿宋_GB2312" w:hAnsi="仿宋_GB2312" w:eastAsia="仿宋_GB2312" w:cs="仿宋_GB2312"/>
          <w:kern w:val="2"/>
          <w:sz w:val="32"/>
          <w:szCs w:val="32"/>
          <w:lang w:val="en-US" w:eastAsia="zh-CN" w:bidi="ar-SA"/>
        </w:rPr>
        <w:fldChar w:fldCharType="separate"/>
      </w:r>
      <w:r>
        <w:rPr>
          <w:rFonts w:hint="eastAsia" w:ascii="仿宋_GB2312" w:hAnsi="仿宋_GB2312" w:eastAsia="仿宋_GB2312" w:cs="仿宋_GB2312"/>
          <w:kern w:val="2"/>
          <w:sz w:val="32"/>
          <w:szCs w:val="32"/>
          <w:lang w:val="en-US" w:eastAsia="zh-CN" w:bidi="ar-SA"/>
        </w:rPr>
        <w:t>工作部门</w:t>
      </w:r>
      <w:r>
        <w:rPr>
          <w:rFonts w:hint="eastAsia" w:ascii="仿宋_GB2312" w:hAnsi="仿宋_GB2312" w:eastAsia="仿宋_GB2312" w:cs="仿宋_GB2312"/>
          <w:kern w:val="2"/>
          <w:sz w:val="32"/>
          <w:szCs w:val="32"/>
          <w:lang w:val="en-US" w:eastAsia="zh-CN" w:bidi="ar-SA"/>
        </w:rPr>
        <w:fldChar w:fldCharType="end"/>
      </w:r>
      <w:r>
        <w:rPr>
          <w:rFonts w:hint="eastAsia"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color w:val="000000"/>
          <w:kern w:val="0"/>
          <w:sz w:val="31"/>
          <w:szCs w:val="31"/>
          <w:lang w:val="en-US" w:eastAsia="zh-CN" w:bidi="ar"/>
        </w:rPr>
        <w:t>石家庄市数据资源管理局为正处级行政单位，为一级预算单位</w:t>
      </w:r>
      <w:r>
        <w:rPr>
          <w:rFonts w:hint="eastAsia" w:ascii="仿宋_GB2312" w:hAnsi="仿宋_GB2312" w:eastAsia="仿宋_GB2312" w:cs="仿宋_GB2312"/>
          <w:kern w:val="2"/>
          <w:sz w:val="32"/>
          <w:szCs w:val="32"/>
          <w:lang w:val="en-US" w:eastAsia="zh-CN" w:bidi="ar-SA"/>
        </w:rPr>
        <w:t>，经费保障形式为财政拨款。市数据资源管理局内设五个科室，均为正科级，内设机构分别是：办公室、规划发展科、数据资源管理科、应用推广科、网络建设与安全科。单位在职人员共29人。</w:t>
      </w:r>
    </w:p>
    <w:p w14:paraId="094CF4CA">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下属单位1个：石家庄市电子政务中心，副处级事业单位，负责全市电子政务网络及应用系统平台的维护和运行；负责全市各类数据和信息资源的收集、整理等工作。单位在职人员共33人。</w:t>
      </w:r>
    </w:p>
    <w:p w14:paraId="1561597B">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本部门共有公务用车2辆，单价100万（含）以上（不含车辆）设备40台（套）。</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66"/>
        <w:gridCol w:w="1284"/>
        <w:gridCol w:w="1224"/>
        <w:gridCol w:w="2424"/>
        <w:gridCol w:w="1263"/>
      </w:tblGrid>
      <w:tr w14:paraId="05A0A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2866" w:type="dxa"/>
            <w:vAlign w:val="center"/>
          </w:tcPr>
          <w:p w14:paraId="4F415272">
            <w:pPr>
              <w:pStyle w:val="2"/>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单位名称</w:t>
            </w:r>
          </w:p>
        </w:tc>
        <w:tc>
          <w:tcPr>
            <w:tcW w:w="1284" w:type="dxa"/>
            <w:vAlign w:val="center"/>
          </w:tcPr>
          <w:p w14:paraId="5FA10F90">
            <w:pPr>
              <w:pStyle w:val="2"/>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单位性质</w:t>
            </w:r>
          </w:p>
        </w:tc>
        <w:tc>
          <w:tcPr>
            <w:tcW w:w="1224" w:type="dxa"/>
            <w:vAlign w:val="center"/>
          </w:tcPr>
          <w:p w14:paraId="5DCA2B6F">
            <w:pPr>
              <w:pStyle w:val="2"/>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单位规格</w:t>
            </w:r>
          </w:p>
        </w:tc>
        <w:tc>
          <w:tcPr>
            <w:tcW w:w="2424" w:type="dxa"/>
            <w:vAlign w:val="center"/>
          </w:tcPr>
          <w:p w14:paraId="07C496E6">
            <w:pPr>
              <w:pStyle w:val="2"/>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经费保障形式</w:t>
            </w:r>
          </w:p>
        </w:tc>
        <w:tc>
          <w:tcPr>
            <w:tcW w:w="1263" w:type="dxa"/>
            <w:vAlign w:val="center"/>
          </w:tcPr>
          <w:p w14:paraId="2312EE19">
            <w:pPr>
              <w:pStyle w:val="2"/>
              <w:ind w:left="0" w:leftChars="0" w:firstLine="0" w:firstLineChars="0"/>
              <w:jc w:val="both"/>
              <w:rPr>
                <w:rFonts w:hint="eastAsia" w:ascii="微软雅黑" w:hAnsi="微软雅黑" w:eastAsia="微软雅黑" w:cs="微软雅黑"/>
                <w:b/>
                <w:bCs/>
                <w:sz w:val="24"/>
                <w:szCs w:val="24"/>
                <w:vertAlign w:val="baseline"/>
                <w:lang w:val="en-US" w:eastAsia="zh-CN"/>
              </w:rPr>
            </w:pPr>
            <w:r>
              <w:rPr>
                <w:rFonts w:hint="eastAsia" w:ascii="微软雅黑" w:hAnsi="微软雅黑" w:eastAsia="微软雅黑" w:cs="微软雅黑"/>
                <w:b/>
                <w:bCs/>
                <w:sz w:val="24"/>
                <w:szCs w:val="24"/>
                <w:vertAlign w:val="baseline"/>
                <w:lang w:val="en-US" w:eastAsia="zh-CN"/>
              </w:rPr>
              <w:t>内设机构</w:t>
            </w:r>
          </w:p>
        </w:tc>
      </w:tr>
      <w:tr w14:paraId="75601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2866" w:type="dxa"/>
            <w:vAlign w:val="center"/>
          </w:tcPr>
          <w:p w14:paraId="484E57E3">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石家庄市数据资源管理局</w:t>
            </w:r>
          </w:p>
        </w:tc>
        <w:tc>
          <w:tcPr>
            <w:tcW w:w="1284" w:type="dxa"/>
            <w:vAlign w:val="center"/>
          </w:tcPr>
          <w:p w14:paraId="55B3B147">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行政</w:t>
            </w:r>
          </w:p>
        </w:tc>
        <w:tc>
          <w:tcPr>
            <w:tcW w:w="1224" w:type="dxa"/>
            <w:vAlign w:val="center"/>
          </w:tcPr>
          <w:p w14:paraId="3E18CA89">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正处级</w:t>
            </w:r>
          </w:p>
        </w:tc>
        <w:tc>
          <w:tcPr>
            <w:tcW w:w="2424" w:type="dxa"/>
            <w:vAlign w:val="center"/>
          </w:tcPr>
          <w:p w14:paraId="333415E9">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财政拨款</w:t>
            </w:r>
          </w:p>
        </w:tc>
        <w:tc>
          <w:tcPr>
            <w:tcW w:w="1263" w:type="dxa"/>
            <w:vAlign w:val="center"/>
          </w:tcPr>
          <w:p w14:paraId="53D3D748">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5个</w:t>
            </w:r>
          </w:p>
        </w:tc>
      </w:tr>
      <w:tr w14:paraId="27983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2866" w:type="dxa"/>
            <w:vAlign w:val="center"/>
          </w:tcPr>
          <w:p w14:paraId="3D1C88CB">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石家庄市电子政务中心</w:t>
            </w:r>
          </w:p>
        </w:tc>
        <w:tc>
          <w:tcPr>
            <w:tcW w:w="1284" w:type="dxa"/>
            <w:vAlign w:val="center"/>
          </w:tcPr>
          <w:p w14:paraId="4497867C">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事业</w:t>
            </w:r>
          </w:p>
        </w:tc>
        <w:tc>
          <w:tcPr>
            <w:tcW w:w="1224" w:type="dxa"/>
            <w:vAlign w:val="center"/>
          </w:tcPr>
          <w:p w14:paraId="424B95FD">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副处级</w:t>
            </w:r>
          </w:p>
        </w:tc>
        <w:tc>
          <w:tcPr>
            <w:tcW w:w="2424" w:type="dxa"/>
            <w:vAlign w:val="center"/>
          </w:tcPr>
          <w:p w14:paraId="3A6A246C">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财政性资金基本保证</w:t>
            </w:r>
          </w:p>
        </w:tc>
        <w:tc>
          <w:tcPr>
            <w:tcW w:w="1263" w:type="dxa"/>
            <w:vAlign w:val="center"/>
          </w:tcPr>
          <w:p w14:paraId="4675E33C">
            <w:pPr>
              <w:pStyle w:val="2"/>
              <w:ind w:left="0" w:leftChars="0" w:firstLine="0" w:firstLineChars="0"/>
              <w:jc w:val="both"/>
              <w:rPr>
                <w:rFonts w:hint="eastAsia" w:ascii="微软雅黑" w:hAnsi="微软雅黑" w:eastAsia="微软雅黑" w:cs="微软雅黑"/>
                <w:sz w:val="24"/>
                <w:szCs w:val="24"/>
                <w:vertAlign w:val="baseline"/>
                <w:lang w:val="en-US" w:eastAsia="zh-CN"/>
              </w:rPr>
            </w:pPr>
            <w:r>
              <w:rPr>
                <w:rFonts w:hint="eastAsia" w:ascii="微软雅黑" w:hAnsi="微软雅黑" w:eastAsia="微软雅黑" w:cs="微软雅黑"/>
                <w:sz w:val="24"/>
                <w:szCs w:val="24"/>
                <w:vertAlign w:val="baseline"/>
                <w:lang w:val="en-US" w:eastAsia="zh-CN"/>
              </w:rPr>
              <w:t>5个</w:t>
            </w:r>
          </w:p>
        </w:tc>
      </w:tr>
    </w:tbl>
    <w:p w14:paraId="1E3CEA2A">
      <w:pPr>
        <w:pStyle w:val="2"/>
        <w:ind w:left="0" w:leftChars="0" w:firstLine="0" w:firstLineChars="0"/>
        <w:rPr>
          <w:rFonts w:hint="eastAsia"/>
          <w:lang w:val="en-US" w:eastAsia="zh-CN"/>
        </w:rPr>
      </w:pPr>
    </w:p>
    <w:p w14:paraId="575EFD94">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根据《石家庄市数据资源管理局职能配置、内设机构和人员编制规定》，石家庄市数据资源管理局的主要职责是：</w:t>
      </w:r>
    </w:p>
    <w:p w14:paraId="52316474">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贯彻执行国家、省有关电子政务、智慧城市、政务服务和数据资源管理的方针政策和法律法规，起草相关地方性法规、政府规章草案，拟订全市数据资源管理发展规划、年度计划、政策措施和评价体系并组织实施。</w:t>
      </w:r>
    </w:p>
    <w:p w14:paraId="3AA91966">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2.组织实施国家和地方数据技术标准；研究制定我市数据资源采集、存储、使用、开放、共享等标准规范并监督实施。</w:t>
      </w:r>
    </w:p>
    <w:p w14:paraId="4F6734E1">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3.会同政务服务管理部门做好“互联网+政务服务”工作的规划及有关项目建设工作。负责在线政务服务平台建设。推进在线政务服务平台规范化、标准化、集约化建设。</w:t>
      </w:r>
    </w:p>
    <w:p w14:paraId="527BE0E0">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4.拟订全市政务数据和公共数据资源的目录制定、归集管理、整理利用、共享开放管理办法并组织实施，推动数据资源在政府管理和社会治理领域的应用。</w:t>
      </w:r>
    </w:p>
    <w:p w14:paraId="4E4354D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5.负责市电子政务组织推动工作，负责市政务网络建设管理和党政机关信息化应用建设指导，负责市级智慧城市项目建设和数据资源基础设施建设管理，提出各部门统筹安排市级信息化项目及资金的使用建议。</w:t>
      </w:r>
    </w:p>
    <w:p w14:paraId="4BE6CA3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6.负责全市数据资源、政务信息化领域的对外交流合作；会同有关部门做好全市数据资源、政务信息化人才培养等工作。</w:t>
      </w:r>
    </w:p>
    <w:p w14:paraId="3BC2598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7.负责指导全市经济社会各领域的数据资源开发利用工作，促进全市数据资源产业发展；负责数据资源相关技术研发、行业数据分析成果转化等工作。</w:t>
      </w:r>
    </w:p>
    <w:p w14:paraId="4279EA1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8.负责政府门户网站的建设与管理等工作，指导各县（市、区）政府和市直党政群机关门户网站建设。</w:t>
      </w:r>
    </w:p>
    <w:p w14:paraId="5CF245A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9.负责全市数据资源安全保障体系建设，会同有关部门指导各级各部门政务数据资源和公共数据资源的安全保障工作。</w:t>
      </w:r>
    </w:p>
    <w:p w14:paraId="11BC3692">
      <w:pPr>
        <w:keepNext w:val="0"/>
        <w:keepLines w:val="0"/>
        <w:pageBreakBefore w:val="0"/>
        <w:widowControl w:val="0"/>
        <w:kinsoku/>
        <w:wordWrap/>
        <w:overflowPunct/>
        <w:topLinePunct w:val="0"/>
        <w:autoSpaceDE/>
        <w:autoSpaceDN/>
        <w:bidi w:val="0"/>
        <w:spacing w:line="560" w:lineRule="exact"/>
        <w:ind w:firstLine="640" w:firstLineChars="200"/>
        <w:jc w:val="left"/>
        <w:rPr>
          <w:rFonts w:hint="eastAsia" w:ascii="仿宋_GB2312" w:hAnsi="仿宋_GB2312" w:eastAsia="仿宋_GB2312" w:cs="仿宋_GB2312"/>
          <w:sz w:val="28"/>
        </w:rPr>
      </w:pPr>
      <w:r>
        <w:rPr>
          <w:rFonts w:hint="eastAsia" w:ascii="仿宋_GB2312" w:hAnsi="仿宋_GB2312" w:eastAsia="仿宋_GB2312" w:cs="仿宋_GB2312"/>
          <w:kern w:val="2"/>
          <w:sz w:val="32"/>
          <w:szCs w:val="32"/>
          <w:lang w:val="en-US" w:eastAsia="zh-CN" w:bidi="ar-SA"/>
        </w:rPr>
        <w:t>10.完成市委、市政府交办的其他任务。</w:t>
      </w:r>
    </w:p>
    <w:p w14:paraId="4F73023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部门收支预决算情况</w:t>
      </w:r>
    </w:p>
    <w:p w14:paraId="4AFC7589">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1.部门收入支出情况：</w:t>
      </w:r>
    </w:p>
    <w:p w14:paraId="2529138E">
      <w:pPr>
        <w:keepNext w:val="0"/>
        <w:keepLines w:val="0"/>
        <w:pageBreakBefore w:val="0"/>
        <w:widowControl w:val="0"/>
        <w:kinsoku/>
        <w:wordWrap/>
        <w:overflowPunct/>
        <w:topLinePunct w:val="0"/>
        <w:autoSpaceDE/>
        <w:autoSpaceDN/>
        <w:bidi w:val="0"/>
        <w:spacing w:line="560" w:lineRule="exact"/>
        <w:ind w:firstLine="64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般公共预算财政拨款收入：年初预算数44,445.56万元，全年预算数29,847.34338万元，决算数10,311.091406万元。其中：行政运行收入471.151711万元，一般行政管理事务收入319.309670万元，事业运行收入421.687642万元，其他政府办公厅（室）及相关机构事务收入130.438062万元，行政事业单位养老收入97.63万元，行政单位医疗收入39.72万元，事业单位医疗收入35.37万元，工程建设及运行维护收入8,694.944321万元，住房公积金收入100.84万元。</w:t>
      </w:r>
    </w:p>
    <w:p w14:paraId="66B53C4A">
      <w:pPr>
        <w:keepNext w:val="0"/>
        <w:keepLines w:val="0"/>
        <w:pageBreakBefore w:val="0"/>
        <w:widowControl w:val="0"/>
        <w:kinsoku/>
        <w:wordWrap/>
        <w:overflowPunct/>
        <w:topLinePunct w:val="0"/>
        <w:autoSpaceDE/>
        <w:autoSpaceDN/>
        <w:bidi w:val="0"/>
        <w:spacing w:line="560" w:lineRule="exact"/>
        <w:ind w:firstLine="642"/>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般公共预算财政拨款支出：10,425.078855万元。基中：行政运行支出525.928686万元，一般行政管理事务支出319.309670万元，事业运行支出480.898116万元，其他政府办公厅（室）及相关机构事务支出130.438062万元，行政事业单位养老支出97.63万元，行政单位医疗支出39.72万元，事业单位医疗支出35.37万元，工程建设及运行维护支出8,694.944321万元，住房公积金支出100.84万元。</w:t>
      </w:r>
    </w:p>
    <w:p w14:paraId="64CE2161">
      <w:pPr>
        <w:keepNext w:val="0"/>
        <w:keepLines w:val="0"/>
        <w:pageBreakBefore w:val="0"/>
        <w:widowControl w:val="0"/>
        <w:kinsoku/>
        <w:wordWrap/>
        <w:overflowPunct/>
        <w:topLinePunct w:val="0"/>
        <w:autoSpaceDE/>
        <w:autoSpaceDN/>
        <w:bidi w:val="0"/>
        <w:spacing w:line="560" w:lineRule="exact"/>
        <w:ind w:firstLine="642"/>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 xml:space="preserve">部门整体支出管理及使用情况 </w:t>
      </w:r>
    </w:p>
    <w:p w14:paraId="0DC42B33">
      <w:pPr>
        <w:keepNext w:val="0"/>
        <w:keepLines w:val="0"/>
        <w:pageBreakBefore w:val="0"/>
        <w:widowControl w:val="0"/>
        <w:kinsoku/>
        <w:wordWrap/>
        <w:overflowPunct/>
        <w:topLinePunct w:val="0"/>
        <w:autoSpaceDE/>
        <w:autoSpaceDN/>
        <w:bidi w:val="0"/>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基本支出情况</w:t>
      </w:r>
    </w:p>
    <w:p w14:paraId="6A583B3F">
      <w:pPr>
        <w:keepNext w:val="0"/>
        <w:keepLines w:val="0"/>
        <w:pageBreakBefore w:val="0"/>
        <w:widowControl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年基本支出为</w:t>
      </w:r>
      <w:r>
        <w:rPr>
          <w:rFonts w:hint="eastAsia" w:ascii="仿宋_GB2312" w:hAnsi="仿宋_GB2312" w:eastAsia="仿宋_GB2312" w:cs="仿宋_GB2312"/>
          <w:sz w:val="32"/>
          <w:szCs w:val="32"/>
          <w:lang w:val="en-US" w:eastAsia="zh-CN"/>
        </w:rPr>
        <w:t>1,280.386802</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其中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人员经费为</w:t>
      </w:r>
      <w:r>
        <w:rPr>
          <w:rFonts w:hint="eastAsia" w:ascii="仿宋_GB2312" w:hAnsi="仿宋_GB2312" w:eastAsia="仿宋_GB2312" w:cs="仿宋_GB2312"/>
          <w:sz w:val="32"/>
          <w:szCs w:val="32"/>
          <w:lang w:val="en-US" w:eastAsia="zh-CN"/>
        </w:rPr>
        <w:t>1,187.259095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日常公用经费为</w:t>
      </w:r>
      <w:r>
        <w:rPr>
          <w:rFonts w:hint="eastAsia" w:ascii="仿宋_GB2312" w:hAnsi="仿宋_GB2312" w:eastAsia="仿宋_GB2312" w:cs="仿宋_GB2312"/>
          <w:sz w:val="32"/>
          <w:szCs w:val="32"/>
          <w:lang w:val="en-US" w:eastAsia="zh-CN"/>
        </w:rPr>
        <w:t>93.127707</w:t>
      </w:r>
      <w:r>
        <w:rPr>
          <w:rFonts w:hint="eastAsia" w:ascii="仿宋_GB2312" w:hAnsi="仿宋_GB2312" w:eastAsia="仿宋_GB2312" w:cs="仿宋_GB2312"/>
          <w:sz w:val="32"/>
          <w:szCs w:val="32"/>
        </w:rPr>
        <w:t>万元。 </w:t>
      </w:r>
    </w:p>
    <w:p w14:paraId="1F32E899">
      <w:pPr>
        <w:keepNext w:val="0"/>
        <w:keepLines w:val="0"/>
        <w:pageBreakBefore w:val="0"/>
        <w:widowControl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项目支出情况 </w:t>
      </w:r>
    </w:p>
    <w:p w14:paraId="53B385D3">
      <w:pPr>
        <w:keepNext w:val="0"/>
        <w:keepLines w:val="0"/>
        <w:pageBreakBefore w:val="0"/>
        <w:widowControl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2022年</w:t>
      </w:r>
      <w:r>
        <w:rPr>
          <w:rFonts w:hint="eastAsia" w:ascii="仿宋_GB2312" w:hAnsi="仿宋_GB2312" w:eastAsia="仿宋_GB2312" w:cs="仿宋_GB2312"/>
          <w:sz w:val="32"/>
          <w:szCs w:val="32"/>
        </w:rPr>
        <w:t>项目支出为</w:t>
      </w:r>
      <w:r>
        <w:rPr>
          <w:rFonts w:hint="eastAsia" w:ascii="仿宋_GB2312" w:hAnsi="仿宋_GB2312" w:eastAsia="仿宋_GB2312" w:cs="仿宋_GB2312"/>
          <w:sz w:val="32"/>
          <w:szCs w:val="32"/>
          <w:lang w:val="en-US" w:eastAsia="zh-CN"/>
        </w:rPr>
        <w:t>9,144.692053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即</w:t>
      </w:r>
      <w:r>
        <w:rPr>
          <w:rFonts w:hint="eastAsia" w:ascii="仿宋_GB2312" w:hAnsi="仿宋_GB2312" w:eastAsia="仿宋_GB2312" w:cs="仿宋_GB2312"/>
          <w:sz w:val="32"/>
          <w:szCs w:val="32"/>
          <w:lang w:val="en-US" w:eastAsia="zh-CN"/>
        </w:rPr>
        <w:t>一般行政管理事务</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319.309670万元，其他政府办公厅（室）及相关机构事务</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130.438062万元，工程建设及运行维护</w:t>
      </w:r>
      <w:r>
        <w:rPr>
          <w:rFonts w:hint="eastAsia" w:ascii="仿宋_GB2312" w:hAnsi="仿宋_GB2312" w:eastAsia="仿宋_GB2312" w:cs="仿宋_GB2312"/>
          <w:sz w:val="32"/>
          <w:szCs w:val="32"/>
        </w:rPr>
        <w:t>支出</w:t>
      </w:r>
      <w:r>
        <w:rPr>
          <w:rFonts w:hint="eastAsia" w:ascii="仿宋_GB2312" w:hAnsi="仿宋_GB2312" w:eastAsia="仿宋_GB2312" w:cs="仿宋_GB2312"/>
          <w:sz w:val="32"/>
          <w:szCs w:val="32"/>
          <w:lang w:val="en-US" w:eastAsia="zh-CN"/>
        </w:rPr>
        <w:t>8,694.944321万元。</w:t>
      </w:r>
    </w:p>
    <w:p w14:paraId="6D67C349">
      <w:pPr>
        <w:keepNext w:val="0"/>
        <w:keepLines w:val="0"/>
        <w:pageBreakBefore w:val="0"/>
        <w:widowControl w:val="0"/>
        <w:numPr>
          <w:ilvl w:val="0"/>
          <w:numId w:val="0"/>
        </w:numPr>
        <w:kinsoku/>
        <w:wordWrap/>
        <w:overflowPunct/>
        <w:topLinePunct w:val="0"/>
        <w:autoSpaceDE/>
        <w:autoSpaceDN/>
        <w:bidi w:val="0"/>
        <w:spacing w:line="560" w:lineRule="exact"/>
        <w:ind w:left="642" w:left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 xml:space="preserve">“三公”经费情况 </w:t>
      </w:r>
    </w:p>
    <w:p w14:paraId="3737E061">
      <w:pPr>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因公出国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本单位20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 xml:space="preserve">年无因公出国(境)费。 </w:t>
      </w:r>
    </w:p>
    <w:p w14:paraId="24301A4B">
      <w:pPr>
        <w:keepNext w:val="0"/>
        <w:keepLines w:val="0"/>
        <w:pageBreakBefore w:val="0"/>
        <w:widowControl w:val="0"/>
        <w:kinsoku/>
        <w:wordWrap/>
        <w:overflowPunct/>
        <w:topLinePunct w:val="0"/>
        <w:autoSpaceDE/>
        <w:autoSpaceDN/>
        <w:bidi w:val="0"/>
        <w:spacing w:line="560" w:lineRule="exact"/>
        <w:ind w:firstLine="640" w:firstLineChars="200"/>
        <w:rPr>
          <w:rFonts w:hint="eastAsia" w:ascii="仿宋_GB2312" w:hAnsi="仿宋_GB2312" w:eastAsia="仿宋_GB2312" w:cs="仿宋_GB231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公务用车购置及运行费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公务用车运行费支出20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年决算数为</w:t>
      </w:r>
      <w:r>
        <w:rPr>
          <w:rFonts w:hint="eastAsia" w:ascii="仿宋_GB2312" w:hAnsi="仿宋_GB2312" w:eastAsia="仿宋_GB2312" w:cs="仿宋_GB2312"/>
          <w:sz w:val="32"/>
          <w:szCs w:val="32"/>
          <w:lang w:val="en-US" w:eastAsia="zh-CN"/>
        </w:rPr>
        <w:t>7.873195万元。</w:t>
      </w:r>
    </w:p>
    <w:p w14:paraId="28BDD5A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公务接待费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本单位20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年无公务接待费支出。</w:t>
      </w:r>
    </w:p>
    <w:p w14:paraId="48973A2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3" w:firstLineChars="20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（三）部门整体支出绩效目标、指标</w:t>
      </w:r>
    </w:p>
    <w:p w14:paraId="6E2E48A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仿宋_GB2312" w:hAnsi="仿宋_GB2312" w:eastAsia="仿宋_GB2312" w:cs="仿宋_GB2312"/>
          <w:sz w:val="32"/>
          <w:szCs w:val="32"/>
        </w:rPr>
      </w:pPr>
      <w:bookmarkStart w:id="0" w:name="_Toc63763256"/>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总体绩效目标</w:t>
      </w:r>
      <w:bookmarkEnd w:id="0"/>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TC 总体绩效目标 \f A \l 1 </w:instrText>
      </w:r>
      <w:r>
        <w:rPr>
          <w:rFonts w:hint="eastAsia" w:ascii="仿宋_GB2312" w:hAnsi="仿宋_GB2312" w:eastAsia="仿宋_GB2312" w:cs="仿宋_GB2312"/>
          <w:sz w:val="32"/>
          <w:szCs w:val="32"/>
        </w:rPr>
        <w:fldChar w:fldCharType="end"/>
      </w:r>
    </w:p>
    <w:p w14:paraId="2769B5B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年，深入贯彻习近平新时代中国特色社会主义思想为指导，在市委、市政府领导下，坚持目标导向、问题导向、重点导向，进一步解放思想、强化担当，瞄准全年任务目标靶向，从四个方面下功夫，精准发力不跑偏，持续发力不减压。坚持做优数据服务，全力助推“两个直达”，让“政策直达”更彻底，让“治理直达”更高效；坚持抓好信息化应用，全力支撑“数据赋能”，高效率推进智能化基础设施和应用系统建设，高质量落地“掌上石家庄”等应用系统，高标准打造信息化管理特色应用；坚持聚焦“最多跑一次”，全力深化“互联网+政务”；坚持夯实基础支撑，全力保障“数字化转型”，加强信息化项目全生命周期管理，推进市域治理“一网统管”，优化电子政务网络运行环境。</w:t>
      </w:r>
    </w:p>
    <w:p w14:paraId="5A2346A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outlineLvl w:val="1"/>
        <w:rPr>
          <w:rFonts w:hint="eastAsia" w:ascii="仿宋_GB2312" w:hAnsi="仿宋_GB2312" w:eastAsia="仿宋_GB2312" w:cs="仿宋_GB2312"/>
          <w:sz w:val="32"/>
          <w:szCs w:val="32"/>
        </w:rPr>
      </w:pPr>
      <w:bookmarkStart w:id="1" w:name="_Toc63763257"/>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分项绩效目标</w:t>
      </w:r>
      <w:bookmarkEnd w:id="1"/>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TC 分项绩效目标 \f A \l 1 </w:instrText>
      </w:r>
      <w:r>
        <w:rPr>
          <w:rFonts w:hint="eastAsia" w:ascii="仿宋_GB2312" w:hAnsi="仿宋_GB2312" w:eastAsia="仿宋_GB2312" w:cs="仿宋_GB2312"/>
          <w:sz w:val="32"/>
          <w:szCs w:val="32"/>
        </w:rPr>
        <w:fldChar w:fldCharType="end"/>
      </w:r>
    </w:p>
    <w:p w14:paraId="5D686DF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）谋划数字政府和智慧城市发展规划</w:t>
      </w:r>
    </w:p>
    <w:p w14:paraId="2A701E7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绩效目标：按照统一规划设计、统一建设运营、统一基础设施、统一公共平台、统一数据管理、统一标准规范、统一安全体系的思路，对外整体服务、提升行政效能、助力决策分析，编制</w:t>
      </w:r>
      <w:r>
        <w:rPr>
          <w:rFonts w:hint="eastAsia" w:ascii="仿宋_GB2312" w:hAnsi="仿宋_GB2312" w:eastAsia="仿宋_GB2312" w:cs="仿宋_GB2312"/>
          <w:sz w:val="32"/>
          <w:szCs w:val="32"/>
          <w:lang w:eastAsia="zh-CN"/>
        </w:rPr>
        <w:t>数字政府</w:t>
      </w:r>
      <w:bookmarkStart w:id="2" w:name="_GoBack"/>
      <w:bookmarkEnd w:id="2"/>
      <w:r>
        <w:rPr>
          <w:rFonts w:hint="eastAsia" w:ascii="仿宋_GB2312" w:hAnsi="仿宋_GB2312" w:eastAsia="仿宋_GB2312" w:cs="仿宋_GB2312"/>
          <w:sz w:val="32"/>
          <w:szCs w:val="32"/>
        </w:rPr>
        <w:t>建设三年行动方案（2022-2024）。</w:t>
      </w:r>
    </w:p>
    <w:p w14:paraId="263CEB7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绩效指标：2022年3月底完成方案编制工作，与我市《智慧城市建设三年规划（2019-2021）》相衔接，逐年明确数字政府建设目标、主要任务，以强有力的举措推动数字政府各项改革建设任务落实。</w:t>
      </w:r>
    </w:p>
    <w:p w14:paraId="1C11D64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）推进智能化基础设施建设</w:t>
      </w:r>
    </w:p>
    <w:p w14:paraId="53448E56">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绩效目标：进一步推进智能化基础设施建设，提升共性支撑能力，扎实做好政务云平台建设和管理,为全市智慧城市建设提供稳定、高效的基础软硬件支撑能力。</w:t>
      </w:r>
    </w:p>
    <w:p w14:paraId="508D06C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绩效指标：加快政务云功能优化提升和“信创云”建设，进一步提升政务云承载能力，推进系统资源集约化建设。</w:t>
      </w:r>
    </w:p>
    <w:p w14:paraId="4078103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）信息化项目全流程管理</w:t>
      </w:r>
    </w:p>
    <w:p w14:paraId="60CBDD1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按照国家及省市相关规定，结合我市情况，充分考虑实际业务需求，积极推动协助业务主管部门统筹规划建设跨部门的信息化项目，推进信息共享和业务协同。完善各项管理制度，加强信息化项目全流程管理。</w:t>
      </w:r>
    </w:p>
    <w:p w14:paraId="6D272D2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按照《石家庄市市级政务信息化项目管理办法》组织全市使用市级财政资金的新建信息化项目的申报、审核、“双盲”评审及入库，保障全市90%以上使用市级财政资金的新建信息化项目审核评审，节约财政资金比例大于15%。做好2021年立项建设的信息化项目后期管理等相关工作。</w:t>
      </w:r>
    </w:p>
    <w:p w14:paraId="749E7F1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）电子政务外网网络和安全</w:t>
      </w:r>
    </w:p>
    <w:p w14:paraId="2771289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绩效目标：按照国家和省相关规定，积极推进我市电子政务外网横向到边纵向到底的全面覆盖，保障电子政务外网网络安全、稳定、高效运行。</w:t>
      </w:r>
    </w:p>
    <w:p w14:paraId="7B76CD4F">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加强电子政务外网网络安全基础设施建设，做好机房内网络设备、安全设备、基础环境设施的日常巡检。完成主要设备及系统的硬件维护、软件升级以及网络维护（故障处理）服务。保证系统故障率小于10%，故障维护及时率大于90%。完成电子政务外网、办公专网及互联网的线路维护工作，保证网络安全、稳定运行。保证线路故障率小于5%，非正常断网率小于5%，故障排除率大于98%。根据相关法规、标准和行业规范，组织实施政务网络等系统的等保测评工作，对发现的问题及时做出整改和调整。</w:t>
      </w:r>
    </w:p>
    <w:p w14:paraId="77AD01A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）政府网站管理和运行</w:t>
      </w:r>
    </w:p>
    <w:p w14:paraId="241E42D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按照上级文件要求，结合我市实际，进一步建好、管好、用好政府网站，最大程度发挥网站作用。持续开拓创新，不断加强市政府门户网站信息内容建设,发挥政务公开第一平台的作用。加强常态化监管，逐步规范全市政府网站建设管理工作，不断提高网站服务水平，开创我市政府网站发展新局面。</w:t>
      </w:r>
    </w:p>
    <w:p w14:paraId="049314E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加强市政府门户网站信息发布，及时发布市委、市政府重要会议、活动，政策法规及解读、应急和热点事件的回应等信息，从偏重信息发布向推动公开、互动、办事三位一体均衡发展转变，年录入信息条数超过21000条。政民互动成效显著，对常见咨询类留言1个工作日内答复，一般留言5个工作日内答复，不断提高网民留言办理效率和质量，处理答复率超过95%，提升群众满意度。健全管理制度，进一步规范全市政府网站的建设管理工作，加强队伍建设，不断提高网站工作人员业务能力，强化日常监管，及时发现和解决突出问题，保障不出现重大网络安全事件。</w:t>
      </w:r>
    </w:p>
    <w:p w14:paraId="6EF5E394">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）保障相关应用系统稳定运行</w:t>
      </w:r>
    </w:p>
    <w:p w14:paraId="6C3431E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做好市政府办公室网上办公平台信创替代工作，实现办公系统信创全面替代，提升网上办公效率；市委公务内网主站、电子公文系统、短信系统、电子邮件系统迁移至电子政务外网，实现安全稳定运行。</w:t>
      </w:r>
    </w:p>
    <w:p w14:paraId="28A87C2C">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做好市政府办公室网上办公平台信创替代工作，实现办公系统信创全面替代，保障办公平台系统管理、公文管理、会议管理、提案议案管理等各模块信息畅通，确保办公平台高效稳定运行，如出现故障第一时间进行处理，故障处理率100%；市委公务内网主站、电子公文系统、短信系统、电子邮件系统迁移至电子政务外网，通过应用软件运行维护、技术改造与升级、数据库支持服务、定期系统巡检、网络与硬件调试与支持等手段，进行市委公务内网主站及相关系统维护，出现故障第一时间进行处理，故障解决率100%，实现安全稳定运行。</w:t>
      </w:r>
    </w:p>
    <w:p w14:paraId="64971560">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178EAB8C">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bCs/>
          <w:sz w:val="32"/>
          <w:szCs w:val="32"/>
        </w:rPr>
        <w:t>（一）自评的组织工作</w:t>
      </w:r>
    </w:p>
    <w:p w14:paraId="5EA73530">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为保证绩效评价工作顺利开展，我局成立</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预算绩效</w:t>
      </w:r>
      <w:r>
        <w:rPr>
          <w:rFonts w:hint="eastAsia" w:ascii="仿宋_GB2312" w:hAnsi="仿宋_GB2312" w:eastAsia="仿宋_GB2312" w:cs="仿宋_GB2312"/>
          <w:sz w:val="32"/>
          <w:szCs w:val="32"/>
          <w:lang w:val="en-US" w:eastAsia="zh-CN"/>
        </w:rPr>
        <w:t>评价</w:t>
      </w:r>
      <w:r>
        <w:rPr>
          <w:rFonts w:hint="eastAsia" w:ascii="仿宋_GB2312" w:hAnsi="仿宋_GB2312" w:eastAsia="仿宋_GB2312" w:cs="仿宋_GB2312"/>
          <w:sz w:val="32"/>
          <w:szCs w:val="32"/>
        </w:rPr>
        <w:t>工作领导小组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负责绩效评价的组织管理工作。</w:t>
      </w:r>
    </w:p>
    <w:p w14:paraId="588B5210">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组长</w:t>
      </w:r>
      <w:r>
        <w:rPr>
          <w:rFonts w:hint="eastAsia" w:ascii="仿宋_GB2312" w:hAnsi="仿宋_GB2312" w:eastAsia="仿宋_GB2312" w:cs="仿宋_GB2312"/>
          <w:sz w:val="32"/>
          <w:szCs w:val="32"/>
          <w:highlight w:val="none"/>
          <w:lang w:eastAsia="zh-CN"/>
        </w:rPr>
        <w:t>：崔英民</w:t>
      </w:r>
    </w:p>
    <w:p w14:paraId="12BA68C0">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小组成员：</w:t>
      </w:r>
      <w:r>
        <w:rPr>
          <w:rFonts w:hint="eastAsia" w:ascii="仿宋_GB2312" w:hAnsi="仿宋_GB2312" w:eastAsia="仿宋_GB2312" w:cs="仿宋_GB2312"/>
          <w:sz w:val="32"/>
          <w:szCs w:val="32"/>
          <w:highlight w:val="none"/>
          <w:lang w:eastAsia="zh-CN"/>
        </w:rPr>
        <w:t>郭杰、李双芹、王红芳、连芳、赵琳、程晓伟、刘凯、封晓丽</w:t>
      </w:r>
    </w:p>
    <w:p w14:paraId="6B2B6663">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highlight w:val="none"/>
        </w:rPr>
      </w:pPr>
      <w:r>
        <w:rPr>
          <w:rFonts w:hint="eastAsia" w:ascii="仿宋_GB2312" w:hAnsi="仿宋_GB2312" w:eastAsia="仿宋_GB2312" w:cs="仿宋_GB2312"/>
          <w:sz w:val="32"/>
          <w:szCs w:val="32"/>
          <w:highlight w:val="none"/>
          <w:lang w:val="en-US" w:eastAsia="zh-CN"/>
        </w:rPr>
        <w:t>工作领导小组办公室设在局办公室，郭杰任办公室主任，成员包括孟倩、董韬、张子芳，负责预算绩效自评的编制实施和其他日常事务。</w:t>
      </w:r>
    </w:p>
    <w:p w14:paraId="7EEDCD2D">
      <w:pPr>
        <w:keepNext w:val="0"/>
        <w:keepLines w:val="0"/>
        <w:pageBreakBefore w:val="0"/>
        <w:widowControl w:val="0"/>
        <w:kinsoku/>
        <w:wordWrap/>
        <w:overflowPunct/>
        <w:topLinePunct w:val="0"/>
        <w:autoSpaceDE/>
        <w:autoSpaceDN/>
        <w:bidi w:val="0"/>
        <w:spacing w:line="560" w:lineRule="exact"/>
        <w:ind w:left="0" w:leftChars="0" w:right="0" w:rightChars="0" w:firstLine="643" w:firstLineChars="200"/>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（二）自评的方法和过程</w:t>
      </w:r>
    </w:p>
    <w:p w14:paraId="074641DA">
      <w:pPr>
        <w:keepNext w:val="0"/>
        <w:keepLines w:val="0"/>
        <w:pageBreakBefore w:val="0"/>
        <w:widowControl w:val="0"/>
        <w:kinsoku/>
        <w:wordWrap/>
        <w:overflowPunct/>
        <w:topLinePunct w:val="0"/>
        <w:autoSpaceDE/>
        <w:autoSpaceDN/>
        <w:bidi w:val="0"/>
        <w:spacing w:line="560" w:lineRule="exact"/>
        <w:ind w:left="0" w:leftChars="0" w:right="0" w:rightChars="0" w:firstLine="643" w:firstLineChars="200"/>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自评方法</w:t>
      </w:r>
    </w:p>
    <w:p w14:paraId="12CFD9F7">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b/>
          <w:bCs/>
          <w:sz w:val="32"/>
          <w:szCs w:val="32"/>
        </w:rPr>
      </w:pPr>
      <w:r>
        <w:rPr>
          <w:rFonts w:hint="eastAsia" w:ascii="仿宋_GB2312" w:hAnsi="仿宋_GB2312" w:eastAsia="仿宋_GB2312" w:cs="仿宋_GB2312"/>
          <w:color w:val="000000"/>
          <w:sz w:val="32"/>
          <w:szCs w:val="32"/>
        </w:rPr>
        <w:t>本次评价根据问题导向、系统评价、科学客观、讲求绩效的原则，采用</w:t>
      </w:r>
      <w:r>
        <w:rPr>
          <w:rFonts w:hint="eastAsia" w:ascii="仿宋_GB2312" w:hAnsi="仿宋_GB2312" w:eastAsia="仿宋_GB2312" w:cs="仿宋_GB2312"/>
          <w:color w:val="000000"/>
          <w:sz w:val="32"/>
          <w:szCs w:val="32"/>
          <w:lang w:val="en-US" w:eastAsia="zh-CN"/>
        </w:rPr>
        <w:t>专项项目评价和重点项目</w:t>
      </w:r>
      <w:r>
        <w:rPr>
          <w:rFonts w:hint="eastAsia" w:ascii="仿宋_GB2312" w:hAnsi="仿宋_GB2312" w:eastAsia="仿宋_GB2312" w:cs="仿宋_GB2312"/>
          <w:color w:val="000000"/>
          <w:sz w:val="32"/>
          <w:szCs w:val="32"/>
        </w:rPr>
        <w:t>评价相结合、现场评价和非现场评价相结合、定性分析与定量分析相结合的方式，</w:t>
      </w:r>
      <w:r>
        <w:rPr>
          <w:rFonts w:hint="eastAsia" w:ascii="仿宋_GB2312" w:hAnsi="仿宋_GB2312" w:eastAsia="仿宋_GB2312" w:cs="仿宋_GB2312"/>
          <w:color w:val="000000"/>
          <w:sz w:val="32"/>
          <w:szCs w:val="32"/>
          <w:lang w:val="en-US" w:eastAsia="zh-CN"/>
        </w:rPr>
        <w:t>通过资料收集</w:t>
      </w:r>
      <w:r>
        <w:rPr>
          <w:rFonts w:hint="eastAsia" w:ascii="仿宋_GB2312" w:hAnsi="仿宋_GB2312" w:eastAsia="仿宋_GB2312" w:cs="仿宋_GB2312"/>
          <w:color w:val="000000"/>
          <w:sz w:val="32"/>
          <w:szCs w:val="32"/>
        </w:rPr>
        <w:t>、座谈访谈</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数据分析和指标对比</w:t>
      </w:r>
      <w:r>
        <w:rPr>
          <w:rFonts w:hint="eastAsia" w:ascii="仿宋_GB2312" w:hAnsi="仿宋_GB2312" w:eastAsia="仿宋_GB2312" w:cs="仿宋_GB2312"/>
          <w:color w:val="000000"/>
          <w:sz w:val="32"/>
          <w:szCs w:val="32"/>
        </w:rPr>
        <w:t>等</w:t>
      </w:r>
      <w:r>
        <w:rPr>
          <w:rFonts w:hint="eastAsia" w:ascii="仿宋_GB2312" w:hAnsi="仿宋_GB2312" w:eastAsia="仿宋_GB2312" w:cs="仿宋_GB2312"/>
          <w:color w:val="000000"/>
          <w:sz w:val="32"/>
          <w:szCs w:val="32"/>
          <w:lang w:val="en-US" w:eastAsia="zh-CN"/>
        </w:rPr>
        <w:t>方式综合运用目标评价法、比较法、因素分析法和综合评判等</w:t>
      </w:r>
      <w:r>
        <w:rPr>
          <w:rFonts w:hint="eastAsia" w:ascii="仿宋_GB2312" w:hAnsi="仿宋_GB2312" w:eastAsia="仿宋_GB2312" w:cs="仿宋_GB2312"/>
          <w:color w:val="000000"/>
          <w:sz w:val="32"/>
          <w:szCs w:val="32"/>
        </w:rPr>
        <w:t>方法，对</w:t>
      </w:r>
      <w:r>
        <w:rPr>
          <w:rFonts w:hint="eastAsia" w:ascii="仿宋_GB2312" w:hAnsi="仿宋_GB2312" w:eastAsia="仿宋_GB2312" w:cs="仿宋_GB2312"/>
          <w:color w:val="000000"/>
          <w:sz w:val="32"/>
          <w:szCs w:val="32"/>
          <w:lang w:val="en-US" w:eastAsia="zh-CN"/>
        </w:rPr>
        <w:t>部门整体支出绩效</w:t>
      </w:r>
      <w:r>
        <w:rPr>
          <w:rFonts w:hint="eastAsia" w:ascii="仿宋_GB2312" w:hAnsi="仿宋_GB2312" w:eastAsia="仿宋_GB2312" w:cs="仿宋_GB2312"/>
          <w:color w:val="000000"/>
          <w:sz w:val="32"/>
          <w:szCs w:val="32"/>
        </w:rPr>
        <w:t>进行综合评价。</w:t>
      </w:r>
    </w:p>
    <w:p w14:paraId="220D0A50">
      <w:pPr>
        <w:keepNext w:val="0"/>
        <w:keepLines w:val="0"/>
        <w:pageBreakBefore w:val="0"/>
        <w:widowControl w:val="0"/>
        <w:kinsoku/>
        <w:wordWrap/>
        <w:overflowPunct/>
        <w:topLinePunct w:val="0"/>
        <w:autoSpaceDE/>
        <w:autoSpaceDN/>
        <w:bidi w:val="0"/>
        <w:spacing w:line="560" w:lineRule="exact"/>
        <w:ind w:left="0" w:leftChars="0" w:right="0" w:rightChars="0" w:firstLine="643" w:firstLineChars="200"/>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实施过程</w:t>
      </w:r>
    </w:p>
    <w:p w14:paraId="6CAED9BC">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w:t>
      </w:r>
      <w:r>
        <w:rPr>
          <w:rFonts w:hint="eastAsia" w:ascii="仿宋_GB2312" w:hAnsi="仿宋_GB2312" w:eastAsia="仿宋_GB2312" w:cs="仿宋_GB2312"/>
          <w:sz w:val="32"/>
          <w:szCs w:val="32"/>
          <w:lang w:val="en-US" w:eastAsia="zh-CN"/>
        </w:rPr>
        <w:t>自评</w:t>
      </w:r>
      <w:r>
        <w:rPr>
          <w:rFonts w:hint="eastAsia" w:ascii="仿宋_GB2312" w:hAnsi="仿宋_GB2312" w:eastAsia="仿宋_GB2312" w:cs="仿宋_GB2312"/>
          <w:sz w:val="32"/>
          <w:szCs w:val="32"/>
        </w:rPr>
        <w:t>工作过程包括前期准备、组织实施、撰写评价报告三个阶段。</w:t>
      </w:r>
    </w:p>
    <w:p w14:paraId="5C975666">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前期准备</w:t>
      </w:r>
    </w:p>
    <w:p w14:paraId="6CB3001D">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首先按照</w:t>
      </w:r>
      <w:r>
        <w:rPr>
          <w:rFonts w:hint="eastAsia" w:ascii="仿宋_GB2312" w:hAnsi="仿宋_GB2312" w:eastAsia="仿宋_GB2312" w:cs="仿宋_GB2312"/>
          <w:sz w:val="32"/>
          <w:szCs w:val="32"/>
          <w:lang w:val="en-US" w:eastAsia="zh-CN"/>
        </w:rPr>
        <w:t>财政局自评工作通知的</w:t>
      </w:r>
      <w:r>
        <w:rPr>
          <w:rFonts w:hint="eastAsia" w:ascii="仿宋_GB2312" w:hAnsi="仿宋_GB2312" w:eastAsia="仿宋_GB2312" w:cs="仿宋_GB2312"/>
          <w:sz w:val="32"/>
          <w:szCs w:val="32"/>
        </w:rPr>
        <w:t>要求，明确绩效评价的内容和范围，初步制定绩效评价工作方案</w:t>
      </w:r>
      <w:r>
        <w:rPr>
          <w:rFonts w:hint="eastAsia" w:ascii="仿宋_GB2312" w:hAnsi="仿宋_GB2312" w:eastAsia="仿宋_GB2312" w:cs="仿宋_GB2312"/>
          <w:sz w:val="32"/>
          <w:szCs w:val="32"/>
          <w:lang w:eastAsia="zh-CN"/>
        </w:rPr>
        <w:t>。其次</w:t>
      </w:r>
      <w:r>
        <w:rPr>
          <w:rFonts w:hint="eastAsia" w:ascii="仿宋_GB2312" w:hAnsi="仿宋_GB2312" w:eastAsia="仿宋_GB2312" w:cs="仿宋_GB2312"/>
          <w:sz w:val="32"/>
          <w:szCs w:val="32"/>
        </w:rPr>
        <w:t>是对我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各预算</w:t>
      </w:r>
      <w:r>
        <w:rPr>
          <w:rFonts w:hint="eastAsia" w:ascii="仿宋_GB2312" w:hAnsi="仿宋_GB2312" w:eastAsia="仿宋_GB2312" w:cs="仿宋_GB2312"/>
          <w:sz w:val="32"/>
          <w:szCs w:val="32"/>
          <w:lang w:eastAsia="zh-CN"/>
        </w:rPr>
        <w:t>专项</w:t>
      </w:r>
      <w:r>
        <w:rPr>
          <w:rFonts w:hint="eastAsia" w:ascii="仿宋_GB2312" w:hAnsi="仿宋_GB2312" w:eastAsia="仿宋_GB2312" w:cs="仿宋_GB2312"/>
          <w:sz w:val="32"/>
          <w:szCs w:val="32"/>
        </w:rPr>
        <w:t>项目单独进行打分自评，在资料搜集、信息核实、现场调研、访谈沟通等工作的基础上，挖掘绩效数据，拟定项目产出、项目执行、项目效益等指标体系，评判各项目实施后产生的经济效益、生态效益、社会效益和可持续</w:t>
      </w:r>
      <w:r>
        <w:rPr>
          <w:rFonts w:hint="eastAsia" w:ascii="仿宋_GB2312" w:hAnsi="仿宋_GB2312" w:eastAsia="仿宋_GB2312" w:cs="仿宋_GB2312"/>
          <w:sz w:val="32"/>
          <w:szCs w:val="32"/>
          <w:lang w:eastAsia="zh-CN"/>
        </w:rPr>
        <w:t>影</w:t>
      </w:r>
      <w:r>
        <w:rPr>
          <w:rFonts w:hint="eastAsia" w:ascii="仿宋_GB2312" w:hAnsi="仿宋_GB2312" w:eastAsia="仿宋_GB2312" w:cs="仿宋_GB2312"/>
          <w:sz w:val="32"/>
          <w:szCs w:val="32"/>
        </w:rPr>
        <w:t>响，形成</w:t>
      </w:r>
      <w:r>
        <w:rPr>
          <w:rFonts w:hint="eastAsia" w:ascii="仿宋_GB2312" w:hAnsi="仿宋_GB2312" w:eastAsia="仿宋_GB2312" w:cs="仿宋_GB2312"/>
          <w:sz w:val="32"/>
          <w:szCs w:val="32"/>
          <w:lang w:val="en-US" w:eastAsia="zh-CN"/>
        </w:rPr>
        <w:t>初步方案</w:t>
      </w:r>
      <w:r>
        <w:rPr>
          <w:rFonts w:hint="eastAsia" w:ascii="仿宋_GB2312" w:hAnsi="仿宋_GB2312" w:eastAsia="仿宋_GB2312" w:cs="仿宋_GB2312"/>
          <w:sz w:val="32"/>
          <w:szCs w:val="32"/>
        </w:rPr>
        <w:t>。</w:t>
      </w:r>
    </w:p>
    <w:p w14:paraId="386A21CA">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组织实施</w:t>
      </w:r>
    </w:p>
    <w:p w14:paraId="13B56EF2">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评价工作小组对</w:t>
      </w:r>
      <w:r>
        <w:rPr>
          <w:rFonts w:hint="eastAsia" w:ascii="仿宋_GB2312" w:hAnsi="仿宋_GB2312" w:eastAsia="仿宋_GB2312" w:cs="仿宋_GB2312"/>
          <w:sz w:val="32"/>
          <w:szCs w:val="32"/>
          <w:lang w:val="en-US" w:eastAsia="zh-CN"/>
        </w:rPr>
        <w:t>本部门</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整体支出</w:t>
      </w:r>
      <w:r>
        <w:rPr>
          <w:rFonts w:hint="eastAsia" w:ascii="仿宋_GB2312" w:hAnsi="仿宋_GB2312" w:eastAsia="仿宋_GB2312" w:cs="仿宋_GB2312"/>
          <w:sz w:val="32"/>
          <w:szCs w:val="32"/>
        </w:rPr>
        <w:t>的相关资料进行收集、梳理。首先，通过分析、核实，确保所收集的数据和资料真实、可靠。其次，逐一梳理各</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文件内容，</w:t>
      </w:r>
      <w:r>
        <w:rPr>
          <w:rFonts w:hint="eastAsia" w:ascii="仿宋_GB2312" w:hAnsi="仿宋_GB2312" w:eastAsia="仿宋_GB2312" w:cs="仿宋_GB2312"/>
          <w:sz w:val="32"/>
          <w:szCs w:val="32"/>
          <w:lang w:val="en-US" w:eastAsia="zh-CN"/>
        </w:rPr>
        <w:t>审核数据，对比绩效指标，</w:t>
      </w:r>
      <w:r>
        <w:rPr>
          <w:rFonts w:hint="eastAsia" w:ascii="仿宋_GB2312" w:hAnsi="仿宋_GB2312" w:eastAsia="仿宋_GB2312" w:cs="仿宋_GB2312"/>
          <w:sz w:val="32"/>
          <w:szCs w:val="32"/>
        </w:rPr>
        <w:t>形成</w:t>
      </w:r>
      <w:r>
        <w:rPr>
          <w:rFonts w:hint="eastAsia" w:ascii="仿宋_GB2312" w:hAnsi="仿宋_GB2312" w:eastAsia="仿宋_GB2312" w:cs="仿宋_GB2312"/>
          <w:sz w:val="32"/>
          <w:szCs w:val="32"/>
          <w:lang w:val="en-US" w:eastAsia="zh-CN"/>
        </w:rPr>
        <w:t>评价资料</w:t>
      </w:r>
      <w:r>
        <w:rPr>
          <w:rFonts w:hint="eastAsia" w:ascii="仿宋_GB2312" w:hAnsi="仿宋_GB2312" w:eastAsia="仿宋_GB2312" w:cs="仿宋_GB2312"/>
          <w:sz w:val="32"/>
          <w:szCs w:val="32"/>
        </w:rPr>
        <w:t>清单</w:t>
      </w:r>
      <w:r>
        <w:rPr>
          <w:rFonts w:hint="eastAsia" w:ascii="仿宋_GB2312" w:hAnsi="仿宋_GB2312" w:eastAsia="仿宋_GB2312" w:cs="仿宋_GB2312"/>
          <w:sz w:val="32"/>
          <w:szCs w:val="32"/>
          <w:lang w:eastAsia="zh-CN"/>
        </w:rPr>
        <w:t>，并对存在的问题及时标注出来</w:t>
      </w:r>
      <w:r>
        <w:rPr>
          <w:rFonts w:hint="eastAsia" w:ascii="仿宋_GB2312" w:hAnsi="仿宋_GB2312" w:eastAsia="仿宋_GB2312" w:cs="仿宋_GB2312"/>
          <w:sz w:val="32"/>
          <w:szCs w:val="32"/>
        </w:rPr>
        <w:t>。最后，与</w:t>
      </w:r>
      <w:r>
        <w:rPr>
          <w:rFonts w:hint="eastAsia" w:ascii="仿宋_GB2312" w:hAnsi="仿宋_GB2312" w:eastAsia="仿宋_GB2312" w:cs="仿宋_GB2312"/>
          <w:sz w:val="32"/>
          <w:szCs w:val="32"/>
          <w:lang w:val="en-US" w:eastAsia="zh-CN"/>
        </w:rPr>
        <w:t>各个</w:t>
      </w:r>
      <w:r>
        <w:rPr>
          <w:rFonts w:hint="eastAsia" w:ascii="仿宋_GB2312" w:hAnsi="仿宋_GB2312" w:eastAsia="仿宋_GB2312" w:cs="仿宋_GB2312"/>
          <w:sz w:val="32"/>
          <w:szCs w:val="32"/>
          <w:lang w:eastAsia="zh-CN"/>
        </w:rPr>
        <w:t>项目负责</w:t>
      </w:r>
      <w:r>
        <w:rPr>
          <w:rFonts w:hint="eastAsia" w:ascii="仿宋_GB2312" w:hAnsi="仿宋_GB2312" w:eastAsia="仿宋_GB2312" w:cs="仿宋_GB2312"/>
          <w:sz w:val="32"/>
          <w:szCs w:val="32"/>
          <w:lang w:val="en-US" w:eastAsia="zh-CN"/>
        </w:rPr>
        <w:t>科室</w:t>
      </w:r>
      <w:r>
        <w:rPr>
          <w:rFonts w:hint="eastAsia" w:ascii="仿宋_GB2312" w:hAnsi="仿宋_GB2312" w:eastAsia="仿宋_GB2312" w:cs="仿宋_GB2312"/>
          <w:sz w:val="32"/>
          <w:szCs w:val="32"/>
        </w:rPr>
        <w:t>沟通，直接对照资料清单进行核实，随时</w:t>
      </w:r>
      <w:r>
        <w:rPr>
          <w:rFonts w:hint="eastAsia" w:ascii="仿宋_GB2312" w:hAnsi="仿宋_GB2312" w:eastAsia="仿宋_GB2312" w:cs="仿宋_GB2312"/>
          <w:sz w:val="32"/>
          <w:szCs w:val="32"/>
          <w:lang w:eastAsia="zh-CN"/>
        </w:rPr>
        <w:t>处理标</w:t>
      </w:r>
      <w:r>
        <w:rPr>
          <w:rFonts w:hint="eastAsia" w:ascii="仿宋_GB2312" w:hAnsi="仿宋_GB2312" w:eastAsia="仿宋_GB2312" w:cs="仿宋_GB2312"/>
          <w:sz w:val="32"/>
          <w:szCs w:val="32"/>
        </w:rPr>
        <w:t>注</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问题，确保已提交</w:t>
      </w:r>
      <w:r>
        <w:rPr>
          <w:rFonts w:hint="eastAsia" w:ascii="仿宋_GB2312" w:hAnsi="仿宋_GB2312" w:eastAsia="仿宋_GB2312" w:cs="仿宋_GB2312"/>
          <w:sz w:val="32"/>
          <w:szCs w:val="32"/>
          <w:lang w:eastAsia="zh-CN"/>
        </w:rPr>
        <w:t>及需补充的</w:t>
      </w:r>
      <w:r>
        <w:rPr>
          <w:rFonts w:hint="eastAsia" w:ascii="仿宋_GB2312" w:hAnsi="仿宋_GB2312" w:eastAsia="仿宋_GB2312" w:cs="仿宋_GB2312"/>
          <w:sz w:val="32"/>
          <w:szCs w:val="32"/>
        </w:rPr>
        <w:t>资料</w:t>
      </w:r>
      <w:r>
        <w:rPr>
          <w:rFonts w:hint="eastAsia" w:ascii="仿宋_GB2312" w:hAnsi="仿宋_GB2312" w:eastAsia="仿宋_GB2312" w:cs="仿宋_GB2312"/>
          <w:sz w:val="32"/>
          <w:szCs w:val="32"/>
          <w:lang w:eastAsia="zh-CN"/>
        </w:rPr>
        <w:t>能准确反映项目绩效目标实现情况</w:t>
      </w:r>
      <w:r>
        <w:rPr>
          <w:rFonts w:hint="eastAsia" w:ascii="仿宋_GB2312" w:hAnsi="仿宋_GB2312" w:eastAsia="仿宋_GB2312" w:cs="仿宋_GB2312"/>
          <w:sz w:val="32"/>
          <w:szCs w:val="32"/>
        </w:rPr>
        <w:t>。</w:t>
      </w:r>
    </w:p>
    <w:p w14:paraId="2FC09215">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撰写绩效评价报告</w:t>
      </w:r>
    </w:p>
    <w:p w14:paraId="3438F8BA">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小组成员在对收集</w:t>
      </w:r>
      <w:r>
        <w:rPr>
          <w:rFonts w:hint="eastAsia" w:ascii="仿宋_GB2312" w:hAnsi="仿宋_GB2312" w:eastAsia="仿宋_GB2312" w:cs="仿宋_GB2312"/>
          <w:sz w:val="32"/>
          <w:szCs w:val="32"/>
          <w:lang w:eastAsia="zh-CN"/>
        </w:rPr>
        <w:t>到</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数据、资料进行核对、比较、计算的基础上，</w:t>
      </w:r>
      <w:r>
        <w:rPr>
          <w:rFonts w:hint="eastAsia" w:ascii="仿宋_GB2312" w:hAnsi="仿宋_GB2312" w:eastAsia="仿宋_GB2312" w:cs="仿宋_GB2312"/>
          <w:sz w:val="32"/>
          <w:szCs w:val="32"/>
          <w:lang w:val="en-US" w:eastAsia="zh-CN"/>
        </w:rPr>
        <w:t>同时审核部门整体支出与预算支出计划相符性，结合各个项目指标完成数据和评价结论并进行归集汇总，审核评价部门整体绩效目标和分项目标的完成情况。</w:t>
      </w:r>
      <w:r>
        <w:rPr>
          <w:rFonts w:hint="eastAsia" w:ascii="仿宋_GB2312" w:hAnsi="仿宋_GB2312" w:eastAsia="仿宋_GB2312" w:cs="仿宋_GB2312"/>
          <w:sz w:val="32"/>
          <w:szCs w:val="32"/>
        </w:rPr>
        <w:t>对比年</w:t>
      </w:r>
      <w:r>
        <w:rPr>
          <w:rFonts w:hint="eastAsia" w:ascii="仿宋_GB2312" w:hAnsi="仿宋_GB2312" w:eastAsia="仿宋_GB2312" w:cs="仿宋_GB2312"/>
          <w:sz w:val="32"/>
          <w:szCs w:val="32"/>
          <w:lang w:eastAsia="zh-CN"/>
        </w:rPr>
        <w:t>初</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绩效目标，形成评价结论；根据</w:t>
      </w:r>
      <w:r>
        <w:rPr>
          <w:rFonts w:hint="eastAsia" w:ascii="仿宋_GB2312" w:hAnsi="仿宋_GB2312" w:eastAsia="仿宋_GB2312" w:cs="仿宋_GB2312"/>
          <w:sz w:val="32"/>
          <w:szCs w:val="32"/>
          <w:lang w:eastAsia="zh-CN"/>
        </w:rPr>
        <w:t>结</w:t>
      </w:r>
      <w:r>
        <w:rPr>
          <w:rFonts w:hint="eastAsia" w:ascii="仿宋_GB2312" w:hAnsi="仿宋_GB2312" w:eastAsia="仿宋_GB2312" w:cs="仿宋_GB2312"/>
          <w:sz w:val="32"/>
          <w:szCs w:val="32"/>
        </w:rPr>
        <w:t>论，撰写</w:t>
      </w:r>
      <w:r>
        <w:rPr>
          <w:rFonts w:hint="eastAsia" w:ascii="仿宋_GB2312" w:hAnsi="仿宋_GB2312" w:eastAsia="仿宋_GB2312" w:cs="仿宋_GB2312"/>
          <w:sz w:val="32"/>
          <w:szCs w:val="32"/>
          <w:lang w:val="en-US" w:eastAsia="zh-CN"/>
        </w:rPr>
        <w:t>部门整体支出</w:t>
      </w:r>
      <w:r>
        <w:rPr>
          <w:rFonts w:hint="eastAsia" w:ascii="仿宋_GB2312" w:hAnsi="仿宋_GB2312" w:eastAsia="仿宋_GB2312" w:cs="仿宋_GB2312"/>
          <w:sz w:val="32"/>
          <w:szCs w:val="32"/>
        </w:rPr>
        <w:t>绩效评价报告。</w:t>
      </w:r>
    </w:p>
    <w:p w14:paraId="19A68954">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hint="eastAsia" w:ascii="黑体" w:hAnsi="黑体" w:eastAsia="黑体"/>
          <w:b/>
          <w:bCs/>
          <w:sz w:val="32"/>
          <w:szCs w:val="32"/>
          <w:highlight w:val="none"/>
          <w:lang w:eastAsia="zh-CN"/>
        </w:rPr>
      </w:pPr>
      <w:r>
        <w:rPr>
          <w:rFonts w:hint="eastAsia" w:ascii="仿宋" w:hAnsi="仿宋" w:eastAsia="仿宋" w:cs="楷体_GB2312"/>
          <w:b/>
          <w:bCs/>
          <w:sz w:val="32"/>
          <w:szCs w:val="32"/>
          <w:highlight w:val="none"/>
        </w:rPr>
        <w:t xml:space="preserve">    </w:t>
      </w:r>
      <w:r>
        <w:rPr>
          <w:rFonts w:hint="eastAsia" w:ascii="仿宋" w:hAnsi="仿宋" w:eastAsia="仿宋"/>
          <w:b/>
          <w:bCs/>
          <w:sz w:val="32"/>
          <w:szCs w:val="32"/>
          <w:highlight w:val="none"/>
        </w:rPr>
        <w:t xml:space="preserve"> </w:t>
      </w:r>
      <w:r>
        <w:rPr>
          <w:rFonts w:hint="eastAsia" w:ascii="黑体" w:hAnsi="黑体" w:eastAsia="黑体"/>
          <w:sz w:val="32"/>
          <w:szCs w:val="32"/>
          <w:highlight w:val="none"/>
        </w:rPr>
        <w:t>三、</w:t>
      </w:r>
      <w:r>
        <w:rPr>
          <w:rFonts w:hint="eastAsia" w:ascii="黑体" w:hAnsi="黑体" w:eastAsia="黑体"/>
          <w:sz w:val="32"/>
          <w:szCs w:val="32"/>
          <w:highlight w:val="none"/>
          <w:lang w:eastAsia="zh-CN"/>
        </w:rPr>
        <w:t>部门整体支出</w:t>
      </w:r>
      <w:r>
        <w:rPr>
          <w:rFonts w:hint="eastAsia" w:ascii="黑体" w:hAnsi="黑体" w:eastAsia="黑体"/>
          <w:sz w:val="32"/>
          <w:szCs w:val="32"/>
          <w:highlight w:val="none"/>
        </w:rPr>
        <w:t>绩效</w:t>
      </w:r>
      <w:r>
        <w:rPr>
          <w:rFonts w:hint="eastAsia" w:ascii="黑体" w:hAnsi="黑体" w:eastAsia="黑体"/>
          <w:sz w:val="32"/>
          <w:szCs w:val="32"/>
          <w:highlight w:val="none"/>
          <w:lang w:eastAsia="zh-CN"/>
        </w:rPr>
        <w:t>目标实现情况及指标分析</w:t>
      </w:r>
    </w:p>
    <w:p w14:paraId="7BDE3440">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3" w:firstLineChars="200"/>
        <w:textAlignment w:val="auto"/>
        <w:outlineLvl w:val="9"/>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lang w:eastAsia="zh-CN"/>
        </w:rPr>
        <w:t>（</w:t>
      </w:r>
      <w:r>
        <w:rPr>
          <w:rFonts w:hint="eastAsia" w:ascii="仿宋_GB2312" w:hAnsi="仿宋_GB2312" w:eastAsia="仿宋_GB2312" w:cs="仿宋_GB2312"/>
          <w:b/>
          <w:bCs/>
          <w:sz w:val="32"/>
          <w:szCs w:val="32"/>
          <w:highlight w:val="none"/>
          <w:lang w:val="en-US" w:eastAsia="zh-CN"/>
        </w:rPr>
        <w:t>一</w:t>
      </w:r>
      <w:r>
        <w:rPr>
          <w:rFonts w:hint="eastAsia" w:ascii="仿宋_GB2312" w:hAnsi="仿宋_GB2312" w:eastAsia="仿宋_GB2312" w:cs="仿宋_GB2312"/>
          <w:b/>
          <w:bCs/>
          <w:sz w:val="32"/>
          <w:szCs w:val="32"/>
          <w:highlight w:val="none"/>
          <w:lang w:eastAsia="zh-CN"/>
        </w:rPr>
        <w:t>）总体绩效目标实现情况</w:t>
      </w:r>
    </w:p>
    <w:p w14:paraId="49323E8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 w:cs="Times New Roman"/>
          <w:sz w:val="32"/>
          <w:szCs w:val="32"/>
          <w:lang w:eastAsia="zh-CN"/>
        </w:rPr>
      </w:pPr>
      <w:r>
        <w:rPr>
          <w:rFonts w:hint="default" w:ascii="Times New Roman" w:hAnsi="Times New Roman" w:eastAsia="仿宋" w:cs="Times New Roman"/>
          <w:sz w:val="32"/>
          <w:szCs w:val="32"/>
        </w:rPr>
        <w:t>202</w:t>
      </w:r>
      <w:r>
        <w:rPr>
          <w:rFonts w:hint="default" w:ascii="Times New Roman" w:hAnsi="Times New Roman" w:eastAsia="仿宋" w:cs="Times New Roman"/>
          <w:sz w:val="32"/>
          <w:szCs w:val="32"/>
          <w:lang w:val="en-US" w:eastAsia="zh-CN"/>
        </w:rPr>
        <w:t>2</w:t>
      </w:r>
      <w:r>
        <w:rPr>
          <w:rFonts w:hint="default" w:ascii="Times New Roman" w:hAnsi="Times New Roman" w:eastAsia="仿宋" w:cs="Times New Roman"/>
          <w:sz w:val="32"/>
          <w:szCs w:val="32"/>
        </w:rPr>
        <w:t>年以来，我局按照</w:t>
      </w:r>
      <w:r>
        <w:rPr>
          <w:rFonts w:hint="default" w:ascii="Times New Roman" w:hAnsi="Times New Roman" w:eastAsia="仿宋" w:cs="Times New Roman"/>
          <w:sz w:val="32"/>
          <w:szCs w:val="32"/>
          <w:lang w:eastAsia="zh-CN"/>
        </w:rPr>
        <w:t>市委</w:t>
      </w:r>
      <w:r>
        <w:rPr>
          <w:rFonts w:hint="default" w:ascii="Times New Roman" w:hAnsi="Times New Roman" w:eastAsia="仿宋" w:cs="Times New Roman"/>
          <w:color w:val="FF0000"/>
          <w:sz w:val="32"/>
          <w:szCs w:val="32"/>
          <w:lang w:eastAsia="zh-CN"/>
        </w:rPr>
        <w:t>、</w:t>
      </w:r>
      <w:r>
        <w:rPr>
          <w:rFonts w:hint="default" w:ascii="Times New Roman" w:hAnsi="Times New Roman" w:eastAsia="仿宋" w:cs="Times New Roman"/>
          <w:sz w:val="32"/>
          <w:szCs w:val="32"/>
          <w:lang w:eastAsia="zh-CN"/>
        </w:rPr>
        <w:t>市政府加快推进</w:t>
      </w:r>
      <w:r>
        <w:rPr>
          <w:rFonts w:hint="default" w:ascii="Times New Roman" w:hAnsi="Times New Roman" w:eastAsia="仿宋" w:cs="Times New Roman"/>
          <w:sz w:val="32"/>
          <w:szCs w:val="32"/>
        </w:rPr>
        <w:t>数字政府建设</w:t>
      </w:r>
      <w:r>
        <w:rPr>
          <w:rFonts w:hint="default" w:ascii="Times New Roman" w:hAnsi="Times New Roman" w:eastAsia="仿宋" w:cs="Times New Roman"/>
          <w:sz w:val="32"/>
          <w:szCs w:val="32"/>
          <w:lang w:eastAsia="zh-CN"/>
        </w:rPr>
        <w:t>的</w:t>
      </w:r>
      <w:r>
        <w:rPr>
          <w:rFonts w:hint="default" w:ascii="Times New Roman" w:hAnsi="Times New Roman" w:eastAsia="仿宋" w:cs="Times New Roman"/>
          <w:sz w:val="32"/>
          <w:szCs w:val="32"/>
        </w:rPr>
        <w:t>总体要求，紧紧围绕中央、省、市关于</w:t>
      </w:r>
      <w:r>
        <w:rPr>
          <w:rFonts w:hint="default" w:ascii="Times New Roman" w:hAnsi="Times New Roman" w:cs="Times New Roman"/>
          <w:sz w:val="32"/>
          <w:szCs w:val="32"/>
          <w:lang w:eastAsia="zh-CN"/>
        </w:rPr>
        <w:t>“</w:t>
      </w:r>
      <w:r>
        <w:rPr>
          <w:rFonts w:hint="default" w:ascii="Times New Roman" w:hAnsi="Times New Roman" w:eastAsia="仿宋" w:cs="Times New Roman"/>
          <w:sz w:val="32"/>
          <w:szCs w:val="32"/>
          <w:lang w:eastAsia="zh-CN"/>
        </w:rPr>
        <w:t>互联网</w:t>
      </w:r>
      <w:r>
        <w:rPr>
          <w:rFonts w:hint="default" w:ascii="Times New Roman" w:hAnsi="Times New Roman" w:eastAsia="仿宋" w:cs="Times New Roman"/>
          <w:sz w:val="32"/>
          <w:szCs w:val="32"/>
          <w:lang w:val="en-US" w:eastAsia="zh-CN"/>
        </w:rPr>
        <w:t>+政务服务</w:t>
      </w:r>
      <w:r>
        <w:rPr>
          <w:rFonts w:hint="default" w:ascii="Times New Roman" w:hAnsi="Times New Roman" w:cs="Times New Roman"/>
          <w:sz w:val="32"/>
          <w:szCs w:val="32"/>
          <w:lang w:val="en-US" w:eastAsia="zh-CN"/>
        </w:rPr>
        <w:t>”</w:t>
      </w:r>
      <w:r>
        <w:rPr>
          <w:rFonts w:hint="default" w:ascii="Times New Roman" w:hAnsi="Times New Roman" w:eastAsia="仿宋" w:cs="Times New Roman"/>
          <w:sz w:val="32"/>
          <w:szCs w:val="32"/>
        </w:rPr>
        <w:t>、智慧城市建设和优</w:t>
      </w:r>
      <w:r>
        <w:rPr>
          <w:rFonts w:hint="default" w:ascii="Times New Roman" w:hAnsi="Times New Roman" w:eastAsia="仿宋" w:cs="Times New Roman"/>
          <w:sz w:val="32"/>
          <w:szCs w:val="32"/>
          <w:lang w:eastAsia="zh-CN"/>
        </w:rPr>
        <w:t>化</w:t>
      </w:r>
      <w:r>
        <w:rPr>
          <w:rFonts w:hint="default" w:ascii="Times New Roman" w:hAnsi="Times New Roman" w:eastAsia="仿宋" w:cs="Times New Roman"/>
          <w:sz w:val="32"/>
          <w:szCs w:val="32"/>
        </w:rPr>
        <w:t>营商环境的一系列决策部署，以</w:t>
      </w:r>
      <w:r>
        <w:rPr>
          <w:rFonts w:hint="default" w:ascii="Times New Roman" w:hAnsi="Times New Roman" w:eastAsia="仿宋" w:cs="Times New Roman"/>
          <w:sz w:val="32"/>
          <w:szCs w:val="32"/>
          <w:lang w:eastAsia="zh-CN"/>
        </w:rPr>
        <w:t>全面贯彻落实习近平新时代中国特色社会主义</w:t>
      </w:r>
      <w:r>
        <w:rPr>
          <w:rFonts w:hint="eastAsia" w:ascii="Times New Roman" w:hAnsi="Times New Roman" w:eastAsia="仿宋" w:cs="Times New Roman"/>
          <w:sz w:val="32"/>
          <w:szCs w:val="32"/>
          <w:lang w:eastAsia="zh-CN"/>
        </w:rPr>
        <w:t>思想</w:t>
      </w:r>
      <w:r>
        <w:rPr>
          <w:rFonts w:hint="default" w:ascii="Times New Roman" w:hAnsi="Times New Roman" w:eastAsia="仿宋" w:cs="Times New Roman"/>
          <w:sz w:val="32"/>
          <w:szCs w:val="32"/>
        </w:rPr>
        <w:t>为引领，坚守</w:t>
      </w:r>
      <w:r>
        <w:rPr>
          <w:rFonts w:hint="default" w:ascii="Times New Roman" w:hAnsi="Times New Roman" w:cs="Times New Roman"/>
          <w:sz w:val="32"/>
          <w:szCs w:val="32"/>
          <w:lang w:eastAsia="zh-CN"/>
        </w:rPr>
        <w:t>“</w:t>
      </w:r>
      <w:r>
        <w:rPr>
          <w:rFonts w:hint="default" w:ascii="Times New Roman" w:hAnsi="Times New Roman" w:eastAsia="仿宋" w:cs="Times New Roman"/>
          <w:sz w:val="32"/>
          <w:szCs w:val="32"/>
        </w:rPr>
        <w:t>以人民为</w:t>
      </w:r>
      <w:r>
        <w:rPr>
          <w:rFonts w:hint="default" w:ascii="Times New Roman" w:hAnsi="Times New Roman" w:eastAsia="仿宋" w:cs="Times New Roman"/>
          <w:sz w:val="32"/>
          <w:szCs w:val="32"/>
          <w:lang w:eastAsia="zh-CN"/>
        </w:rPr>
        <w:t>中心</w:t>
      </w:r>
      <w:r>
        <w:rPr>
          <w:rFonts w:hint="default" w:ascii="Times New Roman" w:hAnsi="Times New Roman" w:cs="Times New Roman"/>
          <w:sz w:val="32"/>
          <w:szCs w:val="32"/>
          <w:lang w:eastAsia="zh-CN"/>
        </w:rPr>
        <w:t>”</w:t>
      </w:r>
      <w:r>
        <w:rPr>
          <w:rFonts w:hint="default" w:ascii="Times New Roman" w:hAnsi="Times New Roman" w:eastAsia="仿宋" w:cs="Times New Roman"/>
          <w:sz w:val="32"/>
          <w:szCs w:val="32"/>
          <w:lang w:eastAsia="zh-CN"/>
        </w:rPr>
        <w:t>的理念，立足</w:t>
      </w:r>
      <w:r>
        <w:rPr>
          <w:rFonts w:hint="default" w:ascii="Times New Roman" w:hAnsi="Times New Roman" w:cs="Times New Roman"/>
          <w:sz w:val="32"/>
          <w:szCs w:val="32"/>
          <w:lang w:eastAsia="zh-CN"/>
        </w:rPr>
        <w:t>“</w:t>
      </w:r>
      <w:r>
        <w:rPr>
          <w:rFonts w:hint="default" w:ascii="Times New Roman" w:hAnsi="Times New Roman" w:eastAsia="仿宋" w:cs="Times New Roman"/>
          <w:sz w:val="32"/>
          <w:szCs w:val="32"/>
          <w:lang w:eastAsia="zh-CN"/>
        </w:rPr>
        <w:t>数、智、云、网、安</w:t>
      </w:r>
      <w:r>
        <w:rPr>
          <w:rFonts w:hint="default" w:ascii="Times New Roman" w:hAnsi="Times New Roman" w:cs="Times New Roman"/>
          <w:sz w:val="32"/>
          <w:szCs w:val="32"/>
          <w:lang w:eastAsia="zh-CN"/>
        </w:rPr>
        <w:t>”</w:t>
      </w:r>
      <w:r>
        <w:rPr>
          <w:rFonts w:hint="default" w:ascii="Times New Roman" w:hAnsi="Times New Roman" w:eastAsia="仿宋" w:cs="Times New Roman"/>
          <w:sz w:val="32"/>
          <w:szCs w:val="32"/>
          <w:lang w:eastAsia="zh-CN"/>
        </w:rPr>
        <w:t>主业主责，不断完善我市数字政府改革建设管理模式，</w:t>
      </w:r>
      <w:r>
        <w:rPr>
          <w:rFonts w:hint="default" w:ascii="Times New Roman" w:hAnsi="Times New Roman" w:eastAsia="仿宋" w:cs="Times New Roman"/>
          <w:sz w:val="32"/>
          <w:szCs w:val="32"/>
          <w:lang w:val="en-US" w:eastAsia="zh-CN"/>
        </w:rPr>
        <w:t>紧紧抓住</w:t>
      </w:r>
      <w:r>
        <w:rPr>
          <w:rFonts w:hint="default" w:ascii="Times New Roman" w:hAnsi="Times New Roman" w:eastAsia="仿宋" w:cs="Times New Roman"/>
          <w:sz w:val="32"/>
          <w:szCs w:val="32"/>
          <w:lang w:eastAsia="zh-CN"/>
        </w:rPr>
        <w:t>省委、省政府支持省会</w:t>
      </w:r>
      <w:r>
        <w:rPr>
          <w:rFonts w:hint="default" w:ascii="Times New Roman" w:hAnsi="Times New Roman" w:eastAsia="仿宋" w:cs="Times New Roman"/>
          <w:sz w:val="32"/>
          <w:szCs w:val="32"/>
          <w:lang w:val="en-US" w:eastAsia="zh-CN"/>
        </w:rPr>
        <w:t>建设和高质量</w:t>
      </w:r>
      <w:r>
        <w:rPr>
          <w:rFonts w:hint="default" w:ascii="Times New Roman" w:hAnsi="Times New Roman" w:eastAsia="仿宋" w:cs="Times New Roman"/>
          <w:sz w:val="32"/>
          <w:szCs w:val="32"/>
          <w:lang w:eastAsia="zh-CN"/>
        </w:rPr>
        <w:t>发展重大机遇，</w:t>
      </w:r>
      <w:r>
        <w:rPr>
          <w:rFonts w:hint="default" w:ascii="Times New Roman" w:hAnsi="Times New Roman" w:eastAsia="仿宋" w:cs="Times New Roman"/>
          <w:sz w:val="32"/>
          <w:szCs w:val="32"/>
          <w:lang w:val="en-US" w:eastAsia="zh-CN"/>
        </w:rPr>
        <w:t>探索</w:t>
      </w:r>
      <w:r>
        <w:rPr>
          <w:rFonts w:hint="default" w:ascii="Times New Roman" w:hAnsi="Times New Roman" w:eastAsia="仿宋" w:cs="Times New Roman"/>
          <w:sz w:val="32"/>
          <w:szCs w:val="32"/>
          <w:lang w:eastAsia="zh-CN"/>
        </w:rPr>
        <w:t>赋能经济发展、社会治理、公共服务等领域发展，努力为打造现代化、国际化美丽省会城市提供有力支撑。</w:t>
      </w:r>
    </w:p>
    <w:p w14:paraId="23078F99">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 xml:space="preserve">    （二）</w:t>
      </w:r>
      <w:r>
        <w:rPr>
          <w:rFonts w:hint="eastAsia" w:ascii="仿宋_GB2312" w:hAnsi="仿宋_GB2312" w:eastAsia="仿宋_GB2312" w:cs="仿宋_GB2312"/>
          <w:b/>
          <w:bCs/>
          <w:sz w:val="32"/>
          <w:szCs w:val="32"/>
          <w:lang w:eastAsia="zh-CN"/>
        </w:rPr>
        <w:t>分项绩效目标实现情况及指标分析</w:t>
      </w:r>
    </w:p>
    <w:p w14:paraId="304895F2">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1.强化规划引领，突出顶层设计，编制《石家庄市数字政府建设三年行动方案（2022-2024）》</w:t>
      </w:r>
    </w:p>
    <w:p w14:paraId="1DFAACB1">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统一规划设计、统一建设运营、统一基础设施、统一公共平台、统一数据管理、统一标准规范、统一安全体系的思路，完成《石家庄市数字政府建设三年行动方案（2022-2024年）》编制，与我市《智慧城市建设三年规划（2019-2021）》相衔接，整体分析了我市数字政府建设现状、面临问题和总体思路，逐年明确数字政府建设目标、主要任务，以强有力的举措推动数字政府各项改革建设任务落实。《方案》已于10月12日经市政府常务会审议通过，并于11月6日以市政府名义印发。</w:t>
      </w:r>
    </w:p>
    <w:p w14:paraId="583DDBD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2.强化资源整合，突出稳定高效，扎实做好政务云平台建设和管理</w:t>
      </w:r>
    </w:p>
    <w:p w14:paraId="3929F39B">
      <w:pPr>
        <w:keepNext w:val="0"/>
        <w:keepLines w:val="0"/>
        <w:pageBreakBefore w:val="0"/>
        <w:widowControl w:val="0"/>
        <w:kinsoku/>
        <w:wordWrap/>
        <w:overflowPunct/>
        <w:topLinePunct w:val="0"/>
        <w:autoSpaceDE/>
        <w:autoSpaceDN/>
        <w:bidi w:val="0"/>
        <w:snapToGrid/>
        <w:spacing w:line="560" w:lineRule="exact"/>
        <w:ind w:firstLine="640" w:firstLineChars="200"/>
        <w:jc w:val="both"/>
        <w:rPr>
          <w:rFonts w:hint="default" w:ascii="Times New Roman" w:hAnsi="Times New Roman" w:eastAsia="仿宋" w:cs="Times New Roman"/>
          <w:kern w:val="2"/>
          <w:sz w:val="32"/>
          <w:szCs w:val="32"/>
          <w:lang w:val="zh-CN" w:eastAsia="zh-CN" w:bidi="ar-SA"/>
        </w:rPr>
      </w:pPr>
      <w:r>
        <w:rPr>
          <w:rFonts w:hint="default" w:ascii="Times New Roman" w:hAnsi="Times New Roman" w:eastAsia="仿宋" w:cs="Times New Roman"/>
          <w:kern w:val="2"/>
          <w:sz w:val="32"/>
          <w:szCs w:val="32"/>
          <w:lang w:val="zh-CN" w:eastAsia="zh-CN" w:bidi="ar-SA"/>
        </w:rPr>
        <w:t>进一步推进智能化基础设施建设，提升共性支撑能力，按照规范化、标准化、集约化的要求，积极推动部门业务系统迁云和新建系统云上部署，强化资源整合，降低运行维护成本。截至目前已有36个市级部门82个业务系统部署在市政务云平台。启动市级</w:t>
      </w:r>
      <w:r>
        <w:rPr>
          <w:rFonts w:hint="default" w:ascii="Times New Roman" w:hAnsi="Times New Roman" w:cs="Times New Roman"/>
          <w:kern w:val="2"/>
          <w:sz w:val="32"/>
          <w:szCs w:val="32"/>
          <w:lang w:val="zh-CN" w:eastAsia="zh-CN" w:bidi="ar-SA"/>
        </w:rPr>
        <w:t>“</w:t>
      </w:r>
      <w:r>
        <w:rPr>
          <w:rFonts w:hint="default" w:ascii="Times New Roman" w:hAnsi="Times New Roman" w:eastAsia="仿宋" w:cs="Times New Roman"/>
          <w:kern w:val="2"/>
          <w:sz w:val="32"/>
          <w:szCs w:val="32"/>
          <w:lang w:val="zh-CN" w:eastAsia="zh-CN" w:bidi="ar-SA"/>
        </w:rPr>
        <w:t>信创云</w:t>
      </w:r>
      <w:r>
        <w:rPr>
          <w:rFonts w:hint="default" w:ascii="Times New Roman" w:hAnsi="Times New Roman" w:cs="Times New Roman"/>
          <w:kern w:val="2"/>
          <w:sz w:val="32"/>
          <w:szCs w:val="32"/>
          <w:lang w:val="zh-CN" w:eastAsia="zh-CN" w:bidi="ar-SA"/>
        </w:rPr>
        <w:t>”</w:t>
      </w:r>
      <w:r>
        <w:rPr>
          <w:rFonts w:hint="default" w:ascii="Times New Roman" w:hAnsi="Times New Roman" w:eastAsia="仿宋" w:cs="Times New Roman"/>
          <w:kern w:val="2"/>
          <w:sz w:val="32"/>
          <w:szCs w:val="32"/>
          <w:lang w:val="zh-CN" w:eastAsia="zh-CN" w:bidi="ar-SA"/>
        </w:rPr>
        <w:t>建设，进一步提升政务云承载能力，推进系统资源集约化建设，为全市智慧城市建设提供稳定、高效的基础软硬件支撑能力。启动政务云平台数据支撑能力提升工程，完善政务数据资源支撑体系、政务应用支撑体系等基础平台功能，提高对政务数据录入、治理清洗、脱敏等处理的能力和政务应用等共性支撑能力，赋能部门系统应用，筑牢数字政府应用支撑和数据支撑</w:t>
      </w:r>
      <w:r>
        <w:rPr>
          <w:rFonts w:hint="default" w:ascii="Times New Roman" w:hAnsi="Times New Roman" w:cs="Times New Roman"/>
          <w:kern w:val="2"/>
          <w:sz w:val="32"/>
          <w:szCs w:val="32"/>
          <w:lang w:val="zh-CN" w:eastAsia="zh-CN" w:bidi="ar-SA"/>
        </w:rPr>
        <w:t>“</w:t>
      </w:r>
      <w:r>
        <w:rPr>
          <w:rFonts w:hint="default" w:ascii="Times New Roman" w:hAnsi="Times New Roman" w:eastAsia="仿宋" w:cs="Times New Roman"/>
          <w:kern w:val="2"/>
          <w:sz w:val="32"/>
          <w:szCs w:val="32"/>
          <w:lang w:val="zh-CN" w:eastAsia="zh-CN" w:bidi="ar-SA"/>
        </w:rPr>
        <w:t>基石</w:t>
      </w:r>
      <w:r>
        <w:rPr>
          <w:rFonts w:hint="default" w:ascii="Times New Roman" w:hAnsi="Times New Roman" w:cs="Times New Roman"/>
          <w:kern w:val="2"/>
          <w:sz w:val="32"/>
          <w:szCs w:val="32"/>
          <w:lang w:val="zh-CN" w:eastAsia="zh-CN" w:bidi="ar-SA"/>
        </w:rPr>
        <w:t>”</w:t>
      </w:r>
      <w:r>
        <w:rPr>
          <w:rFonts w:hint="default" w:ascii="Times New Roman" w:hAnsi="Times New Roman" w:eastAsia="仿宋" w:cs="Times New Roman"/>
          <w:kern w:val="2"/>
          <w:sz w:val="32"/>
          <w:szCs w:val="32"/>
          <w:lang w:val="zh-CN" w:eastAsia="zh-CN" w:bidi="ar-SA"/>
        </w:rPr>
        <w:t>。</w:t>
      </w:r>
    </w:p>
    <w:p w14:paraId="7562D3A7">
      <w:pPr>
        <w:pStyle w:val="2"/>
        <w:keepNext w:val="0"/>
        <w:keepLines w:val="0"/>
        <w:pageBreakBefore w:val="0"/>
        <w:widowControl w:val="0"/>
        <w:numPr>
          <w:ilvl w:val="0"/>
          <w:numId w:val="0"/>
        </w:numPr>
        <w:kinsoku/>
        <w:wordWrap/>
        <w:overflowPunct/>
        <w:topLinePunct w:val="0"/>
        <w:autoSpaceDE/>
        <w:autoSpaceDN/>
        <w:bidi w:val="0"/>
        <w:adjustRightInd w:val="0"/>
        <w:snapToGrid/>
        <w:ind w:leftChars="300"/>
        <w:textAlignment w:val="baseline"/>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3.完善体系建设，推动市级政务信息化项目统建统管</w:t>
      </w:r>
    </w:p>
    <w:p w14:paraId="3B77B329">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是以提高财政资金使用效益为目标，做好信息化项目集约统筹管理工作。按照市委、市政府关于数字政府建设及信息化项目建设管理的要求，我局积极学习外地先进经验，推行数字政府建设及信息化项目建管体制改革。按照“统筹布局、集约共享”的原则，提出集中统筹信息化项目建设、运维管理改革思路，制定管理办法及配套实施方案，并据此完成2022年市级信息化拟建设项目以及运维项目的组织申报、评审核定，提出2022年信息化拟建项目计划，确定全市信息化运维项目及预算。2022年新建项目经评审核定后预算金额与申请资金相比，节省财政预算超过15%。</w:t>
      </w:r>
    </w:p>
    <w:p w14:paraId="27D7E247">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是建设应用网络化综合管理平台。为优化市级政务信息化项目管理流程，提高项目审批效率，提升协同办公水平，建设了信息化建设项目综合服务平台，是集需求申报、方案征集、方案初审、“双盲”评审、综合复审、计划下达、合同签订、项目变更、项目验收、项目管理等功能为一体的网络化综合管理平台。该项目现已建设完成并通过了竣工验收，在2023年信息化建设及运维项目的申报、审核等工作中全面应用，大大提升了管理水平和工作效率。</w:t>
      </w:r>
    </w:p>
    <w:p w14:paraId="73685E0B">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是规范政务信息化项目评审管理。市级政务信息化非涉密建设项目从2022年开始全面应用网络“双盲”评审。依托网络评审系统，自动随机抽取专家，参评专家线上独立评审、打分，提出意见建议，评审结果自动汇总。2022年保障全市90%以上使用市级财政资金的新建信息化项目审核评审工作。</w:t>
      </w:r>
    </w:p>
    <w:p w14:paraId="3EC91B16">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4.电子政务外网网络和安全</w:t>
      </w:r>
    </w:p>
    <w:p w14:paraId="0A8149B9">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一是</w:t>
      </w:r>
      <w:r>
        <w:rPr>
          <w:rFonts w:hint="default" w:ascii="仿宋_GB2312" w:hAnsi="仿宋_GB2312" w:eastAsia="仿宋_GB2312" w:cs="仿宋_GB2312"/>
          <w:kern w:val="2"/>
          <w:sz w:val="32"/>
          <w:szCs w:val="32"/>
          <w:lang w:val="en-US" w:eastAsia="zh-CN" w:bidi="ar-SA"/>
        </w:rPr>
        <w:t>加强电子政务外网网络安全基础设施建设，做好机房内网络设备、安全设备、基础环境设施的日常巡检。完成主要设备及系统的硬件维护、软件升级以及网络维护（故障处理）服务。系统故障率小于10%，故障维护及时率达到100%。完成电子政务外网、办公专网及互联网的线路维护工作，保证</w:t>
      </w:r>
      <w:r>
        <w:rPr>
          <w:rFonts w:hint="eastAsia" w:ascii="仿宋_GB2312" w:hAnsi="仿宋_GB2312" w:eastAsia="仿宋_GB2312" w:cs="仿宋_GB2312"/>
          <w:kern w:val="2"/>
          <w:sz w:val="32"/>
          <w:szCs w:val="32"/>
          <w:lang w:val="en-US" w:eastAsia="zh-CN" w:bidi="ar-SA"/>
        </w:rPr>
        <w:t>了</w:t>
      </w:r>
      <w:r>
        <w:rPr>
          <w:rFonts w:hint="default" w:ascii="仿宋_GB2312" w:hAnsi="仿宋_GB2312" w:eastAsia="仿宋_GB2312" w:cs="仿宋_GB2312"/>
          <w:kern w:val="2"/>
          <w:sz w:val="32"/>
          <w:szCs w:val="32"/>
          <w:lang w:val="en-US" w:eastAsia="zh-CN" w:bidi="ar-SA"/>
        </w:rPr>
        <w:t>网络安全、稳定运行。保证</w:t>
      </w:r>
      <w:r>
        <w:rPr>
          <w:rFonts w:hint="eastAsia" w:ascii="仿宋_GB2312" w:hAnsi="仿宋_GB2312" w:eastAsia="仿宋_GB2312" w:cs="仿宋_GB2312"/>
          <w:kern w:val="2"/>
          <w:sz w:val="32"/>
          <w:szCs w:val="32"/>
          <w:lang w:val="en-US" w:eastAsia="zh-CN" w:bidi="ar-SA"/>
        </w:rPr>
        <w:t>了</w:t>
      </w:r>
      <w:r>
        <w:rPr>
          <w:rFonts w:hint="default" w:ascii="仿宋_GB2312" w:hAnsi="仿宋_GB2312" w:eastAsia="仿宋_GB2312" w:cs="仿宋_GB2312"/>
          <w:kern w:val="2"/>
          <w:sz w:val="32"/>
          <w:szCs w:val="32"/>
          <w:lang w:val="en-US" w:eastAsia="zh-CN" w:bidi="ar-SA"/>
        </w:rPr>
        <w:t>线路故障率小于5%，非正常断网率小于5%，故障排除率达到100%。</w:t>
      </w:r>
    </w:p>
    <w:p w14:paraId="42C9BBBE">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w:t>
      </w:r>
      <w:r>
        <w:rPr>
          <w:rFonts w:hint="default" w:ascii="仿宋_GB2312" w:hAnsi="仿宋_GB2312" w:eastAsia="仿宋_GB2312" w:cs="仿宋_GB2312"/>
          <w:kern w:val="2"/>
          <w:sz w:val="32"/>
          <w:szCs w:val="32"/>
          <w:lang w:val="en-US" w:eastAsia="zh-CN" w:bidi="ar-SA"/>
        </w:rPr>
        <w:t>是严格落实有关网络安全工作部署。严格落实网络安全管理制度和网络安全责任制，按照“谁主管谁负责、谁运行谁负责”的原则，严格落实网络安全主体责任，认真贯彻落实网络安全法律法规，研究制定本单位网络安全的主要目标、工作任务、安全措施以及重大事件的处置等。起草并下发了《关于做好电子政务网络安全管理工作的通知》《石家庄市人民政府办公室关于进一步明确责任加强网络安全工作的通知》，进一步明确工作责任，督促、检查各有关单位抓好各项工作落实，保障全市政府网络安全健康平稳运行，做好我市政府网站、电子政务网络安全管理工作。</w:t>
      </w:r>
    </w:p>
    <w:p w14:paraId="0C16EE0F">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w:t>
      </w:r>
      <w:r>
        <w:rPr>
          <w:rFonts w:hint="default" w:ascii="仿宋_GB2312" w:hAnsi="仿宋_GB2312" w:eastAsia="仿宋_GB2312" w:cs="仿宋_GB2312"/>
          <w:kern w:val="2"/>
          <w:sz w:val="32"/>
          <w:szCs w:val="32"/>
          <w:lang w:val="en-US" w:eastAsia="zh-CN" w:bidi="ar-SA"/>
        </w:rPr>
        <w:t>是组织开展网络安全渗透测试。按照《信息安全技术网络安全等级保护基本要求》文件规定和年度工作安排，组织国内权威安全机构对我市政府网站云平台内运行的61个政府网站进行了三次网络安全渗透测试，共发现76处安全问题。督促有关单位对发现的问题进行了全部整改，进一步提高网络和信息系统安全防护水平。</w:t>
      </w:r>
    </w:p>
    <w:p w14:paraId="632C75C6">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w:t>
      </w:r>
      <w:r>
        <w:rPr>
          <w:rFonts w:hint="default" w:ascii="仿宋_GB2312" w:hAnsi="仿宋_GB2312" w:eastAsia="仿宋_GB2312" w:cs="仿宋_GB2312"/>
          <w:kern w:val="2"/>
          <w:sz w:val="32"/>
          <w:szCs w:val="32"/>
          <w:lang w:val="en-US" w:eastAsia="zh-CN" w:bidi="ar-SA"/>
        </w:rPr>
        <w:t>是做好重大节日网络安全保障工作。制定《石家庄市数据资源管理局2022年北京冬奥会、冬残奥会网络安全保障工作方案》《石家庄市数据资源管理局党的二十大网络安全保障工作方案》，开展网络安全自查和专项检查工作，完善信息系统应急预案，组织政务云平台应急演练，全力做好北京冬、残奥会、二十大等重大活动期间网络安全保障工作，确保网络安全、系统稳定运行。</w:t>
      </w:r>
    </w:p>
    <w:p w14:paraId="783B56D6">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5.政府网站管理和运行</w:t>
      </w:r>
    </w:p>
    <w:p w14:paraId="5C98DB4D">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促进政府网站群工作稳中有进，不断加强对政府网站群工作的领导，对照考核指标，以健全工作机制、严格信息审核、细化日常监测等系列措施手段，全力推进网站各项工作的有序开展。2022年3月，作为唯一的市级门户网站被评为河北省优秀政府网站。全年市政府门户网站头条转载、页面调整、发布飘窗等420余次。在省政府网站发布动态要闻信息1106条，答复省政府网站“公众留言”互动栏目415条。“政府信箱”共收到网民有效留言33218条，处理答复33218条，处理答复率100%。做到了件件有落实、事事有回音，“政府信箱”已成为政府听取民意、了解民愿、汇聚民智、回应民声，与公众互动交流的网上“直通车”。策划开通“新冠肺炎疫情防控”“聚焦石家庄两会”“深入开展‘三统筹三扩大四创建’活动以优异成绩迎接党的二十大胜利召开”等一系列专题专栏，集中反映了市委、市政府中心工作，传递市委、市政府的重要决策部署。</w:t>
      </w:r>
    </w:p>
    <w:p w14:paraId="3602B995">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6.</w:t>
      </w:r>
      <w:r>
        <w:rPr>
          <w:rFonts w:hint="default" w:ascii="仿宋_GB2312" w:hAnsi="仿宋_GB2312" w:eastAsia="仿宋_GB2312" w:cs="仿宋_GB2312"/>
          <w:kern w:val="2"/>
          <w:sz w:val="32"/>
          <w:szCs w:val="32"/>
          <w:lang w:val="en-US" w:eastAsia="zh-CN" w:bidi="ar-SA"/>
        </w:rPr>
        <w:t>保障相关应用系统稳定运行</w:t>
      </w:r>
    </w:p>
    <w:p w14:paraId="36138618">
      <w:pPr>
        <w:pStyle w:val="2"/>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baseline"/>
        <w:rPr>
          <w:rFonts w:hint="default" w:ascii="仿宋_GB2312" w:hAnsi="仿宋_GB2312" w:eastAsia="仿宋_GB2312" w:cs="仿宋_GB2312"/>
          <w:kern w:val="2"/>
          <w:sz w:val="32"/>
          <w:szCs w:val="32"/>
          <w:lang w:val="en-US" w:eastAsia="zh-CN" w:bidi="ar-SA"/>
        </w:rPr>
      </w:pPr>
      <w:r>
        <w:rPr>
          <w:rFonts w:hint="default" w:ascii="仿宋_GB2312" w:hAnsi="仿宋_GB2312" w:eastAsia="仿宋_GB2312" w:cs="仿宋_GB2312"/>
          <w:kern w:val="2"/>
          <w:sz w:val="32"/>
          <w:szCs w:val="32"/>
          <w:lang w:val="en-US" w:eastAsia="zh-CN" w:bidi="ar-SA"/>
        </w:rPr>
        <w:t>根据市委工作要求及实际工作需要，将</w:t>
      </w:r>
      <w:r>
        <w:rPr>
          <w:rFonts w:hint="eastAsia" w:ascii="仿宋_GB2312" w:hAnsi="仿宋_GB2312" w:eastAsia="仿宋_GB2312" w:cs="仿宋_GB2312"/>
          <w:kern w:val="2"/>
          <w:sz w:val="32"/>
          <w:szCs w:val="32"/>
          <w:lang w:val="en-US" w:eastAsia="zh-CN" w:bidi="ar-SA"/>
        </w:rPr>
        <w:t>多个系统</w:t>
      </w:r>
      <w:r>
        <w:rPr>
          <w:rFonts w:hint="default" w:ascii="仿宋_GB2312" w:hAnsi="仿宋_GB2312" w:eastAsia="仿宋_GB2312" w:cs="仿宋_GB2312"/>
          <w:kern w:val="2"/>
          <w:sz w:val="32"/>
          <w:szCs w:val="32"/>
          <w:lang w:val="en-US" w:eastAsia="zh-CN" w:bidi="ar-SA"/>
        </w:rPr>
        <w:t>由办公专网迁移至电子政务外网，保障系统平稳过渡。同时及时高效地完成了</w:t>
      </w:r>
      <w:r>
        <w:rPr>
          <w:rFonts w:hint="eastAsia" w:ascii="仿宋_GB2312" w:hAnsi="仿宋_GB2312" w:eastAsia="仿宋_GB2312" w:cs="仿宋_GB2312"/>
          <w:kern w:val="2"/>
          <w:sz w:val="32"/>
          <w:szCs w:val="32"/>
          <w:lang w:val="en-US" w:eastAsia="zh-CN" w:bidi="ar-SA"/>
        </w:rPr>
        <w:t>多个</w:t>
      </w:r>
      <w:r>
        <w:rPr>
          <w:rFonts w:hint="default" w:ascii="仿宋_GB2312" w:hAnsi="仿宋_GB2312" w:eastAsia="仿宋_GB2312" w:cs="仿宋_GB2312"/>
          <w:kern w:val="2"/>
          <w:sz w:val="32"/>
          <w:szCs w:val="32"/>
          <w:lang w:val="en-US" w:eastAsia="zh-CN" w:bidi="ar-SA"/>
        </w:rPr>
        <w:t>系统平台的日常维护工作。保障市委办公室及各部门文件下载，出现问题及时响应</w:t>
      </w:r>
      <w:r>
        <w:rPr>
          <w:rFonts w:hint="eastAsia" w:ascii="仿宋_GB2312" w:hAnsi="仿宋_GB2312" w:eastAsia="仿宋_GB2312" w:cs="仿宋_GB2312"/>
          <w:kern w:val="2"/>
          <w:sz w:val="32"/>
          <w:szCs w:val="32"/>
          <w:lang w:val="en-US" w:eastAsia="zh-CN" w:bidi="ar-SA"/>
        </w:rPr>
        <w:t>,故障处理率达到100%</w:t>
      </w:r>
      <w:r>
        <w:rPr>
          <w:rFonts w:hint="default" w:ascii="仿宋_GB2312" w:hAnsi="仿宋_GB2312" w:eastAsia="仿宋_GB2312" w:cs="仿宋_GB2312"/>
          <w:kern w:val="2"/>
          <w:sz w:val="32"/>
          <w:szCs w:val="32"/>
          <w:lang w:val="en-US" w:eastAsia="zh-CN" w:bidi="ar-SA"/>
        </w:rPr>
        <w:t>。</w:t>
      </w:r>
    </w:p>
    <w:p w14:paraId="06326E9B">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21C9CD41">
      <w:pPr>
        <w:keepNext w:val="0"/>
        <w:keepLines w:val="0"/>
        <w:pageBreakBefore w:val="0"/>
        <w:widowControl w:val="0"/>
        <w:kinsoku/>
        <w:wordWrap/>
        <w:overflowPunct/>
        <w:topLinePunct w:val="0"/>
        <w:autoSpaceDE/>
        <w:autoSpaceDN/>
        <w:bidi w:val="0"/>
        <w:adjustRightInd/>
        <w:snapToGrid/>
        <w:spacing w:line="560" w:lineRule="exact"/>
        <w:ind w:left="19" w:leftChars="9" w:firstLine="617" w:firstLineChars="193"/>
        <w:jc w:val="both"/>
        <w:textAlignment w:val="auto"/>
        <w:rPr>
          <w:rFonts w:hint="eastAsia" w:ascii="仿宋_GB2312" w:hAnsi="仿宋_GB2312" w:eastAsia="仿宋_GB2312" w:cs="仿宋_GB2312"/>
          <w:b w:val="0"/>
          <w:bCs w:val="0"/>
          <w:color w:val="auto"/>
          <w:sz w:val="32"/>
          <w:szCs w:val="28"/>
          <w:highlight w:val="none"/>
          <w:lang w:val="en-US" w:eastAsia="zh-CN"/>
        </w:rPr>
      </w:pPr>
      <w:r>
        <w:rPr>
          <w:rFonts w:hint="eastAsia" w:ascii="仿宋_GB2312" w:hAnsi="仿宋_GB2312" w:eastAsia="仿宋_GB2312" w:cs="仿宋_GB2312"/>
          <w:b w:val="0"/>
          <w:bCs w:val="0"/>
          <w:color w:val="auto"/>
          <w:sz w:val="32"/>
          <w:szCs w:val="28"/>
          <w:lang w:val="en-US" w:eastAsia="zh-CN"/>
        </w:rPr>
        <w:t>我</w:t>
      </w:r>
      <w:r>
        <w:rPr>
          <w:rFonts w:hint="eastAsia" w:ascii="仿宋_GB2312" w:hAnsi="仿宋_GB2312" w:eastAsia="仿宋_GB2312" w:cs="仿宋_GB2312"/>
          <w:b w:val="0"/>
          <w:bCs w:val="0"/>
          <w:color w:val="auto"/>
          <w:sz w:val="32"/>
          <w:szCs w:val="28"/>
          <w:highlight w:val="none"/>
          <w:lang w:val="en-US" w:eastAsia="zh-CN"/>
        </w:rPr>
        <w:t>局通过查阅文件、收集资料，核实数据、对比指标等方式，对我</w:t>
      </w:r>
      <w:r>
        <w:rPr>
          <w:rFonts w:hint="eastAsia" w:ascii="仿宋_GB2312" w:hAnsi="仿宋_GB2312" w:eastAsia="仿宋_GB2312" w:cs="仿宋_GB2312"/>
          <w:sz w:val="32"/>
          <w:szCs w:val="32"/>
          <w:highlight w:val="none"/>
          <w:lang w:eastAsia="zh-CN"/>
        </w:rPr>
        <w:t>部门整体支出</w:t>
      </w:r>
      <w:r>
        <w:rPr>
          <w:rFonts w:hint="eastAsia" w:ascii="仿宋_GB2312" w:hAnsi="仿宋_GB2312" w:eastAsia="仿宋_GB2312" w:cs="仿宋_GB2312"/>
          <w:sz w:val="32"/>
          <w:szCs w:val="32"/>
          <w:highlight w:val="none"/>
        </w:rPr>
        <w:t>综合绩效</w:t>
      </w:r>
      <w:r>
        <w:rPr>
          <w:rFonts w:hint="eastAsia" w:ascii="仿宋_GB2312" w:hAnsi="仿宋_GB2312" w:eastAsia="仿宋_GB2312" w:cs="仿宋_GB2312"/>
          <w:b w:val="0"/>
          <w:bCs w:val="0"/>
          <w:color w:val="auto"/>
          <w:sz w:val="32"/>
          <w:szCs w:val="28"/>
          <w:highlight w:val="none"/>
          <w:lang w:val="en-US" w:eastAsia="zh-CN"/>
        </w:rPr>
        <w:t>进行客观评价。经过评价，部门整体支出绩效综合评价最终得分为98分，评价结果为优秀。</w:t>
      </w:r>
    </w:p>
    <w:p w14:paraId="11BB0C82">
      <w:pPr>
        <w:keepNext w:val="0"/>
        <w:keepLines w:val="0"/>
        <w:pageBreakBefore w:val="0"/>
        <w:widowControl w:val="0"/>
        <w:kinsoku/>
        <w:wordWrap/>
        <w:overflowPunct/>
        <w:topLinePunct w:val="0"/>
        <w:autoSpaceDE/>
        <w:autoSpaceDN/>
        <w:bidi w:val="0"/>
        <w:adjustRightInd/>
        <w:snapToGrid/>
        <w:spacing w:line="560" w:lineRule="exact"/>
        <w:ind w:left="19" w:leftChars="9" w:firstLine="617" w:firstLineChars="193"/>
        <w:jc w:val="both"/>
        <w:textAlignment w:val="auto"/>
        <w:rPr>
          <w:rFonts w:hint="eastAsia" w:ascii="仿宋_GB2312" w:hAnsi="仿宋_GB2312" w:eastAsia="仿宋_GB2312" w:cs="仿宋_GB2312"/>
          <w:b w:val="0"/>
          <w:bCs w:val="0"/>
          <w:color w:val="auto"/>
          <w:sz w:val="32"/>
          <w:szCs w:val="28"/>
          <w:lang w:val="en-US" w:eastAsia="zh-CN"/>
        </w:rPr>
      </w:pPr>
      <w:r>
        <w:rPr>
          <w:rFonts w:hint="eastAsia" w:ascii="仿宋_GB2312" w:hAnsi="仿宋_GB2312" w:eastAsia="仿宋_GB2312" w:cs="仿宋_GB2312"/>
          <w:b w:val="0"/>
          <w:bCs w:val="0"/>
          <w:color w:val="auto"/>
          <w:sz w:val="32"/>
          <w:szCs w:val="28"/>
          <w:highlight w:val="none"/>
          <w:lang w:val="en-US" w:eastAsia="zh-CN"/>
        </w:rPr>
        <w:t>根据部门职责定位和各项工作履职情况进行</w:t>
      </w:r>
      <w:r>
        <w:rPr>
          <w:rFonts w:hint="eastAsia" w:ascii="仿宋_GB2312" w:hAnsi="仿宋_GB2312" w:eastAsia="仿宋_GB2312" w:cs="仿宋_GB2312"/>
          <w:b w:val="0"/>
          <w:bCs w:val="0"/>
          <w:color w:val="auto"/>
          <w:sz w:val="32"/>
          <w:szCs w:val="28"/>
          <w:lang w:val="en-US" w:eastAsia="zh-CN"/>
        </w:rPr>
        <w:t>综合评价，给出总得分，满分100分，得出综合绩效评价等级。部门整体支出综合绩效评价分为4个等级：得分≥85分为优秀；75≤得分＜85分为良好；60≤得分＜75分为一般；得分＜60分为较差。</w:t>
      </w:r>
    </w:p>
    <w:p w14:paraId="443FDD35">
      <w:pPr>
        <w:keepNext w:val="0"/>
        <w:keepLines w:val="0"/>
        <w:pageBreakBefore w:val="0"/>
        <w:widowControl w:val="0"/>
        <w:kinsoku/>
        <w:wordWrap/>
        <w:overflowPunct/>
        <w:topLinePunct w:val="0"/>
        <w:autoSpaceDE/>
        <w:autoSpaceDN/>
        <w:bidi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442B1BF7">
      <w:pPr>
        <w:keepNext w:val="0"/>
        <w:keepLines w:val="0"/>
        <w:pageBreakBefore w:val="0"/>
        <w:widowControl w:val="0"/>
        <w:kinsoku/>
        <w:wordWrap/>
        <w:overflowPunct/>
        <w:topLinePunct w:val="0"/>
        <w:autoSpaceDE/>
        <w:autoSpaceDN/>
        <w:bidi w:val="0"/>
        <w:spacing w:line="560" w:lineRule="exact"/>
        <w:ind w:left="0" w:leftChars="0" w:right="0" w:firstLine="643" w:firstLineChars="200"/>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（一）存在的主要问题</w:t>
      </w:r>
    </w:p>
    <w:p w14:paraId="2AF61DEA">
      <w:pPr>
        <w:pStyle w:val="3"/>
        <w:ind w:left="0" w:leftChars="0" w:right="23" w:rightChars="11" w:firstLine="640" w:firstLineChars="200"/>
        <w:rPr>
          <w:rFonts w:hint="eastAsia" w:ascii="仿宋_GB2312" w:hAnsi="仿宋_GB2312" w:eastAsia="仿宋_GB2312" w:cs="仿宋_GB2312"/>
          <w:b w:val="0"/>
          <w:bCs w:val="0"/>
          <w:color w:val="auto"/>
          <w:sz w:val="32"/>
          <w:szCs w:val="28"/>
          <w:lang w:val="en-US" w:eastAsia="zh-CN"/>
        </w:rPr>
      </w:pPr>
      <w:r>
        <w:rPr>
          <w:rFonts w:hint="eastAsia" w:ascii="仿宋_GB2312" w:hAnsi="仿宋_GB2312" w:eastAsia="仿宋_GB2312" w:cs="仿宋_GB2312"/>
          <w:b w:val="0"/>
          <w:bCs w:val="0"/>
          <w:color w:val="auto"/>
          <w:sz w:val="32"/>
          <w:szCs w:val="28"/>
          <w:lang w:val="en-US" w:eastAsia="zh-CN"/>
        </w:rPr>
        <w:t>通过绩效自评，结合评价结果，我局绝大多数预算项目绩效目标设定清晰准确、易于评价，但是部分项目绩效指标设置不够细化，过于简单。</w:t>
      </w:r>
    </w:p>
    <w:p w14:paraId="57F7FAC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（二）</w:t>
      </w:r>
      <w:r>
        <w:rPr>
          <w:rFonts w:hint="eastAsia" w:ascii="仿宋_GB2312" w:hAnsi="仿宋_GB2312" w:eastAsia="仿宋_GB2312" w:cs="仿宋_GB2312"/>
          <w:b/>
          <w:bCs/>
          <w:sz w:val="32"/>
          <w:szCs w:val="32"/>
        </w:rPr>
        <w:t>针对问题提出具体的改进措施或建议</w:t>
      </w:r>
    </w:p>
    <w:p w14:paraId="71CF7D7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b w:val="0"/>
          <w:bCs w:val="0"/>
          <w:color w:val="auto"/>
          <w:sz w:val="32"/>
          <w:szCs w:val="28"/>
          <w:lang w:val="en-US" w:eastAsia="zh-CN"/>
        </w:rPr>
      </w:pPr>
      <w:r>
        <w:rPr>
          <w:rFonts w:hint="eastAsia" w:ascii="仿宋_GB2312" w:hAnsi="仿宋_GB2312" w:eastAsia="仿宋_GB2312" w:cs="仿宋_GB2312"/>
          <w:b w:val="0"/>
          <w:bCs w:val="0"/>
          <w:color w:val="auto"/>
          <w:sz w:val="32"/>
          <w:szCs w:val="28"/>
          <w:lang w:val="en-US" w:eastAsia="zh-CN"/>
        </w:rPr>
        <w:t>在整个绩效评价体系中，评价指标属于核心内容，同时也是高效开展评价工作的标准。我局在以后的工作中进一步细化、量化具体指标，完善绩效指标体系，提高绩效指标的科学性和可行性。</w:t>
      </w:r>
    </w:p>
    <w:p w14:paraId="259338FF">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六、评价工作组人员名单（姓名、工作单位、职务、职称）</w:t>
      </w:r>
    </w:p>
    <w:tbl>
      <w:tblPr>
        <w:tblStyle w:val="6"/>
        <w:tblW w:w="9058" w:type="dxa"/>
        <w:tblInd w:w="0" w:type="dxa"/>
        <w:shd w:val="clear" w:color="auto" w:fill="auto"/>
        <w:tblLayout w:type="fixed"/>
        <w:tblCellMar>
          <w:top w:w="0" w:type="dxa"/>
          <w:left w:w="108" w:type="dxa"/>
          <w:bottom w:w="0" w:type="dxa"/>
          <w:right w:w="108" w:type="dxa"/>
        </w:tblCellMar>
      </w:tblPr>
      <w:tblGrid>
        <w:gridCol w:w="1681"/>
        <w:gridCol w:w="2805"/>
        <w:gridCol w:w="2160"/>
        <w:gridCol w:w="2412"/>
      </w:tblGrid>
      <w:tr w14:paraId="414BBD9B">
        <w:tblPrEx>
          <w:shd w:val="clear" w:color="auto" w:fill="auto"/>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168A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姓名</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23FB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工作单位</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C633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职务</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25328">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职</w:t>
            </w:r>
            <w:r>
              <w:rPr>
                <w:rFonts w:hint="eastAsia" w:ascii="宋体" w:hAnsi="宋体" w:cs="宋体"/>
                <w:b/>
                <w:bCs/>
                <w:i w:val="0"/>
                <w:iCs w:val="0"/>
                <w:color w:val="000000"/>
                <w:kern w:val="0"/>
                <w:sz w:val="22"/>
                <w:szCs w:val="22"/>
                <w:u w:val="none"/>
                <w:lang w:val="en-US" w:eastAsia="zh-CN" w:bidi="ar"/>
              </w:rPr>
              <w:t>称</w:t>
            </w:r>
          </w:p>
        </w:tc>
      </w:tr>
      <w:tr w14:paraId="7E731BF2">
        <w:tblPrEx>
          <w:shd w:val="clear" w:color="auto" w:fill="auto"/>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F1C88">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郭</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杰</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0BC7E">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C5B5C">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办公室主任</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70B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9347F34">
        <w:tblPrEx>
          <w:shd w:val="clear" w:color="auto" w:fill="auto"/>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E556B">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程晓伟</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DED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C4DA0">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规划发展科科长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881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2132DBB">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84000">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赵</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琳</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EACBE">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BD59A">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应用推广科科长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B47B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DBC4132">
        <w:tblPrEx>
          <w:shd w:val="clear" w:color="auto" w:fill="auto"/>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A9AB0">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李双芹</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755D2">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F4941">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数据资源管理科科长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775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15446C0">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DA196">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连</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芳</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2963D">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02FE7">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网络建设与安全科科长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AC2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B712881">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7E11D">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王红芳</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134CD">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235B7">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机关党总支专职副书记</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7E9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4AF4BACA">
        <w:tblPrEx>
          <w:shd w:val="clear" w:color="auto" w:fill="auto"/>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9FCE9">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刘</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凯</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42898">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749E1">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副主任</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78C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7A9A714E">
        <w:tblPrEx>
          <w:shd w:val="clear" w:color="auto" w:fill="auto"/>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E69DC">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sz w:val="22"/>
                <w:szCs w:val="22"/>
                <w:u w:val="none"/>
                <w:lang w:eastAsia="zh-CN"/>
              </w:rPr>
              <w:t>封晓丽</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4AE2A">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C7322">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副主任</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8B3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19B509B">
        <w:tblPrEx>
          <w:shd w:val="clear" w:color="auto" w:fill="auto"/>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91B01">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宋</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扬</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5026F">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55821">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办公自动化科科长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366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3971E465">
        <w:tblPrEx>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BE5E1">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任立军</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DD258">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50B3A">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网站科负责人</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063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626485F5">
        <w:tblPrEx>
          <w:shd w:val="clear" w:color="auto" w:fill="auto"/>
          <w:tblCellMar>
            <w:top w:w="0" w:type="dxa"/>
            <w:left w:w="108" w:type="dxa"/>
            <w:bottom w:w="0" w:type="dxa"/>
            <w:right w:w="108" w:type="dxa"/>
          </w:tblCellMar>
        </w:tblPrEx>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12EEA">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曹</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雷</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118A8">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F2DF5">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网络科科长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432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0D089D1C">
        <w:tblPrEx>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B9800">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孟</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倩</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C16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17CA1">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办公室二级主任科员</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63B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2085817">
        <w:tblPrEx>
          <w:shd w:val="clear" w:color="auto" w:fill="auto"/>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F5AF1">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董</w:t>
            </w:r>
            <w:r>
              <w:rPr>
                <w:rFonts w:hint="eastAsia" w:ascii="宋体" w:hAnsi="宋体" w:cs="宋体"/>
                <w:i w:val="0"/>
                <w:iCs w:val="0"/>
                <w:color w:val="000000"/>
                <w:sz w:val="22"/>
                <w:szCs w:val="22"/>
                <w:u w:val="none"/>
                <w:lang w:val="en-US" w:eastAsia="zh-CN"/>
              </w:rPr>
              <w:t xml:space="preserve">  </w:t>
            </w:r>
            <w:r>
              <w:rPr>
                <w:rFonts w:hint="eastAsia" w:ascii="宋体" w:hAnsi="宋体" w:cs="宋体"/>
                <w:i w:val="0"/>
                <w:iCs w:val="0"/>
                <w:color w:val="000000"/>
                <w:sz w:val="22"/>
                <w:szCs w:val="22"/>
                <w:u w:val="none"/>
                <w:lang w:eastAsia="zh-CN"/>
              </w:rPr>
              <w:t>韬</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FFFB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石家庄市数据资源管理局</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1A4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eastAsia="zh-CN"/>
              </w:rPr>
              <w:t>办公室三级主任科员</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C5D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14:paraId="2DD8A111">
        <w:tblPrEx>
          <w:shd w:val="clear" w:color="auto" w:fill="auto"/>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9FEF2">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张子芳</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752DF">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EB4BF">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办公自动化科副科长</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8DBC7">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eastAsia="zh-CN"/>
              </w:rPr>
            </w:pPr>
          </w:p>
        </w:tc>
      </w:tr>
      <w:tr w14:paraId="6A8645F9">
        <w:tblPrEx>
          <w:shd w:val="clear" w:color="auto" w:fill="auto"/>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035C9">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崔力鹏</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A3389">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BFA8E">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技术服务中心副主任</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E1BAC">
            <w:pPr>
              <w:keepNext w:val="0"/>
              <w:keepLines w:val="0"/>
              <w:widowControl/>
              <w:suppressLineNumbers w:val="0"/>
              <w:jc w:val="center"/>
              <w:textAlignment w:val="center"/>
              <w:rPr>
                <w:rFonts w:hint="eastAsia" w:ascii="宋体" w:hAnsi="宋体" w:cs="宋体"/>
                <w:i w:val="0"/>
                <w:iCs w:val="0"/>
                <w:color w:val="000000"/>
                <w:sz w:val="22"/>
                <w:szCs w:val="22"/>
                <w:u w:val="none"/>
                <w:lang w:eastAsia="zh-CN"/>
              </w:rPr>
            </w:pPr>
            <w:r>
              <w:rPr>
                <w:rFonts w:hint="eastAsia" w:ascii="宋体" w:hAnsi="宋体" w:cs="宋体"/>
                <w:i w:val="0"/>
                <w:iCs w:val="0"/>
                <w:color w:val="000000"/>
                <w:sz w:val="22"/>
                <w:szCs w:val="22"/>
                <w:u w:val="none"/>
                <w:lang w:eastAsia="zh-CN"/>
              </w:rPr>
              <w:t>工程师</w:t>
            </w:r>
          </w:p>
        </w:tc>
      </w:tr>
      <w:tr w14:paraId="4995C180">
        <w:tblPrEx>
          <w:shd w:val="clear" w:color="auto" w:fill="auto"/>
          <w:tblCellMar>
            <w:top w:w="0" w:type="dxa"/>
            <w:left w:w="108" w:type="dxa"/>
            <w:bottom w:w="0" w:type="dxa"/>
            <w:right w:w="108" w:type="dxa"/>
          </w:tblCellMar>
        </w:tblPrEx>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D9790">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sz w:val="22"/>
                <w:szCs w:val="22"/>
                <w:u w:val="none"/>
                <w:lang w:eastAsia="zh-CN"/>
              </w:rPr>
              <w:t>李海军</w:t>
            </w:r>
          </w:p>
        </w:tc>
        <w:tc>
          <w:tcPr>
            <w:tcW w:w="28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70ED9">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sz w:val="22"/>
                <w:szCs w:val="22"/>
                <w:u w:val="none"/>
                <w:lang w:eastAsia="zh-CN"/>
              </w:rPr>
              <w:t>石家庄市电子政务中心</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94C62">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sz w:val="22"/>
                <w:szCs w:val="22"/>
                <w:u w:val="none"/>
                <w:lang w:eastAsia="zh-CN"/>
              </w:rPr>
              <w:t>职员</w:t>
            </w:r>
          </w:p>
        </w:tc>
        <w:tc>
          <w:tcPr>
            <w:tcW w:w="24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1DCD7">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sz w:val="22"/>
                <w:szCs w:val="22"/>
                <w:u w:val="none"/>
                <w:lang w:eastAsia="zh-CN"/>
              </w:rPr>
              <w:t>高级工程师</w:t>
            </w:r>
          </w:p>
        </w:tc>
      </w:tr>
    </w:tbl>
    <w:p w14:paraId="4C88AEF7">
      <w:pPr>
        <w:keepNext w:val="0"/>
        <w:keepLines w:val="0"/>
        <w:pageBreakBefore w:val="0"/>
        <w:kinsoku/>
        <w:overflowPunct/>
        <w:topLinePunct w:val="0"/>
        <w:autoSpaceDE/>
        <w:autoSpaceDN/>
        <w:bidi w:val="0"/>
        <w:spacing w:line="560" w:lineRule="exact"/>
        <w:ind w:firstLine="640" w:firstLineChars="200"/>
        <w:rPr>
          <w:rFonts w:hint="eastAsia" w:ascii="仿宋_GB2312" w:eastAsia="仿宋_GB2312"/>
          <w:sz w:val="32"/>
          <w:szCs w:val="32"/>
          <w:lang w:val="en-US" w:eastAsia="zh-CN"/>
        </w:rPr>
      </w:pPr>
    </w:p>
    <w:p w14:paraId="177BCA8B">
      <w:pPr>
        <w:pStyle w:val="3"/>
        <w:rPr>
          <w:rFonts w:hint="eastAsia"/>
          <w:lang w:val="en-US" w:eastAsia="zh-CN"/>
        </w:rPr>
      </w:pPr>
    </w:p>
    <w:p w14:paraId="15D27AA1">
      <w:pPr>
        <w:keepNext w:val="0"/>
        <w:keepLines w:val="0"/>
        <w:pageBreakBefore w:val="0"/>
        <w:kinsoku/>
        <w:wordWrap w:val="0"/>
        <w:overflowPunct/>
        <w:topLinePunct w:val="0"/>
        <w:autoSpaceDE/>
        <w:autoSpaceDN/>
        <w:bidi w:val="0"/>
        <w:spacing w:line="560" w:lineRule="exact"/>
        <w:ind w:firstLine="640" w:firstLineChars="200"/>
        <w:jc w:val="righ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石家庄市数据资源管理局    </w:t>
      </w:r>
    </w:p>
    <w:p w14:paraId="7DD372BC">
      <w:pPr>
        <w:keepNext w:val="0"/>
        <w:keepLines w:val="0"/>
        <w:pageBreakBefore w:val="0"/>
        <w:kinsoku/>
        <w:wordWrap w:val="0"/>
        <w:overflowPunct/>
        <w:topLinePunct w:val="0"/>
        <w:autoSpaceDE/>
        <w:autoSpaceDN/>
        <w:bidi w:val="0"/>
        <w:spacing w:line="560" w:lineRule="exact"/>
        <w:ind w:firstLine="640" w:firstLineChars="200"/>
        <w:jc w:val="righ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2023年4月18日       </w:t>
      </w:r>
    </w:p>
    <w:p w14:paraId="4DAA9863">
      <w:pPr>
        <w:keepNext w:val="0"/>
        <w:keepLines w:val="0"/>
        <w:pageBreakBefore w:val="0"/>
        <w:widowControl w:val="0"/>
        <w:kinsoku/>
        <w:wordWrap/>
        <w:overflowPunct/>
        <w:topLinePunct w:val="0"/>
        <w:autoSpaceDE/>
        <w:autoSpaceDN/>
        <w:bidi w:val="0"/>
        <w:spacing w:line="560" w:lineRule="exact"/>
        <w:ind w:left="0" w:leftChars="0" w:right="0"/>
        <w:textAlignment w:val="auto"/>
        <w:outlineLvl w:val="9"/>
        <w:rPr>
          <w:rFonts w:ascii="仿宋" w:hAnsi="仿宋" w:eastAsia="仿宋"/>
        </w:rPr>
      </w:pPr>
    </w:p>
    <w:sectPr>
      <w:footerReference r:id="rId3" w:type="default"/>
      <w:pgSz w:w="11906" w:h="16838"/>
      <w:pgMar w:top="1723"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CC315F">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A39D67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A39D67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RhNGZjMDgwNzU5ZjI4OTZlZWRiYzVmNWVjYjg4ZjgifQ=="/>
  </w:docVars>
  <w:rsids>
    <w:rsidRoot w:val="0EBD2122"/>
    <w:rsid w:val="007E6C1F"/>
    <w:rsid w:val="00AF566A"/>
    <w:rsid w:val="00B6553A"/>
    <w:rsid w:val="00F50CDF"/>
    <w:rsid w:val="00F907CF"/>
    <w:rsid w:val="01B104CA"/>
    <w:rsid w:val="02106AB0"/>
    <w:rsid w:val="02B43A28"/>
    <w:rsid w:val="03351867"/>
    <w:rsid w:val="03BC22A0"/>
    <w:rsid w:val="045D7AE8"/>
    <w:rsid w:val="046F331E"/>
    <w:rsid w:val="058A5E9A"/>
    <w:rsid w:val="05B61658"/>
    <w:rsid w:val="07104825"/>
    <w:rsid w:val="0755643D"/>
    <w:rsid w:val="07956271"/>
    <w:rsid w:val="09721397"/>
    <w:rsid w:val="0BB63BED"/>
    <w:rsid w:val="0EB97A43"/>
    <w:rsid w:val="0EBD2122"/>
    <w:rsid w:val="0F0767AD"/>
    <w:rsid w:val="0F214EAE"/>
    <w:rsid w:val="11B71E6A"/>
    <w:rsid w:val="11F87AE5"/>
    <w:rsid w:val="123B6A64"/>
    <w:rsid w:val="12672790"/>
    <w:rsid w:val="1AA4618B"/>
    <w:rsid w:val="1AAF0063"/>
    <w:rsid w:val="1BE140DE"/>
    <w:rsid w:val="1C1F5136"/>
    <w:rsid w:val="1D225FD8"/>
    <w:rsid w:val="1E7235C4"/>
    <w:rsid w:val="218421C7"/>
    <w:rsid w:val="21EC101D"/>
    <w:rsid w:val="22BC5151"/>
    <w:rsid w:val="22C25BA6"/>
    <w:rsid w:val="23752B3F"/>
    <w:rsid w:val="23783AA5"/>
    <w:rsid w:val="248C197D"/>
    <w:rsid w:val="252959AF"/>
    <w:rsid w:val="277A6671"/>
    <w:rsid w:val="27CF4508"/>
    <w:rsid w:val="27F37477"/>
    <w:rsid w:val="292D35B7"/>
    <w:rsid w:val="2A557F75"/>
    <w:rsid w:val="2C024294"/>
    <w:rsid w:val="2EDF14BE"/>
    <w:rsid w:val="2FA27D05"/>
    <w:rsid w:val="319224D8"/>
    <w:rsid w:val="32500693"/>
    <w:rsid w:val="325B33EA"/>
    <w:rsid w:val="33EB6CFF"/>
    <w:rsid w:val="35A12947"/>
    <w:rsid w:val="35ED6CDC"/>
    <w:rsid w:val="36FD5C1C"/>
    <w:rsid w:val="37387040"/>
    <w:rsid w:val="375B650A"/>
    <w:rsid w:val="38A32BEF"/>
    <w:rsid w:val="39AA36F9"/>
    <w:rsid w:val="3A37568D"/>
    <w:rsid w:val="3AF050E0"/>
    <w:rsid w:val="3B625C0A"/>
    <w:rsid w:val="3CEE1963"/>
    <w:rsid w:val="44C36AD5"/>
    <w:rsid w:val="45D82D63"/>
    <w:rsid w:val="472F7CDD"/>
    <w:rsid w:val="48C30100"/>
    <w:rsid w:val="49D0405A"/>
    <w:rsid w:val="4A0E12C1"/>
    <w:rsid w:val="4AD222D3"/>
    <w:rsid w:val="4AD41289"/>
    <w:rsid w:val="4C4E6E28"/>
    <w:rsid w:val="4C9C27FE"/>
    <w:rsid w:val="4DC63409"/>
    <w:rsid w:val="4E8011B5"/>
    <w:rsid w:val="4EA736C8"/>
    <w:rsid w:val="4EC512BE"/>
    <w:rsid w:val="4F4F0F4A"/>
    <w:rsid w:val="512260B4"/>
    <w:rsid w:val="52BD6ACB"/>
    <w:rsid w:val="52F245E0"/>
    <w:rsid w:val="5376ECEF"/>
    <w:rsid w:val="53874D93"/>
    <w:rsid w:val="54F22F39"/>
    <w:rsid w:val="55537534"/>
    <w:rsid w:val="56186664"/>
    <w:rsid w:val="561A74F1"/>
    <w:rsid w:val="59502636"/>
    <w:rsid w:val="597244E8"/>
    <w:rsid w:val="5EB71C30"/>
    <w:rsid w:val="5EE425D6"/>
    <w:rsid w:val="5FE92AFB"/>
    <w:rsid w:val="5FFF271E"/>
    <w:rsid w:val="62301110"/>
    <w:rsid w:val="63791105"/>
    <w:rsid w:val="643028DD"/>
    <w:rsid w:val="646709F5"/>
    <w:rsid w:val="66AF0CE5"/>
    <w:rsid w:val="66B65C39"/>
    <w:rsid w:val="66BB0757"/>
    <w:rsid w:val="6763037A"/>
    <w:rsid w:val="67F21848"/>
    <w:rsid w:val="6A6066B5"/>
    <w:rsid w:val="6A6978B6"/>
    <w:rsid w:val="6AC537CF"/>
    <w:rsid w:val="6AD90E24"/>
    <w:rsid w:val="6E5B14A6"/>
    <w:rsid w:val="6F3100D6"/>
    <w:rsid w:val="6FD607DD"/>
    <w:rsid w:val="6FFA71FD"/>
    <w:rsid w:val="70CA6ABC"/>
    <w:rsid w:val="711B255E"/>
    <w:rsid w:val="723459BC"/>
    <w:rsid w:val="72DC4A64"/>
    <w:rsid w:val="7415168F"/>
    <w:rsid w:val="7460645B"/>
    <w:rsid w:val="75216EAC"/>
    <w:rsid w:val="760C31AA"/>
    <w:rsid w:val="77F50B8F"/>
    <w:rsid w:val="789E779C"/>
    <w:rsid w:val="78CE3B31"/>
    <w:rsid w:val="7A6A0B10"/>
    <w:rsid w:val="7BB51E06"/>
    <w:rsid w:val="7C387F7C"/>
    <w:rsid w:val="7CCC5441"/>
    <w:rsid w:val="7CE871EA"/>
    <w:rsid w:val="7E3838BC"/>
    <w:rsid w:val="7F5E2C5F"/>
    <w:rsid w:val="7FE83423"/>
    <w:rsid w:val="7FF96FDE"/>
    <w:rsid w:val="B6DFCFE1"/>
    <w:rsid w:val="BF7D5150"/>
    <w:rsid w:val="CBFE851F"/>
    <w:rsid w:val="DFF766C2"/>
    <w:rsid w:val="F6FF5A3E"/>
    <w:rsid w:val="FC97A3D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adjustRightInd w:val="0"/>
      <w:spacing w:line="360" w:lineRule="atLeast"/>
      <w:ind w:firstLine="420"/>
      <w:jc w:val="left"/>
      <w:textAlignment w:val="baseline"/>
    </w:pPr>
    <w:rPr>
      <w:kern w:val="0"/>
      <w:sz w:val="25"/>
      <w:szCs w:val="20"/>
    </w:rPr>
  </w:style>
  <w:style w:type="paragraph" w:styleId="3">
    <w:name w:val="Block Text"/>
    <w:basedOn w:val="1"/>
    <w:qFormat/>
    <w:uiPriority w:val="0"/>
    <w:pPr>
      <w:spacing w:after="120"/>
      <w:ind w:left="1440" w:leftChars="700" w:right="1440" w:rightChars="7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16</Pages>
  <Words>8036</Words>
  <Characters>8503</Characters>
  <Lines>7</Lines>
  <Paragraphs>2</Paragraphs>
  <TotalTime>31</TotalTime>
  <ScaleCrop>false</ScaleCrop>
  <LinksUpToDate>false</LinksUpToDate>
  <CharactersWithSpaces>8568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2020-02-06T03:46:00Z</dcterms:created>
  <dc:creator>欣欣大人</dc:creator>
  <cp:lastModifiedBy>13323011735</cp:lastModifiedBy>
  <cp:lastPrinted>2022-03-30T08:07:00Z</cp:lastPrinted>
  <dcterms:modified xsi:type="dcterms:W3CDTF">2025-05-30T07:58:02Z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9BB6000789C1413441C26C67B7E69952</vt:lpwstr>
  </property>
  <property fmtid="{D5CDD505-2E9C-101B-9397-08002B2CF9AE}" pid="4" name="KSOTemplateDocerSaveRecord">
    <vt:lpwstr>eyJoZGlkIjoiYTRkZjYwODQyN2QxOTU4Mzc5MDkyZjcyNTA5NjE4M2QiLCJ1c2VySWQiOiIxNTUwMjQwMDk2In0=</vt:lpwstr>
  </property>
</Properties>
</file>