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600" w:lineRule="exact"/>
        <w:ind w:left="-140" w:leftChars="-67"/>
      </w:pPr>
    </w:p>
    <w:p>
      <w:pPr>
        <w:pStyle w:val="4"/>
        <w:spacing w:line="600" w:lineRule="exact"/>
        <w:ind w:left="-140" w:leftChars="-67"/>
        <w:jc w:val="center"/>
        <w:rPr>
          <w:sz w:val="44"/>
          <w:szCs w:val="44"/>
        </w:rPr>
      </w:pPr>
      <w:r>
        <w:rPr>
          <w:rFonts w:hint="eastAsia"/>
          <w:sz w:val="44"/>
          <w:szCs w:val="44"/>
        </w:rPr>
        <w:t>石家庄市妇女联合会</w:t>
      </w:r>
    </w:p>
    <w:p>
      <w:pPr>
        <w:pStyle w:val="4"/>
        <w:spacing w:line="600" w:lineRule="exact"/>
        <w:ind w:left="218" w:leftChars="104" w:firstLine="1980" w:firstLineChars="450"/>
        <w:rPr>
          <w:sz w:val="44"/>
          <w:szCs w:val="44"/>
        </w:rPr>
      </w:pPr>
      <w:r>
        <w:rPr>
          <w:rFonts w:ascii="Times New Roman" w:hAnsi="Times New Roman" w:cs="Times New Roman"/>
          <w:sz w:val="44"/>
          <w:szCs w:val="44"/>
        </w:rPr>
        <w:t>2017</w:t>
      </w:r>
      <w:r>
        <w:rPr>
          <w:rFonts w:hint="eastAsia"/>
          <w:sz w:val="44"/>
          <w:szCs w:val="44"/>
        </w:rPr>
        <w:t>年部门预算信息公开说明</w:t>
      </w:r>
    </w:p>
    <w:p>
      <w:pPr>
        <w:pStyle w:val="4"/>
        <w:spacing w:line="600" w:lineRule="exact"/>
        <w:ind w:left="219"/>
        <w:rPr>
          <w:sz w:val="44"/>
          <w:szCs w:val="44"/>
        </w:rPr>
      </w:pPr>
    </w:p>
    <w:p>
      <w:pPr>
        <w:pStyle w:val="4"/>
        <w:spacing w:line="600" w:lineRule="exact"/>
        <w:ind w:left="-140" w:leftChars="-67" w:firstLine="566" w:firstLineChars="177"/>
        <w:rPr>
          <w:rFonts w:ascii="仿宋_GB2312" w:hAnsi="FZFangSong-Z02" w:eastAsia="仿宋_GB2312" w:cs="FZFangSong-Z02"/>
          <w:sz w:val="32"/>
          <w:szCs w:val="32"/>
        </w:rPr>
      </w:pPr>
      <w:r>
        <w:rPr>
          <w:rFonts w:hint="eastAsia" w:ascii="仿宋_GB2312" w:hAnsi="FZFangSong-Z02" w:eastAsia="仿宋_GB2312" w:cs="FZFangSong-Z02"/>
          <w:sz w:val="32"/>
          <w:szCs w:val="32"/>
        </w:rPr>
        <w:t>按照《预算法》、《地方预决算公开操作规程》和《河北省省级预算公开办法》规定，现将石家庄市妇女联合会</w:t>
      </w:r>
      <w:r>
        <w:rPr>
          <w:rFonts w:ascii="仿宋_GB2312" w:hAnsi="Times New Roman" w:eastAsia="仿宋_GB2312" w:cs="Times New Roman"/>
          <w:sz w:val="32"/>
          <w:szCs w:val="32"/>
        </w:rPr>
        <w:t>2017</w:t>
      </w:r>
      <w:r>
        <w:rPr>
          <w:rFonts w:hint="eastAsia" w:ascii="仿宋_GB2312" w:hAnsi="FZFangSong-Z02" w:eastAsia="仿宋_GB2312" w:cs="FZFangSong-Z02"/>
          <w:sz w:val="32"/>
          <w:szCs w:val="32"/>
        </w:rPr>
        <w:t>年部门预算公开如下：</w:t>
      </w:r>
    </w:p>
    <w:p>
      <w:pPr>
        <w:pStyle w:val="4"/>
        <w:spacing w:line="600" w:lineRule="exact"/>
        <w:ind w:left="-140" w:leftChars="-67" w:firstLine="800" w:firstLineChars="250"/>
        <w:rPr>
          <w:rFonts w:ascii="黑体" w:hAnsi="黑体" w:eastAsia="黑体" w:cs="黑体"/>
          <w:sz w:val="32"/>
          <w:szCs w:val="32"/>
        </w:rPr>
      </w:pPr>
      <w:r>
        <w:rPr>
          <w:rFonts w:hint="eastAsia" w:ascii="黑体" w:hAnsi="黑体" w:eastAsia="黑体" w:cs="黑体"/>
          <w:sz w:val="32"/>
          <w:szCs w:val="32"/>
        </w:rPr>
        <w:t>一、部门职责及机构设置情况</w:t>
      </w:r>
    </w:p>
    <w:p>
      <w:pPr>
        <w:pStyle w:val="4"/>
        <w:spacing w:line="600" w:lineRule="exact"/>
        <w:ind w:left="-140" w:leftChars="-67" w:firstLine="627" w:firstLineChars="196"/>
        <w:rPr>
          <w:rFonts w:ascii="仿宋_GB2312" w:hAnsi="FZFangSong-Z02" w:eastAsia="仿宋_GB2312" w:cs="FZFangSong-Z02"/>
          <w:b/>
          <w:sz w:val="32"/>
          <w:szCs w:val="32"/>
        </w:rPr>
      </w:pPr>
      <w:r>
        <w:rPr>
          <w:rFonts w:hint="eastAsia" w:ascii="仿宋_GB2312" w:hAnsi="FZFangSong-Z02" w:eastAsia="仿宋_GB2312" w:cs="FZFangSong-Z02"/>
          <w:b/>
          <w:sz w:val="32"/>
          <w:szCs w:val="32"/>
        </w:rPr>
        <w:t>部门职责：</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（一）深化寻找“最美家庭”活动，充分发挥妇女在家庭生活中的独特作用，组织开展特色家庭文化活动，开展“培育好家风传承好家训”活动，建“半边天”家风家训馆。</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（二）延伸“美丽庭院”创建工作覆盖面，大力推进妇女讲习所建设，推行“六个一”创建机制。</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（三）开展互联网</w:t>
      </w:r>
      <w:r>
        <w:rPr>
          <w:rFonts w:ascii="仿宋_GB2312" w:eastAsia="仿宋_GB2312"/>
          <w:sz w:val="32"/>
          <w:szCs w:val="32"/>
        </w:rPr>
        <w:t>+</w:t>
      </w:r>
      <w:r>
        <w:rPr>
          <w:rFonts w:hint="eastAsia" w:ascii="仿宋_GB2312" w:eastAsia="仿宋_GB2312"/>
          <w:sz w:val="32"/>
          <w:szCs w:val="32"/>
        </w:rPr>
        <w:t>巾帼创业创新行动，制订互联网</w:t>
      </w:r>
      <w:r>
        <w:rPr>
          <w:rFonts w:ascii="仿宋_GB2312" w:eastAsia="仿宋_GB2312"/>
          <w:sz w:val="32"/>
          <w:szCs w:val="32"/>
        </w:rPr>
        <w:t>+</w:t>
      </w:r>
      <w:r>
        <w:rPr>
          <w:rFonts w:hint="eastAsia" w:ascii="仿宋_GB2312" w:eastAsia="仿宋_GB2312"/>
          <w:sz w:val="32"/>
          <w:szCs w:val="32"/>
        </w:rPr>
        <w:t>巾帼创业创新行动计划，推动全市妇女的创业就业。发挥互联网</w:t>
      </w:r>
      <w:r>
        <w:rPr>
          <w:rFonts w:ascii="仿宋_GB2312" w:eastAsia="仿宋_GB2312"/>
          <w:sz w:val="32"/>
          <w:szCs w:val="32"/>
        </w:rPr>
        <w:t>+</w:t>
      </w:r>
      <w:r>
        <w:rPr>
          <w:rFonts w:hint="eastAsia" w:ascii="仿宋_GB2312" w:eastAsia="仿宋_GB2312"/>
          <w:sz w:val="32"/>
          <w:szCs w:val="32"/>
        </w:rPr>
        <w:t>巾帼创业创新联盟作用，搭建电商服务平台</w:t>
      </w:r>
      <w:r>
        <w:rPr>
          <w:rFonts w:ascii="仿宋_GB2312" w:eastAsia="仿宋_GB2312"/>
          <w:sz w:val="32"/>
          <w:szCs w:val="32"/>
        </w:rPr>
        <w:t>,</w:t>
      </w:r>
      <w:r>
        <w:rPr>
          <w:rFonts w:hint="eastAsia" w:ascii="仿宋_GB2312" w:eastAsia="仿宋_GB2312"/>
          <w:sz w:val="32"/>
          <w:szCs w:val="32"/>
        </w:rPr>
        <w:t>开展电商培训；继续开展巾帼现代农业示范基地创建工作；积极打造妇女手工编织工作品牌。</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（四）全面提升巾帼家政服务员培训基地档次，拓宽招生、上岗覆盖面，畅通巾帼家政服务员输入、输出渠道，开展关爱妇女、关爱妇女健康相关项目。</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（五）做好家庭教育工作，充实家庭教育讲师团队伍，提高家庭教育工作的专业技术化水平，推动家庭教育进社区、进村镇、进家庭。</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（六）扎实开展“平安家庭”创建工作，加强妇女维权站建设，推广鹿泉的反家暴工作。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（七）继续扎实做好新生儿出生缺陷防治工程，积极完善推广有关部门“牵手服务”工作模式，努力提高出生缺陷预防的各项检查率，尤其是婚前医学检查率。</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（八）全面推进“儿童友好家园”建设和运行，打造市级儿童友好家园示范点，指导各县（市）区儿童友好家园建设工作。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（九）抓好妇联干部培训工作，以《石家庄市妇联干部工作手册》为基准教材，组织开展各层次妇联干部能力建设培训班，不断增强妇联干部坚定信念，良好品行和奉献精神。</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（十）深入开展“下基层、访妇情、办实事”活动，组织干部走出机关、走向基层、走进妇女群众，切实以作风建设的新成效促进妇联工作的创新发展。</w:t>
      </w:r>
    </w:p>
    <w:p>
      <w:pPr>
        <w:autoSpaceDE w:val="0"/>
        <w:autoSpaceDN w:val="0"/>
        <w:adjustRightInd w:val="0"/>
        <w:spacing w:line="600" w:lineRule="exact"/>
        <w:ind w:left="-140" w:leftChars="-67" w:firstLine="787" w:firstLineChars="246"/>
        <w:jc w:val="left"/>
        <w:rPr>
          <w:rFonts w:ascii="仿宋_GB2312" w:hAnsi="FZFangSong-Z02" w:eastAsia="仿宋_GB2312" w:cs="FZFangSong-Z02"/>
          <w:b/>
          <w:color w:val="000000"/>
          <w:kern w:val="0"/>
          <w:sz w:val="32"/>
          <w:szCs w:val="32"/>
        </w:rPr>
      </w:pPr>
      <w:r>
        <w:rPr>
          <w:rFonts w:hint="eastAsia" w:ascii="仿宋_GB2312" w:hAnsi="FZFangSong-Z02" w:eastAsia="仿宋_GB2312" w:cs="FZFangSong-Z02"/>
          <w:b/>
          <w:color w:val="000000"/>
          <w:kern w:val="0"/>
          <w:sz w:val="32"/>
          <w:szCs w:val="32"/>
        </w:rPr>
        <w:t>机构设置：</w:t>
      </w:r>
    </w:p>
    <w:tbl>
      <w:tblPr>
        <w:tblStyle w:val="3"/>
        <w:tblW w:w="977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7"/>
        <w:gridCol w:w="1432"/>
        <w:gridCol w:w="1845"/>
        <w:gridCol w:w="385"/>
        <w:gridCol w:w="2990"/>
        <w:gridCol w:w="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gridAfter w:val="1"/>
          <w:wAfter w:w="817" w:type="dxa"/>
          <w:trHeight w:val="227" w:hRule="atLeast"/>
          <w:tblHeader/>
          <w:jc w:val="center"/>
        </w:trPr>
        <w:tc>
          <w:tcPr>
            <w:tcW w:w="5969" w:type="dxa"/>
            <w:gridSpan w:val="4"/>
            <w:tcBorders>
              <w:top w:val="single" w:color="FFFFFF" w:sz="6" w:space="0"/>
              <w:left w:val="single" w:color="FFFFFF" w:sz="6" w:space="0"/>
              <w:right w:val="single" w:color="FFFFFF" w:sz="6" w:space="0"/>
            </w:tcBorders>
            <w:vAlign w:val="center"/>
          </w:tcPr>
          <w:p>
            <w:pPr>
              <w:spacing w:line="600" w:lineRule="exact"/>
              <w:ind w:left="-140" w:leftChars="-67"/>
              <w:jc w:val="center"/>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部门基本情况表</w:t>
            </w:r>
          </w:p>
        </w:tc>
        <w:tc>
          <w:tcPr>
            <w:tcW w:w="2990" w:type="dxa"/>
            <w:tcBorders>
              <w:top w:val="single" w:color="FFFFFF" w:sz="6" w:space="0"/>
              <w:left w:val="single" w:color="FFFFFF" w:sz="6" w:space="0"/>
              <w:right w:val="single" w:color="FFFFFF" w:sz="6" w:space="0"/>
            </w:tcBorders>
            <w:vAlign w:val="center"/>
          </w:tcPr>
          <w:p>
            <w:pPr>
              <w:spacing w:line="600" w:lineRule="exact"/>
              <w:ind w:left="-140" w:leftChars="-67"/>
              <w:jc w:val="right"/>
              <w:rPr>
                <w:rFonts w:ascii="仿宋_GB2312" w:eastAsia="仿宋_GB2312"/>
                <w:sz w:val="32"/>
                <w:szCs w:val="32"/>
              </w:rPr>
            </w:pPr>
            <w:r>
              <w:rPr>
                <w:rFonts w:ascii="仿宋_GB2312" w:eastAsia="仿宋_GB2312"/>
                <w:sz w:val="32"/>
                <w:szCs w:val="32"/>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600" w:hRule="atLeast"/>
          <w:tblHeader/>
          <w:jc w:val="center"/>
        </w:trPr>
        <w:tc>
          <w:tcPr>
            <w:tcW w:w="2307" w:type="dxa"/>
            <w:vMerge w:val="restart"/>
            <w:vAlign w:val="center"/>
          </w:tcPr>
          <w:p>
            <w:pPr>
              <w:spacing w:line="600" w:lineRule="exact"/>
              <w:ind w:left="-140" w:leftChars="-67"/>
              <w:jc w:val="center"/>
              <w:rPr>
                <w:rFonts w:ascii="仿宋_GB2312" w:eastAsia="仿宋_GB2312"/>
                <w:sz w:val="24"/>
                <w:szCs w:val="24"/>
              </w:rPr>
            </w:pPr>
            <w:r>
              <w:rPr>
                <w:rFonts w:hint="eastAsia" w:ascii="仿宋_GB2312" w:eastAsia="仿宋_GB2312"/>
                <w:sz w:val="24"/>
                <w:szCs w:val="24"/>
              </w:rPr>
              <w:t>单位名称</w:t>
            </w:r>
          </w:p>
        </w:tc>
        <w:tc>
          <w:tcPr>
            <w:tcW w:w="1432" w:type="dxa"/>
            <w:vMerge w:val="restart"/>
            <w:vAlign w:val="center"/>
          </w:tcPr>
          <w:p>
            <w:pPr>
              <w:spacing w:line="600" w:lineRule="exact"/>
              <w:ind w:left="-140" w:leftChars="-67"/>
              <w:jc w:val="center"/>
              <w:rPr>
                <w:rFonts w:ascii="仿宋_GB2312" w:eastAsia="仿宋_GB2312"/>
                <w:sz w:val="24"/>
                <w:szCs w:val="24"/>
              </w:rPr>
            </w:pPr>
            <w:r>
              <w:rPr>
                <w:rFonts w:hint="eastAsia" w:ascii="仿宋_GB2312" w:eastAsia="仿宋_GB2312"/>
                <w:sz w:val="24"/>
                <w:szCs w:val="24"/>
              </w:rPr>
              <w:t>单位性质</w:t>
            </w:r>
          </w:p>
        </w:tc>
        <w:tc>
          <w:tcPr>
            <w:tcW w:w="1845" w:type="dxa"/>
            <w:vMerge w:val="restart"/>
            <w:vAlign w:val="center"/>
          </w:tcPr>
          <w:p>
            <w:pPr>
              <w:spacing w:line="600" w:lineRule="exact"/>
              <w:ind w:left="-140" w:leftChars="-67"/>
              <w:jc w:val="center"/>
              <w:rPr>
                <w:rFonts w:ascii="仿宋_GB2312" w:eastAsia="仿宋_GB2312"/>
                <w:sz w:val="24"/>
                <w:szCs w:val="24"/>
              </w:rPr>
            </w:pPr>
            <w:r>
              <w:rPr>
                <w:rFonts w:hint="eastAsia" w:ascii="仿宋_GB2312" w:eastAsia="仿宋_GB2312"/>
                <w:sz w:val="24"/>
                <w:szCs w:val="24"/>
              </w:rPr>
              <w:t>单位规格</w:t>
            </w:r>
          </w:p>
        </w:tc>
        <w:tc>
          <w:tcPr>
            <w:tcW w:w="4192" w:type="dxa"/>
            <w:gridSpan w:val="3"/>
            <w:vMerge w:val="restart"/>
            <w:vAlign w:val="center"/>
          </w:tcPr>
          <w:p>
            <w:pPr>
              <w:spacing w:line="600" w:lineRule="exact"/>
              <w:ind w:left="-140" w:leftChars="-67"/>
              <w:jc w:val="center"/>
              <w:rPr>
                <w:rFonts w:ascii="仿宋_GB2312" w:eastAsia="仿宋_GB2312"/>
                <w:sz w:val="24"/>
                <w:szCs w:val="24"/>
              </w:rPr>
            </w:pPr>
            <w:r>
              <w:rPr>
                <w:rFonts w:hint="eastAsia" w:ascii="仿宋_GB2312" w:eastAsia="仿宋_GB2312"/>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0" w:hRule="atLeast"/>
          <w:tblHeader/>
          <w:jc w:val="center"/>
        </w:trPr>
        <w:tc>
          <w:tcPr>
            <w:tcW w:w="2307" w:type="dxa"/>
            <w:vMerge w:val="continue"/>
            <w:vAlign w:val="center"/>
          </w:tcPr>
          <w:p>
            <w:pPr>
              <w:widowControl/>
              <w:spacing w:line="600" w:lineRule="exact"/>
              <w:ind w:left="-140" w:leftChars="-67"/>
              <w:jc w:val="left"/>
              <w:rPr>
                <w:rFonts w:ascii="仿宋_GB2312" w:eastAsia="仿宋_GB2312"/>
                <w:sz w:val="24"/>
                <w:szCs w:val="24"/>
              </w:rPr>
            </w:pPr>
          </w:p>
        </w:tc>
        <w:tc>
          <w:tcPr>
            <w:tcW w:w="1432" w:type="dxa"/>
            <w:vMerge w:val="continue"/>
            <w:vAlign w:val="center"/>
          </w:tcPr>
          <w:p>
            <w:pPr>
              <w:widowControl/>
              <w:spacing w:line="600" w:lineRule="exact"/>
              <w:ind w:left="-140" w:leftChars="-67"/>
              <w:jc w:val="left"/>
              <w:rPr>
                <w:rFonts w:ascii="仿宋_GB2312" w:eastAsia="仿宋_GB2312"/>
                <w:sz w:val="24"/>
                <w:szCs w:val="24"/>
              </w:rPr>
            </w:pPr>
          </w:p>
        </w:tc>
        <w:tc>
          <w:tcPr>
            <w:tcW w:w="1845" w:type="dxa"/>
            <w:vMerge w:val="continue"/>
            <w:vAlign w:val="center"/>
          </w:tcPr>
          <w:p>
            <w:pPr>
              <w:widowControl/>
              <w:spacing w:line="600" w:lineRule="exact"/>
              <w:ind w:left="-140" w:leftChars="-67"/>
              <w:jc w:val="left"/>
              <w:rPr>
                <w:rFonts w:ascii="仿宋_GB2312" w:eastAsia="仿宋_GB2312"/>
                <w:sz w:val="24"/>
                <w:szCs w:val="24"/>
              </w:rPr>
            </w:pPr>
          </w:p>
        </w:tc>
        <w:tc>
          <w:tcPr>
            <w:tcW w:w="4192" w:type="dxa"/>
            <w:gridSpan w:val="3"/>
            <w:vMerge w:val="continue"/>
            <w:vAlign w:val="center"/>
          </w:tcPr>
          <w:p>
            <w:pPr>
              <w:widowControl/>
              <w:spacing w:line="600" w:lineRule="exact"/>
              <w:ind w:left="-140" w:leftChars="-67"/>
              <w:jc w:val="left"/>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07" w:type="dxa"/>
            <w:vAlign w:val="center"/>
          </w:tcPr>
          <w:p>
            <w:pPr>
              <w:spacing w:line="600" w:lineRule="exact"/>
              <w:ind w:left="-140" w:leftChars="-67"/>
              <w:rPr>
                <w:rFonts w:ascii="仿宋_GB2312" w:eastAsia="仿宋_GB2312"/>
                <w:sz w:val="24"/>
                <w:szCs w:val="24"/>
              </w:rPr>
            </w:pPr>
            <w:r>
              <w:rPr>
                <w:rFonts w:hint="eastAsia" w:ascii="仿宋_GB2312" w:eastAsia="仿宋_GB2312"/>
                <w:sz w:val="24"/>
                <w:szCs w:val="24"/>
              </w:rPr>
              <w:t>石家庄市妇女联合会</w:t>
            </w:r>
          </w:p>
        </w:tc>
        <w:tc>
          <w:tcPr>
            <w:tcW w:w="1432"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行政</w:t>
            </w:r>
          </w:p>
        </w:tc>
        <w:tc>
          <w:tcPr>
            <w:tcW w:w="1845"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正处</w:t>
            </w:r>
          </w:p>
        </w:tc>
        <w:tc>
          <w:tcPr>
            <w:tcW w:w="4192" w:type="dxa"/>
            <w:gridSpan w:val="3"/>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财政拨款</w:t>
            </w:r>
          </w:p>
        </w:tc>
      </w:tr>
    </w:tbl>
    <w:p>
      <w:pPr>
        <w:autoSpaceDE w:val="0"/>
        <w:autoSpaceDN w:val="0"/>
        <w:adjustRightInd w:val="0"/>
        <w:spacing w:line="600" w:lineRule="exact"/>
        <w:ind w:left="-140" w:leftChars="-67" w:firstLine="640" w:firstLineChars="200"/>
        <w:jc w:val="left"/>
        <w:rPr>
          <w:rFonts w:ascii="黑体" w:hAnsi="黑体" w:eastAsia="黑体" w:cs="黑体"/>
          <w:color w:val="000000"/>
          <w:kern w:val="0"/>
          <w:sz w:val="32"/>
          <w:szCs w:val="32"/>
        </w:rPr>
      </w:pPr>
      <w:r>
        <w:rPr>
          <w:rFonts w:hint="eastAsia" w:ascii="黑体" w:hAnsi="黑体" w:eastAsia="黑体" w:cs="黑体"/>
          <w:color w:val="000000"/>
          <w:kern w:val="0"/>
          <w:sz w:val="32"/>
          <w:szCs w:val="32"/>
        </w:rPr>
        <w:t>二、部门预算安排的总体情况</w:t>
      </w:r>
    </w:p>
    <w:p>
      <w:pPr>
        <w:autoSpaceDE w:val="0"/>
        <w:autoSpaceDN w:val="0"/>
        <w:adjustRightInd w:val="0"/>
        <w:spacing w:line="600" w:lineRule="exact"/>
        <w:ind w:left="-140" w:leftChars="-67" w:firstLine="627" w:firstLineChars="196"/>
        <w:jc w:val="left"/>
        <w:rPr>
          <w:rFonts w:ascii="仿宋_GB2312" w:hAnsi="FZFangSong-Z02" w:eastAsia="仿宋_GB2312" w:cs="FZFangSong-Z02"/>
          <w:b/>
          <w:color w:val="000000"/>
          <w:kern w:val="0"/>
          <w:sz w:val="32"/>
          <w:szCs w:val="32"/>
        </w:rPr>
      </w:pPr>
      <w:r>
        <w:rPr>
          <w:rFonts w:ascii="仿宋_GB2312" w:hAnsi="Times New Roman" w:eastAsia="仿宋_GB2312"/>
          <w:b/>
          <w:color w:val="000000"/>
          <w:kern w:val="0"/>
          <w:sz w:val="32"/>
          <w:szCs w:val="32"/>
        </w:rPr>
        <w:t>1</w:t>
      </w:r>
      <w:r>
        <w:rPr>
          <w:rFonts w:hint="eastAsia" w:ascii="仿宋_GB2312" w:hAnsi="FZFangSong-Z02" w:eastAsia="仿宋_GB2312" w:cs="FZFangSong-Z02"/>
          <w:b/>
          <w:color w:val="000000"/>
          <w:kern w:val="0"/>
          <w:sz w:val="32"/>
          <w:szCs w:val="32"/>
        </w:rPr>
        <w:t>、收入说明</w:t>
      </w:r>
    </w:p>
    <w:p>
      <w:pPr>
        <w:adjustRightInd w:val="0"/>
        <w:snapToGrid w:val="0"/>
        <w:spacing w:line="600" w:lineRule="exact"/>
        <w:ind w:left="-140" w:leftChars="-67" w:firstLine="640" w:firstLineChars="200"/>
        <w:jc w:val="left"/>
        <w:rPr>
          <w:rFonts w:ascii="仿宋_GB2312" w:hAnsi="仿宋_GB2312" w:eastAsia="仿宋_GB2312" w:cs="仿宋_GB2312"/>
          <w:bCs/>
          <w:sz w:val="32"/>
          <w:szCs w:val="32"/>
        </w:rPr>
      </w:pPr>
      <w:r>
        <w:rPr>
          <w:rFonts w:hint="eastAsia" w:ascii="仿宋_GB2312" w:hAnsi="FZFangSong-Z02" w:eastAsia="仿宋_GB2312" w:cs="FZFangSong-Z02"/>
          <w:color w:val="000000"/>
          <w:kern w:val="0"/>
          <w:sz w:val="32"/>
          <w:szCs w:val="32"/>
        </w:rPr>
        <w:t>反映本部门当年全部收入。</w:t>
      </w:r>
      <w:r>
        <w:rPr>
          <w:rFonts w:hint="eastAsia" w:ascii="仿宋_GB2312" w:hAnsi="仿宋_GB2312" w:eastAsia="仿宋_GB2312" w:cs="仿宋_GB2312"/>
          <w:bCs/>
          <w:sz w:val="32"/>
          <w:szCs w:val="32"/>
        </w:rPr>
        <w:t>石家庄市妇女联合会</w:t>
      </w:r>
      <w:r>
        <w:rPr>
          <w:rFonts w:ascii="仿宋_GB2312" w:hAnsi="仿宋_GB2312" w:eastAsia="仿宋_GB2312" w:cs="仿宋_GB2312"/>
          <w:bCs/>
          <w:sz w:val="32"/>
          <w:szCs w:val="32"/>
        </w:rPr>
        <w:t>2017</w:t>
      </w:r>
      <w:r>
        <w:rPr>
          <w:rFonts w:hint="eastAsia" w:ascii="仿宋_GB2312" w:hAnsi="仿宋_GB2312" w:eastAsia="仿宋_GB2312" w:cs="仿宋_GB2312"/>
          <w:bCs/>
          <w:sz w:val="32"/>
          <w:szCs w:val="32"/>
        </w:rPr>
        <w:t>年预算收入总计</w:t>
      </w:r>
      <w:r>
        <w:rPr>
          <w:rFonts w:ascii="仿宋_GB2312" w:hAnsi="仿宋_GB2312" w:eastAsia="仿宋_GB2312" w:cs="仿宋_GB2312"/>
          <w:bCs/>
          <w:sz w:val="32"/>
          <w:szCs w:val="32"/>
        </w:rPr>
        <w:t>1229.93</w:t>
      </w:r>
      <w:r>
        <w:rPr>
          <w:rFonts w:hint="eastAsia" w:ascii="仿宋_GB2312" w:hAnsi="仿宋_GB2312" w:eastAsia="仿宋_GB2312" w:cs="仿宋_GB2312"/>
          <w:bCs/>
          <w:sz w:val="32"/>
          <w:szCs w:val="32"/>
        </w:rPr>
        <w:t>万元。其中，一般公共预算收入</w:t>
      </w:r>
      <w:r>
        <w:rPr>
          <w:rFonts w:ascii="仿宋_GB2312" w:hAnsi="仿宋_GB2312" w:eastAsia="仿宋_GB2312" w:cs="仿宋_GB2312"/>
          <w:bCs/>
          <w:sz w:val="32"/>
          <w:szCs w:val="32"/>
        </w:rPr>
        <w:t>1229.93</w:t>
      </w:r>
      <w:r>
        <w:rPr>
          <w:rFonts w:hint="eastAsia" w:ascii="仿宋_GB2312" w:hAnsi="仿宋_GB2312" w:eastAsia="仿宋_GB2312" w:cs="仿宋_GB2312"/>
          <w:bCs/>
          <w:sz w:val="32"/>
          <w:szCs w:val="32"/>
        </w:rPr>
        <w:t>万元。</w:t>
      </w:r>
    </w:p>
    <w:p>
      <w:pPr>
        <w:autoSpaceDE w:val="0"/>
        <w:autoSpaceDN w:val="0"/>
        <w:adjustRightInd w:val="0"/>
        <w:spacing w:line="600" w:lineRule="exact"/>
        <w:ind w:left="-140" w:leftChars="-67" w:firstLine="627" w:firstLineChars="196"/>
        <w:jc w:val="left"/>
        <w:rPr>
          <w:rFonts w:ascii="仿宋_GB2312" w:hAnsi="FZFangSong-Z02" w:eastAsia="仿宋_GB2312" w:cs="FZFangSong-Z02"/>
          <w:b/>
          <w:color w:val="000000"/>
          <w:kern w:val="0"/>
          <w:sz w:val="32"/>
          <w:szCs w:val="32"/>
        </w:rPr>
      </w:pPr>
      <w:r>
        <w:rPr>
          <w:rFonts w:ascii="仿宋_GB2312" w:hAnsi="Times New Roman" w:eastAsia="仿宋_GB2312"/>
          <w:b/>
          <w:color w:val="000000"/>
          <w:kern w:val="0"/>
          <w:sz w:val="32"/>
          <w:szCs w:val="32"/>
        </w:rPr>
        <w:t>2</w:t>
      </w:r>
      <w:r>
        <w:rPr>
          <w:rFonts w:hint="eastAsia" w:ascii="仿宋_GB2312" w:hAnsi="FZFangSong-Z02" w:eastAsia="仿宋_GB2312" w:cs="FZFangSong-Z02"/>
          <w:b/>
          <w:color w:val="000000"/>
          <w:kern w:val="0"/>
          <w:sz w:val="32"/>
          <w:szCs w:val="32"/>
        </w:rPr>
        <w:t>、支出说明</w:t>
      </w:r>
    </w:p>
    <w:p>
      <w:pPr>
        <w:adjustRightInd w:val="0"/>
        <w:snapToGrid w:val="0"/>
        <w:spacing w:line="600" w:lineRule="exact"/>
        <w:ind w:left="-140" w:leftChars="-67" w:firstLine="640" w:firstLineChars="200"/>
        <w:jc w:val="left"/>
        <w:rPr>
          <w:rFonts w:ascii="仿宋_GB2312" w:hAnsi="仿宋_GB2312" w:eastAsia="仿宋_GB2312" w:cs="仿宋_GB2312"/>
          <w:bCs/>
          <w:sz w:val="32"/>
          <w:szCs w:val="32"/>
        </w:rPr>
      </w:pPr>
      <w:r>
        <w:rPr>
          <w:rFonts w:hint="eastAsia" w:ascii="仿宋_GB2312" w:hAnsi="FZFangSong-Z02" w:eastAsia="仿宋_GB2312" w:cs="FZFangSong-Z02"/>
          <w:color w:val="000000"/>
          <w:kern w:val="0"/>
          <w:sz w:val="32"/>
          <w:szCs w:val="32"/>
        </w:rPr>
        <w:t>收支预算总表支出栏、基本支出表、项目支出表按经济分类和支出功能分类科目编制，反映石家庄市妇联年度部门预算中支出预算的总体情况。</w:t>
      </w:r>
      <w:r>
        <w:rPr>
          <w:rFonts w:ascii="仿宋_GB2312" w:hAnsi="仿宋_GB2312" w:eastAsia="仿宋_GB2312" w:cs="仿宋_GB2312"/>
          <w:bCs/>
          <w:sz w:val="32"/>
          <w:szCs w:val="32"/>
        </w:rPr>
        <w:t>2017</w:t>
      </w:r>
      <w:r>
        <w:rPr>
          <w:rFonts w:hint="eastAsia" w:ascii="仿宋_GB2312" w:hAnsi="仿宋_GB2312" w:eastAsia="仿宋_GB2312" w:cs="仿宋_GB2312"/>
          <w:bCs/>
          <w:sz w:val="32"/>
          <w:szCs w:val="32"/>
        </w:rPr>
        <w:t>年预算支出</w:t>
      </w:r>
      <w:r>
        <w:rPr>
          <w:rFonts w:ascii="仿宋_GB2312" w:hAnsi="仿宋_GB2312" w:eastAsia="仿宋_GB2312" w:cs="仿宋_GB2312"/>
          <w:bCs/>
          <w:sz w:val="32"/>
          <w:szCs w:val="32"/>
        </w:rPr>
        <w:t>1229.93</w:t>
      </w:r>
      <w:r>
        <w:rPr>
          <w:rFonts w:hint="eastAsia" w:ascii="仿宋_GB2312" w:hAnsi="仿宋_GB2312" w:eastAsia="仿宋_GB2312" w:cs="仿宋_GB2312"/>
          <w:bCs/>
          <w:sz w:val="32"/>
          <w:szCs w:val="32"/>
        </w:rPr>
        <w:t>万元。其中，人员经费支出</w:t>
      </w:r>
      <w:r>
        <w:rPr>
          <w:rFonts w:ascii="仿宋_GB2312" w:hAnsi="仿宋_GB2312" w:eastAsia="仿宋_GB2312" w:cs="仿宋_GB2312"/>
          <w:bCs/>
          <w:sz w:val="32"/>
          <w:szCs w:val="32"/>
        </w:rPr>
        <w:t>703.86</w:t>
      </w:r>
      <w:r>
        <w:rPr>
          <w:rFonts w:hint="eastAsia" w:ascii="仿宋_GB2312" w:hAnsi="仿宋_GB2312" w:eastAsia="仿宋_GB2312" w:cs="仿宋_GB2312"/>
          <w:bCs/>
          <w:sz w:val="32"/>
          <w:szCs w:val="32"/>
        </w:rPr>
        <w:t>万元，正常公用经费</w:t>
      </w:r>
      <w:r>
        <w:rPr>
          <w:rFonts w:ascii="仿宋_GB2312" w:hAnsi="仿宋_GB2312" w:eastAsia="仿宋_GB2312" w:cs="仿宋_GB2312"/>
          <w:bCs/>
          <w:sz w:val="32"/>
          <w:szCs w:val="32"/>
        </w:rPr>
        <w:t>82.07</w:t>
      </w:r>
      <w:r>
        <w:rPr>
          <w:rFonts w:hint="eastAsia" w:ascii="仿宋_GB2312" w:hAnsi="仿宋_GB2312" w:eastAsia="仿宋_GB2312" w:cs="仿宋_GB2312"/>
          <w:bCs/>
          <w:sz w:val="32"/>
          <w:szCs w:val="32"/>
        </w:rPr>
        <w:t>万元，项目支出</w:t>
      </w:r>
      <w:r>
        <w:rPr>
          <w:rFonts w:ascii="仿宋_GB2312" w:hAnsi="仿宋_GB2312" w:eastAsia="仿宋_GB2312" w:cs="仿宋_GB2312"/>
          <w:bCs/>
          <w:sz w:val="32"/>
          <w:szCs w:val="32"/>
        </w:rPr>
        <w:t>444</w:t>
      </w:r>
      <w:r>
        <w:rPr>
          <w:rFonts w:hint="eastAsia" w:ascii="仿宋_GB2312" w:hAnsi="仿宋_GB2312" w:eastAsia="仿宋_GB2312" w:cs="仿宋_GB2312"/>
          <w:bCs/>
          <w:sz w:val="32"/>
          <w:szCs w:val="32"/>
        </w:rPr>
        <w:t>万元（其中本级项目支出</w:t>
      </w:r>
      <w:r>
        <w:rPr>
          <w:rFonts w:ascii="仿宋_GB2312" w:hAnsi="仿宋_GB2312" w:eastAsia="仿宋_GB2312" w:cs="仿宋_GB2312"/>
          <w:bCs/>
          <w:sz w:val="32"/>
          <w:szCs w:val="32"/>
        </w:rPr>
        <w:t>265</w:t>
      </w:r>
      <w:r>
        <w:rPr>
          <w:rFonts w:hint="eastAsia" w:ascii="仿宋_GB2312" w:hAnsi="仿宋_GB2312" w:eastAsia="仿宋_GB2312" w:cs="仿宋_GB2312"/>
          <w:bCs/>
          <w:sz w:val="32"/>
          <w:szCs w:val="32"/>
        </w:rPr>
        <w:t>万元，对下补助</w:t>
      </w:r>
      <w:r>
        <w:rPr>
          <w:rFonts w:ascii="仿宋_GB2312" w:hAnsi="仿宋_GB2312" w:eastAsia="仿宋_GB2312" w:cs="仿宋_GB2312"/>
          <w:bCs/>
          <w:sz w:val="32"/>
          <w:szCs w:val="32"/>
        </w:rPr>
        <w:t>179</w:t>
      </w:r>
      <w:r>
        <w:rPr>
          <w:rFonts w:hint="eastAsia" w:ascii="仿宋_GB2312" w:hAnsi="仿宋_GB2312" w:eastAsia="仿宋_GB2312" w:cs="仿宋_GB2312"/>
          <w:bCs/>
          <w:sz w:val="32"/>
          <w:szCs w:val="32"/>
        </w:rPr>
        <w:t>万元。）</w:t>
      </w:r>
    </w:p>
    <w:p>
      <w:pPr>
        <w:adjustRightInd w:val="0"/>
        <w:snapToGrid w:val="0"/>
        <w:spacing w:line="600" w:lineRule="exact"/>
        <w:ind w:left="-140" w:leftChars="-67" w:firstLine="640" w:firstLineChars="200"/>
        <w:jc w:val="left"/>
        <w:rPr>
          <w:rFonts w:ascii="仿宋_GB2312" w:hAnsi="FZFangSong-Z02" w:eastAsia="仿宋_GB2312" w:cs="FZFangSong-Z02"/>
          <w:b/>
          <w:color w:val="000000"/>
          <w:kern w:val="0"/>
          <w:sz w:val="32"/>
          <w:szCs w:val="32"/>
        </w:rPr>
      </w:pPr>
      <w:r>
        <w:rPr>
          <w:rFonts w:ascii="仿宋_GB2312" w:hAnsi="FZFangSong-Z02" w:eastAsia="仿宋_GB2312" w:cs="FZFangSong-Z02"/>
          <w:b/>
          <w:color w:val="000000"/>
          <w:kern w:val="0"/>
          <w:sz w:val="32"/>
          <w:szCs w:val="32"/>
        </w:rPr>
        <w:t>3</w:t>
      </w:r>
      <w:r>
        <w:rPr>
          <w:rFonts w:hint="eastAsia" w:ascii="仿宋_GB2312" w:hAnsi="FZFangSong-Z02" w:eastAsia="仿宋_GB2312" w:cs="FZFangSong-Z02"/>
          <w:b/>
          <w:color w:val="000000"/>
          <w:kern w:val="0"/>
          <w:sz w:val="32"/>
          <w:szCs w:val="32"/>
        </w:rPr>
        <w:t>、比上年增减情况</w:t>
      </w:r>
    </w:p>
    <w:p>
      <w:pPr>
        <w:adjustRightInd w:val="0"/>
        <w:snapToGrid w:val="0"/>
        <w:spacing w:line="600" w:lineRule="exact"/>
        <w:ind w:left="-140" w:leftChars="-67" w:firstLine="640" w:firstLineChars="200"/>
        <w:jc w:val="left"/>
        <w:rPr>
          <w:rFonts w:ascii="仿宋_GB2312" w:hAnsi="仿宋_GB2312" w:eastAsia="仿宋_GB2312" w:cs="仿宋_GB2312"/>
          <w:bCs/>
          <w:sz w:val="32"/>
          <w:szCs w:val="32"/>
        </w:rPr>
      </w:pPr>
      <w:r>
        <w:rPr>
          <w:rFonts w:ascii="仿宋_GB2312" w:hAnsi="仿宋_GB2312" w:eastAsia="仿宋_GB2312" w:cs="仿宋_GB2312"/>
          <w:bCs/>
          <w:sz w:val="32"/>
          <w:szCs w:val="32"/>
        </w:rPr>
        <w:t xml:space="preserve">2017 </w:t>
      </w:r>
      <w:r>
        <w:rPr>
          <w:rFonts w:hint="eastAsia" w:ascii="仿宋_GB2312" w:hAnsi="仿宋_GB2312" w:eastAsia="仿宋_GB2312" w:cs="仿宋_GB2312"/>
          <w:bCs/>
          <w:sz w:val="32"/>
          <w:szCs w:val="32"/>
        </w:rPr>
        <w:t>年预算收支安排</w:t>
      </w:r>
      <w:r>
        <w:rPr>
          <w:rFonts w:ascii="仿宋_GB2312" w:hAnsi="仿宋_GB2312" w:eastAsia="仿宋_GB2312" w:cs="仿宋_GB2312"/>
          <w:bCs/>
          <w:sz w:val="32"/>
          <w:szCs w:val="32"/>
        </w:rPr>
        <w:t>1229.93</w:t>
      </w:r>
      <w:r>
        <w:rPr>
          <w:rFonts w:hint="eastAsia" w:ascii="仿宋_GB2312" w:hAnsi="仿宋_GB2312" w:eastAsia="仿宋_GB2312" w:cs="仿宋_GB2312"/>
          <w:bCs/>
          <w:sz w:val="32"/>
          <w:szCs w:val="32"/>
        </w:rPr>
        <w:t>万元，较</w:t>
      </w:r>
      <w:r>
        <w:rPr>
          <w:rFonts w:ascii="仿宋_GB2312" w:hAnsi="仿宋_GB2312" w:eastAsia="仿宋_GB2312" w:cs="仿宋_GB2312"/>
          <w:bCs/>
          <w:sz w:val="32"/>
          <w:szCs w:val="32"/>
        </w:rPr>
        <w:t>2016</w:t>
      </w:r>
      <w:r>
        <w:rPr>
          <w:rFonts w:hint="eastAsia" w:ascii="仿宋_GB2312" w:hAnsi="仿宋_GB2312" w:eastAsia="仿宋_GB2312" w:cs="仿宋_GB2312"/>
          <w:bCs/>
          <w:sz w:val="32"/>
          <w:szCs w:val="32"/>
        </w:rPr>
        <w:t>年预算增加</w:t>
      </w:r>
      <w:r>
        <w:rPr>
          <w:rFonts w:ascii="仿宋_GB2312" w:hAnsi="仿宋_GB2312" w:eastAsia="仿宋_GB2312" w:cs="仿宋_GB2312"/>
          <w:bCs/>
          <w:sz w:val="32"/>
          <w:szCs w:val="32"/>
        </w:rPr>
        <w:t>330.2</w:t>
      </w:r>
      <w:r>
        <w:rPr>
          <w:rFonts w:hint="eastAsia" w:ascii="仿宋_GB2312" w:hAnsi="仿宋_GB2312" w:eastAsia="仿宋_GB2312" w:cs="仿宋_GB2312"/>
          <w:bCs/>
          <w:sz w:val="32"/>
          <w:szCs w:val="32"/>
        </w:rPr>
        <w:t>万元，其中：基本支出增加</w:t>
      </w:r>
      <w:r>
        <w:rPr>
          <w:rFonts w:ascii="仿宋_GB2312" w:hAnsi="仿宋_GB2312" w:eastAsia="仿宋_GB2312" w:cs="仿宋_GB2312"/>
          <w:bCs/>
          <w:sz w:val="32"/>
          <w:szCs w:val="32"/>
        </w:rPr>
        <w:t>228.2</w:t>
      </w:r>
      <w:r>
        <w:rPr>
          <w:rFonts w:hint="eastAsia" w:ascii="仿宋_GB2312" w:hAnsi="仿宋_GB2312" w:eastAsia="仿宋_GB2312" w:cs="仿宋_GB2312"/>
          <w:bCs/>
          <w:sz w:val="32"/>
          <w:szCs w:val="32"/>
        </w:rPr>
        <w:t>万元，</w:t>
      </w: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主要为增加人员经费支出；项目支出增加</w:t>
      </w:r>
      <w:r>
        <w:rPr>
          <w:rFonts w:ascii="仿宋_GB2312" w:hAnsi="仿宋_GB2312" w:eastAsia="仿宋_GB2312" w:cs="仿宋_GB2312"/>
          <w:bCs/>
          <w:sz w:val="32"/>
          <w:szCs w:val="32"/>
        </w:rPr>
        <w:t>102</w:t>
      </w:r>
      <w:r>
        <w:rPr>
          <w:rFonts w:hint="eastAsia" w:ascii="仿宋_GB2312" w:hAnsi="仿宋_GB2312" w:eastAsia="仿宋_GB2312" w:cs="仿宋_GB2312"/>
          <w:bCs/>
          <w:sz w:val="32"/>
          <w:szCs w:val="32"/>
        </w:rPr>
        <w:t>万元，主要为提前下达</w:t>
      </w:r>
      <w:r>
        <w:rPr>
          <w:rFonts w:ascii="仿宋_GB2312" w:hAnsi="仿宋_GB2312" w:eastAsia="仿宋_GB2312" w:cs="仿宋_GB2312"/>
          <w:bCs/>
          <w:sz w:val="32"/>
          <w:szCs w:val="32"/>
        </w:rPr>
        <w:t>2017</w:t>
      </w:r>
      <w:r>
        <w:rPr>
          <w:rFonts w:hint="eastAsia" w:ascii="仿宋_GB2312" w:hAnsi="仿宋_GB2312" w:eastAsia="仿宋_GB2312" w:cs="仿宋_GB2312"/>
          <w:bCs/>
          <w:sz w:val="32"/>
          <w:szCs w:val="32"/>
        </w:rPr>
        <w:t>年省级妇女之家建设经费，及增加市级示范儿童友好家园运行经费。</w:t>
      </w:r>
    </w:p>
    <w:p>
      <w:pPr>
        <w:adjustRightInd w:val="0"/>
        <w:snapToGrid w:val="0"/>
        <w:spacing w:line="600" w:lineRule="exact"/>
        <w:ind w:left="-140" w:leftChars="-67" w:firstLine="640" w:firstLineChars="200"/>
        <w:jc w:val="left"/>
        <w:rPr>
          <w:rFonts w:ascii="黑体" w:hAnsi="仿宋_GB2312" w:eastAsia="黑体" w:cs="仿宋_GB2312"/>
          <w:bCs/>
          <w:sz w:val="32"/>
          <w:szCs w:val="32"/>
        </w:rPr>
      </w:pPr>
      <w:r>
        <w:rPr>
          <w:rFonts w:hint="eastAsia" w:ascii="黑体" w:hAnsi="仿宋_GB2312" w:eastAsia="黑体" w:cs="仿宋_GB2312"/>
          <w:bCs/>
          <w:sz w:val="32"/>
          <w:szCs w:val="32"/>
        </w:rPr>
        <w:t>三、机关运行经费安排情况</w:t>
      </w:r>
    </w:p>
    <w:p>
      <w:pPr>
        <w:autoSpaceDE w:val="0"/>
        <w:autoSpaceDN w:val="0"/>
        <w:adjustRightInd w:val="0"/>
        <w:spacing w:line="600" w:lineRule="exact"/>
        <w:ind w:left="-140" w:leftChars="-67" w:firstLine="627" w:firstLineChars="196"/>
        <w:jc w:val="left"/>
        <w:rPr>
          <w:rFonts w:ascii="仿宋_GB2312" w:hAnsi="FZFangSong-Z02" w:eastAsia="仿宋_GB2312" w:cs="FZFangSong-Z02"/>
          <w:color w:val="000000"/>
          <w:kern w:val="0"/>
          <w:sz w:val="32"/>
          <w:szCs w:val="32"/>
        </w:rPr>
      </w:pPr>
      <w:r>
        <w:rPr>
          <w:rFonts w:hint="eastAsia" w:ascii="仿宋_GB2312" w:hAnsi="仿宋_GB2312" w:eastAsia="仿宋_GB2312" w:cs="仿宋_GB2312"/>
          <w:bCs/>
          <w:sz w:val="32"/>
          <w:szCs w:val="32"/>
        </w:rPr>
        <w:t>机关运行经费共计安排</w:t>
      </w:r>
      <w:r>
        <w:rPr>
          <w:rFonts w:ascii="仿宋_GB2312" w:hAnsi="仿宋_GB2312" w:eastAsia="仿宋_GB2312" w:cs="仿宋_GB2312"/>
          <w:bCs/>
          <w:sz w:val="32"/>
          <w:szCs w:val="32"/>
        </w:rPr>
        <w:t>45.15</w:t>
      </w:r>
      <w:r>
        <w:rPr>
          <w:rFonts w:hint="eastAsia" w:ascii="仿宋_GB2312" w:hAnsi="仿宋_GB2312" w:eastAsia="仿宋_GB2312" w:cs="仿宋_GB2312"/>
          <w:bCs/>
          <w:sz w:val="32"/>
          <w:szCs w:val="32"/>
        </w:rPr>
        <w:t>万元，用于</w:t>
      </w:r>
      <w:r>
        <w:rPr>
          <w:rFonts w:hint="eastAsia" w:ascii="仿宋_GB2312" w:hAnsi="FZFangSong-Z02" w:eastAsia="仿宋_GB2312" w:cs="FZFangSong-Z02"/>
          <w:color w:val="000000"/>
          <w:kern w:val="0"/>
          <w:sz w:val="32"/>
          <w:szCs w:val="32"/>
        </w:rPr>
        <w:t>办公用房水电费、办公用房取暖费、办公用房物业管理费、公务用车运行维护费以及其他费用。</w:t>
      </w:r>
    </w:p>
    <w:p>
      <w:pPr>
        <w:adjustRightInd w:val="0"/>
        <w:snapToGrid w:val="0"/>
        <w:spacing w:line="600" w:lineRule="exact"/>
        <w:ind w:left="-140" w:leftChars="-67" w:firstLine="640" w:firstLineChars="200"/>
        <w:jc w:val="left"/>
        <w:rPr>
          <w:rFonts w:ascii="黑体" w:hAnsi="仿宋_GB2312" w:eastAsia="黑体" w:cs="仿宋_GB2312"/>
          <w:bCs/>
          <w:sz w:val="32"/>
          <w:szCs w:val="32"/>
        </w:rPr>
      </w:pPr>
      <w:r>
        <w:rPr>
          <w:rFonts w:hint="eastAsia" w:ascii="黑体" w:hAnsi="仿宋_GB2312" w:eastAsia="黑体" w:cs="仿宋_GB2312"/>
          <w:bCs/>
          <w:sz w:val="32"/>
          <w:szCs w:val="32"/>
        </w:rPr>
        <w:t>四、财政拨款“三公</w:t>
      </w:r>
      <w:r>
        <w:rPr>
          <w:rFonts w:ascii="黑体" w:hAnsi="仿宋_GB2312" w:eastAsia="黑体" w:cs="仿宋_GB2312"/>
          <w:bCs/>
          <w:sz w:val="32"/>
          <w:szCs w:val="32"/>
        </w:rPr>
        <w:t xml:space="preserve"> </w:t>
      </w:r>
      <w:r>
        <w:rPr>
          <w:rFonts w:hint="eastAsia" w:ascii="黑体" w:hAnsi="仿宋_GB2312" w:eastAsia="黑体" w:cs="仿宋_GB2312"/>
          <w:bCs/>
          <w:sz w:val="32"/>
          <w:szCs w:val="32"/>
        </w:rPr>
        <w:t>”经费预算情况及增减变化原因</w:t>
      </w:r>
    </w:p>
    <w:p>
      <w:pPr>
        <w:adjustRightInd w:val="0"/>
        <w:snapToGrid w:val="0"/>
        <w:spacing w:line="600" w:lineRule="exact"/>
        <w:ind w:left="-140" w:leftChars="-67" w:firstLine="640" w:firstLineChars="200"/>
        <w:jc w:val="left"/>
        <w:rPr>
          <w:rFonts w:ascii="仿宋_GB2312" w:hAnsi="黑体" w:eastAsia="仿宋_GB2312" w:cs="黑体"/>
          <w:color w:val="000000"/>
          <w:kern w:val="0"/>
          <w:sz w:val="32"/>
          <w:szCs w:val="32"/>
        </w:rPr>
      </w:pPr>
      <w:r>
        <w:rPr>
          <w:rFonts w:ascii="仿宋_GB2312" w:hAnsi="仿宋_GB2312" w:eastAsia="仿宋_GB2312" w:cs="仿宋_GB2312"/>
          <w:bCs/>
          <w:sz w:val="32"/>
          <w:szCs w:val="32"/>
        </w:rPr>
        <w:t>2017</w:t>
      </w:r>
      <w:r>
        <w:rPr>
          <w:rFonts w:hint="eastAsia" w:ascii="仿宋_GB2312" w:hAnsi="仿宋_GB2312" w:eastAsia="仿宋_GB2312" w:cs="仿宋_GB2312"/>
          <w:bCs/>
          <w:sz w:val="32"/>
          <w:szCs w:val="32"/>
        </w:rPr>
        <w:t>年“三公”经费支出</w:t>
      </w:r>
      <w:r>
        <w:rPr>
          <w:rFonts w:ascii="仿宋_GB2312" w:hAnsi="仿宋_GB2312" w:eastAsia="仿宋_GB2312" w:cs="仿宋_GB2312"/>
          <w:bCs/>
          <w:sz w:val="32"/>
          <w:szCs w:val="32"/>
        </w:rPr>
        <w:t>10.6</w:t>
      </w:r>
      <w:r>
        <w:rPr>
          <w:rFonts w:hint="eastAsia" w:ascii="仿宋_GB2312" w:hAnsi="仿宋_GB2312" w:eastAsia="仿宋_GB2312" w:cs="仿宋_GB2312"/>
          <w:bCs/>
          <w:sz w:val="32"/>
          <w:szCs w:val="32"/>
        </w:rPr>
        <w:t>6万元（因公出国（境）费</w:t>
      </w:r>
      <w:r>
        <w:rPr>
          <w:rFonts w:ascii="仿宋_GB2312" w:hAnsi="仿宋_GB2312" w:eastAsia="仿宋_GB2312" w:cs="仿宋_GB2312"/>
          <w:bCs/>
          <w:sz w:val="32"/>
          <w:szCs w:val="32"/>
        </w:rPr>
        <w:t>0</w:t>
      </w:r>
      <w:r>
        <w:rPr>
          <w:rFonts w:hint="eastAsia" w:ascii="仿宋_GB2312" w:hAnsi="仿宋_GB2312" w:eastAsia="仿宋_GB2312" w:cs="仿宋_GB2312"/>
          <w:bCs/>
          <w:sz w:val="32"/>
          <w:szCs w:val="32"/>
        </w:rPr>
        <w:t>元，公务用车购置</w:t>
      </w:r>
      <w:r>
        <w:rPr>
          <w:rFonts w:ascii="仿宋_GB2312" w:hAnsi="仿宋_GB2312" w:eastAsia="仿宋_GB2312" w:cs="仿宋_GB2312"/>
          <w:bCs/>
          <w:sz w:val="32"/>
          <w:szCs w:val="32"/>
        </w:rPr>
        <w:t>0</w:t>
      </w:r>
      <w:r>
        <w:rPr>
          <w:rFonts w:hint="eastAsia" w:ascii="仿宋_GB2312" w:hAnsi="仿宋_GB2312" w:eastAsia="仿宋_GB2312" w:cs="仿宋_GB2312"/>
          <w:bCs/>
          <w:sz w:val="32"/>
          <w:szCs w:val="32"/>
        </w:rPr>
        <w:t>元，公务用车运行维护费</w:t>
      </w:r>
      <w:r>
        <w:rPr>
          <w:rFonts w:ascii="仿宋_GB2312" w:hAnsi="仿宋_GB2312" w:eastAsia="仿宋_GB2312" w:cs="仿宋_GB2312"/>
          <w:bCs/>
          <w:sz w:val="32"/>
          <w:szCs w:val="32"/>
        </w:rPr>
        <w:t>10</w:t>
      </w:r>
      <w:r>
        <w:rPr>
          <w:rFonts w:hint="eastAsia" w:ascii="仿宋_GB2312" w:hAnsi="仿宋_GB2312" w:eastAsia="仿宋_GB2312" w:cs="仿宋_GB2312"/>
          <w:bCs/>
          <w:sz w:val="32"/>
          <w:szCs w:val="32"/>
        </w:rPr>
        <w:t>万元，公务接待费</w:t>
      </w:r>
      <w:r>
        <w:rPr>
          <w:rFonts w:ascii="仿宋_GB2312" w:hAnsi="仿宋_GB2312" w:eastAsia="仿宋_GB2312" w:cs="仿宋_GB2312"/>
          <w:bCs/>
          <w:sz w:val="32"/>
          <w:szCs w:val="32"/>
        </w:rPr>
        <w:t>0.6</w:t>
      </w:r>
      <w:r>
        <w:rPr>
          <w:rFonts w:hint="eastAsia" w:ascii="仿宋_GB2312" w:hAnsi="仿宋_GB2312" w:eastAsia="仿宋_GB2312" w:cs="仿宋_GB2312"/>
          <w:bCs/>
          <w:sz w:val="32"/>
          <w:szCs w:val="32"/>
        </w:rPr>
        <w:t>6万元），较去年减少</w:t>
      </w:r>
      <w:r>
        <w:rPr>
          <w:rFonts w:ascii="仿宋_GB2312" w:hAnsi="仿宋_GB2312" w:eastAsia="仿宋_GB2312" w:cs="仿宋_GB2312"/>
          <w:bCs/>
          <w:sz w:val="32"/>
          <w:szCs w:val="32"/>
        </w:rPr>
        <w:t>15</w:t>
      </w:r>
      <w:r>
        <w:rPr>
          <w:rFonts w:hint="eastAsia" w:ascii="仿宋_GB2312" w:hAnsi="仿宋_GB2312" w:eastAsia="仿宋_GB2312" w:cs="仿宋_GB2312"/>
          <w:bCs/>
          <w:sz w:val="32"/>
          <w:szCs w:val="32"/>
        </w:rPr>
        <w:t>万元，减少部分为</w:t>
      </w:r>
      <w:r>
        <w:rPr>
          <w:rFonts w:ascii="仿宋_GB2312" w:hAnsi="仿宋_GB2312" w:eastAsia="仿宋_GB2312" w:cs="仿宋_GB2312"/>
          <w:bCs/>
          <w:sz w:val="32"/>
          <w:szCs w:val="32"/>
        </w:rPr>
        <w:t>2016</w:t>
      </w:r>
      <w:r>
        <w:rPr>
          <w:rFonts w:hint="eastAsia" w:ascii="仿宋_GB2312" w:hAnsi="仿宋_GB2312" w:eastAsia="仿宋_GB2312" w:cs="仿宋_GB2312"/>
          <w:bCs/>
          <w:sz w:val="32"/>
          <w:szCs w:val="32"/>
        </w:rPr>
        <w:t>年车改后，减少车辆的费用。</w:t>
      </w:r>
    </w:p>
    <w:p>
      <w:pPr>
        <w:autoSpaceDE w:val="0"/>
        <w:autoSpaceDN w:val="0"/>
        <w:adjustRightInd w:val="0"/>
        <w:spacing w:line="600" w:lineRule="exact"/>
        <w:ind w:left="-140" w:leftChars="-67" w:firstLine="640" w:firstLineChars="200"/>
        <w:jc w:val="left"/>
        <w:rPr>
          <w:rFonts w:ascii="黑体" w:hAnsi="黑体" w:eastAsia="黑体" w:cs="黑体"/>
          <w:color w:val="000000"/>
          <w:kern w:val="0"/>
          <w:sz w:val="32"/>
          <w:szCs w:val="32"/>
        </w:rPr>
      </w:pPr>
      <w:r>
        <w:rPr>
          <w:rFonts w:hint="eastAsia" w:ascii="黑体" w:hAnsi="黑体" w:eastAsia="黑体" w:cs="黑体"/>
          <w:color w:val="000000"/>
          <w:kern w:val="0"/>
          <w:sz w:val="32"/>
          <w:szCs w:val="32"/>
        </w:rPr>
        <w:t>五、绩效预算信息</w:t>
      </w:r>
    </w:p>
    <w:p>
      <w:pPr>
        <w:spacing w:line="600" w:lineRule="exact"/>
        <w:ind w:left="-140" w:leftChars="-67" w:firstLine="640" w:firstLineChars="200"/>
        <w:rPr>
          <w:rFonts w:ascii="仿宋_GB2312" w:hAnsi="FZFangSong-Z02" w:eastAsia="仿宋_GB2312" w:cs="FZFangSong-Z02"/>
          <w:color w:val="000000"/>
          <w:kern w:val="0"/>
          <w:sz w:val="32"/>
          <w:szCs w:val="32"/>
        </w:rPr>
      </w:pPr>
      <w:r>
        <w:rPr>
          <w:rFonts w:hint="eastAsia" w:ascii="仿宋_GB2312" w:hAnsi="FZFangSong-Z02" w:eastAsia="仿宋_GB2312" w:cs="FZFangSong-Z02"/>
          <w:b/>
          <w:color w:val="000000"/>
          <w:kern w:val="0"/>
          <w:sz w:val="32"/>
          <w:szCs w:val="32"/>
        </w:rPr>
        <w:t>总体绩效目标</w:t>
      </w:r>
      <w:r>
        <w:rPr>
          <w:rFonts w:hint="eastAsia" w:ascii="仿宋_GB2312" w:hAnsi="FZFangSong-Z02" w:eastAsia="仿宋_GB2312" w:cs="FZFangSong-Z02"/>
          <w:color w:val="000000"/>
          <w:kern w:val="0"/>
          <w:sz w:val="32"/>
          <w:szCs w:val="32"/>
        </w:rPr>
        <w:t>：</w:t>
      </w:r>
    </w:p>
    <w:p>
      <w:pPr>
        <w:spacing w:line="600" w:lineRule="exact"/>
        <w:ind w:left="-140" w:leftChars="-67" w:firstLine="640" w:firstLineChars="200"/>
        <w:rPr>
          <w:rFonts w:ascii="仿宋_GB2312" w:eastAsia="仿宋_GB2312"/>
          <w:sz w:val="32"/>
          <w:szCs w:val="32"/>
        </w:rPr>
      </w:pPr>
      <w:r>
        <w:rPr>
          <w:rFonts w:ascii="仿宋_GB2312" w:hAnsi="FZFangSong-Z02" w:eastAsia="仿宋_GB2312" w:cs="FZFangSong-Z02"/>
          <w:color w:val="000000"/>
          <w:kern w:val="0"/>
          <w:sz w:val="32"/>
          <w:szCs w:val="32"/>
        </w:rPr>
        <w:t>2</w:t>
      </w:r>
      <w:r>
        <w:rPr>
          <w:rFonts w:ascii="仿宋_GB2312" w:eastAsia="仿宋_GB2312"/>
          <w:sz w:val="32"/>
          <w:szCs w:val="32"/>
        </w:rPr>
        <w:t>017</w:t>
      </w:r>
      <w:r>
        <w:rPr>
          <w:rFonts w:hint="eastAsia" w:ascii="仿宋_GB2312" w:eastAsia="仿宋_GB2312"/>
          <w:sz w:val="32"/>
          <w:szCs w:val="32"/>
        </w:rPr>
        <w:t>年，市妇联在市委的坚强领导下，围绕中心、服务大局，牢牢把握建设“坚强阵地”和“温暖之家”的工作主题，着力推进妇女实现全面发展，着力维护妇女儿童合法权益，着力推进改善妇女儿童民生，着力推进妇联组织改革创新，团结动员广大妇女为转型升级、跨越赶超，建设幸福石家庄作出新的贡献。</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（一）坚持正确的政治方向，团结、教育全市各级妇女同党中央在思想上、政治上、行动上保持高度一致。</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（二）紧密围绕市委中心任务开展工作，团结、动员和组织广大妇女投身改革开放和社会主义物质文明、精神文明建设，积极促进我市经济发展和社会进步，为维护改革、发展、稳定的大局服务。</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三）宣传马克思主义观和男女平等思想，教育、引导妇女树立正确的世界观、人生观、价值观，弘扬“自尊、自信、自立、自强”的精神，积极推动和开展对妇女科技文化及生产劳动技能教育，全面提高妇女素质。</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四）代表妇女参与国家和社会事务的民主管理和民主监督，促进妇女参政、议政；关注并加强研究涉及妇女切身利益的热点、难点问题，及时向市委和市政府反映民意，提出对策建议；参与有关妇女儿童政策和法律、法规草案的拟定，从源头强化维护妇女儿童合法权益工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（五）坚持为妇女儿童服务、为基层服务，加强与社会各界联系，协调推动全社会为妇女儿童办实事、办好事。</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（六）指导市妇联机关所属事业单位工作，促进妇女儿童事业发展。</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（七）指导县（市）区级妇联依据《中华全国妇女联合会章程》和妇女代表大会的任务，开展妇女儿童工作；联系团体会员并给予工作指导。</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（八）积极发展同各省、市及各国妇女和妇女组织的友好交往，增进了解和友谊，开展合作。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（九）承担石家庄市妇女儿童工作委员会办公室工作。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（十）承办市委、市政府交办的有关工作。</w:t>
      </w:r>
    </w:p>
    <w:p>
      <w:pPr>
        <w:spacing w:line="600" w:lineRule="exact"/>
        <w:ind w:left="-140" w:leftChars="-67" w:firstLine="640" w:firstLineChars="200"/>
        <w:rPr>
          <w:rFonts w:ascii="仿宋_GB2312" w:eastAsia="仿宋_GB2312"/>
          <w:sz w:val="32"/>
          <w:szCs w:val="32"/>
        </w:rPr>
      </w:pPr>
      <w:r>
        <w:rPr>
          <w:rFonts w:hint="eastAsia" w:ascii="仿宋_GB2312" w:eastAsia="仿宋_GB2312"/>
          <w:sz w:val="32"/>
          <w:szCs w:val="32"/>
        </w:rPr>
        <w:t>（十一）承办全国妇联、省妇联交办的有关工作。</w:t>
      </w:r>
    </w:p>
    <w:p>
      <w:pPr>
        <w:pStyle w:val="5"/>
        <w:spacing w:line="600" w:lineRule="exact"/>
        <w:ind w:left="-140" w:leftChars="-67" w:firstLine="627" w:firstLineChars="196"/>
        <w:rPr>
          <w:rFonts w:ascii="仿宋_GB2312" w:eastAsia="仿宋_GB2312"/>
          <w:b/>
          <w:sz w:val="32"/>
          <w:szCs w:val="32"/>
        </w:rPr>
      </w:pPr>
      <w:r>
        <w:rPr>
          <w:rFonts w:hint="eastAsia" w:ascii="仿宋_GB2312" w:eastAsia="仿宋_GB2312"/>
          <w:b/>
          <w:sz w:val="32"/>
          <w:szCs w:val="32"/>
        </w:rPr>
        <w:t>部门职责及工作活动绩效目标指标：</w:t>
      </w:r>
    </w:p>
    <w:p>
      <w:pPr>
        <w:spacing w:line="600" w:lineRule="exact"/>
        <w:ind w:left="-140" w:leftChars="-67" w:firstLine="640" w:firstLineChars="200"/>
        <w:jc w:val="center"/>
        <w:rPr>
          <w:rFonts w:ascii="仿宋_GB2312" w:eastAsia="仿宋_GB2312"/>
          <w:sz w:val="32"/>
          <w:szCs w:val="32"/>
        </w:rPr>
      </w:pPr>
      <w:r>
        <w:rPr>
          <w:rFonts w:hint="eastAsia" w:ascii="仿宋_GB2312" w:eastAsia="仿宋_GB2312"/>
          <w:sz w:val="32"/>
          <w:szCs w:val="32"/>
        </w:rPr>
        <w:t>部门职责</w:t>
      </w:r>
      <w:r>
        <w:rPr>
          <w:rFonts w:ascii="仿宋_GB2312" w:eastAsia="仿宋_GB2312"/>
          <w:sz w:val="32"/>
          <w:szCs w:val="32"/>
        </w:rPr>
        <w:t>-</w:t>
      </w:r>
      <w:r>
        <w:rPr>
          <w:rFonts w:hint="eastAsia" w:ascii="仿宋_GB2312" w:eastAsia="仿宋_GB2312"/>
          <w:sz w:val="32"/>
          <w:szCs w:val="32"/>
        </w:rPr>
        <w:t>工作活动绩效目标</w:t>
      </w:r>
    </w:p>
    <w:tbl>
      <w:tblPr>
        <w:tblStyle w:val="3"/>
        <w:tblW w:w="92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
      <w:tblGrid>
        <w:gridCol w:w="1262"/>
        <w:gridCol w:w="881"/>
        <w:gridCol w:w="2059"/>
        <w:gridCol w:w="1763"/>
        <w:gridCol w:w="1314"/>
        <w:gridCol w:w="488"/>
        <w:gridCol w:w="488"/>
        <w:gridCol w:w="488"/>
        <w:gridCol w:w="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tblHeader/>
          <w:jc w:val="center"/>
        </w:trPr>
        <w:tc>
          <w:tcPr>
            <w:tcW w:w="7279" w:type="dxa"/>
            <w:gridSpan w:val="5"/>
            <w:tcBorders>
              <w:top w:val="single" w:color="FFFFFF" w:sz="6" w:space="0"/>
              <w:left w:val="single" w:color="FFFFFF" w:sz="6" w:space="0"/>
              <w:right w:val="single" w:color="FFFFFF" w:sz="6" w:space="0"/>
            </w:tcBorders>
            <w:vAlign w:val="center"/>
          </w:tcPr>
          <w:p>
            <w:pPr>
              <w:spacing w:line="600" w:lineRule="exact"/>
              <w:ind w:left="-140" w:leftChars="-67"/>
              <w:jc w:val="left"/>
              <w:rPr>
                <w:rFonts w:ascii="仿宋_GB2312" w:eastAsia="仿宋_GB2312"/>
                <w:sz w:val="28"/>
                <w:szCs w:val="28"/>
              </w:rPr>
            </w:pPr>
          </w:p>
        </w:tc>
        <w:tc>
          <w:tcPr>
            <w:tcW w:w="1961" w:type="dxa"/>
            <w:gridSpan w:val="4"/>
            <w:tcBorders>
              <w:top w:val="single" w:color="FFFFFF" w:sz="6" w:space="0"/>
              <w:left w:val="single" w:color="FFFFFF" w:sz="6" w:space="0"/>
              <w:right w:val="single" w:color="FFFFFF" w:sz="6" w:space="0"/>
            </w:tcBorders>
            <w:vAlign w:val="center"/>
          </w:tcPr>
          <w:p>
            <w:pPr>
              <w:spacing w:line="600" w:lineRule="exact"/>
              <w:ind w:left="-140" w:leftChars="-67"/>
              <w:jc w:val="right"/>
              <w:rPr>
                <w:rFonts w:ascii="仿宋_GB2312" w:eastAsia="仿宋_GB2312"/>
                <w:sz w:val="28"/>
                <w:szCs w:val="28"/>
              </w:rPr>
            </w:pPr>
            <w:r>
              <w:rPr>
                <w:rFonts w:hint="eastAsia" w:ascii="仿宋_GB2312" w:eastAsia="仿宋_GB2312"/>
                <w:sz w:val="28"/>
                <w:szCs w:val="2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tblHeader/>
          <w:jc w:val="center"/>
        </w:trPr>
        <w:tc>
          <w:tcPr>
            <w:tcW w:w="1262"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职责活动</w:t>
            </w:r>
          </w:p>
        </w:tc>
        <w:tc>
          <w:tcPr>
            <w:tcW w:w="881"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年度预算数</w:t>
            </w:r>
          </w:p>
        </w:tc>
        <w:tc>
          <w:tcPr>
            <w:tcW w:w="2059"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内容描述</w:t>
            </w:r>
          </w:p>
        </w:tc>
        <w:tc>
          <w:tcPr>
            <w:tcW w:w="1763"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绩效目标</w:t>
            </w:r>
          </w:p>
        </w:tc>
        <w:tc>
          <w:tcPr>
            <w:tcW w:w="1314"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绩效指标</w:t>
            </w:r>
          </w:p>
        </w:tc>
        <w:tc>
          <w:tcPr>
            <w:tcW w:w="1961" w:type="dxa"/>
            <w:gridSpan w:val="4"/>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tblHeader/>
          <w:jc w:val="center"/>
        </w:trPr>
        <w:tc>
          <w:tcPr>
            <w:tcW w:w="1262" w:type="dxa"/>
            <w:vMerge w:val="continue"/>
            <w:vAlign w:val="center"/>
          </w:tcPr>
          <w:p>
            <w:pPr>
              <w:spacing w:line="600" w:lineRule="exact"/>
              <w:ind w:left="-140" w:leftChars="-67"/>
              <w:jc w:val="left"/>
              <w:outlineLvl w:val="0"/>
              <w:rPr>
                <w:rFonts w:ascii="仿宋_GB2312" w:eastAsia="仿宋_GB2312"/>
                <w:sz w:val="24"/>
                <w:szCs w:val="24"/>
              </w:rPr>
            </w:pPr>
          </w:p>
        </w:tc>
        <w:tc>
          <w:tcPr>
            <w:tcW w:w="881" w:type="dxa"/>
            <w:vMerge w:val="continue"/>
            <w:vAlign w:val="center"/>
          </w:tcPr>
          <w:p>
            <w:pPr>
              <w:spacing w:line="600" w:lineRule="exact"/>
              <w:ind w:left="-140" w:leftChars="-67"/>
              <w:jc w:val="left"/>
              <w:outlineLvl w:val="0"/>
              <w:rPr>
                <w:rFonts w:ascii="仿宋_GB2312" w:eastAsia="仿宋_GB2312"/>
                <w:sz w:val="24"/>
                <w:szCs w:val="24"/>
              </w:rPr>
            </w:pPr>
          </w:p>
        </w:tc>
        <w:tc>
          <w:tcPr>
            <w:tcW w:w="2059" w:type="dxa"/>
            <w:vMerge w:val="continue"/>
            <w:vAlign w:val="center"/>
          </w:tcPr>
          <w:p>
            <w:pPr>
              <w:spacing w:line="600" w:lineRule="exact"/>
              <w:ind w:left="-140" w:leftChars="-67"/>
              <w:jc w:val="left"/>
              <w:outlineLvl w:val="0"/>
              <w:rPr>
                <w:rFonts w:ascii="仿宋_GB2312" w:eastAsia="仿宋_GB2312"/>
                <w:sz w:val="24"/>
                <w:szCs w:val="24"/>
              </w:rPr>
            </w:pPr>
          </w:p>
        </w:tc>
        <w:tc>
          <w:tcPr>
            <w:tcW w:w="1763" w:type="dxa"/>
            <w:vMerge w:val="continue"/>
            <w:vAlign w:val="center"/>
          </w:tcPr>
          <w:p>
            <w:pPr>
              <w:spacing w:line="600" w:lineRule="exact"/>
              <w:ind w:left="-140" w:leftChars="-67"/>
              <w:jc w:val="left"/>
              <w:outlineLvl w:val="0"/>
              <w:rPr>
                <w:rFonts w:ascii="仿宋_GB2312" w:eastAsia="仿宋_GB2312"/>
                <w:sz w:val="24"/>
                <w:szCs w:val="24"/>
              </w:rPr>
            </w:pPr>
          </w:p>
        </w:tc>
        <w:tc>
          <w:tcPr>
            <w:tcW w:w="1314" w:type="dxa"/>
            <w:vMerge w:val="continue"/>
            <w:vAlign w:val="center"/>
          </w:tcPr>
          <w:p>
            <w:pPr>
              <w:spacing w:line="600" w:lineRule="exact"/>
              <w:ind w:left="-140" w:leftChars="-67"/>
              <w:jc w:val="left"/>
              <w:outlineLvl w:val="0"/>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优</w:t>
            </w:r>
          </w:p>
        </w:tc>
        <w:tc>
          <w:tcPr>
            <w:tcW w:w="488"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良</w:t>
            </w:r>
          </w:p>
        </w:tc>
        <w:tc>
          <w:tcPr>
            <w:tcW w:w="488"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中</w:t>
            </w:r>
          </w:p>
        </w:tc>
        <w:tc>
          <w:tcPr>
            <w:tcW w:w="497"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539"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团结凝聚妇女群众听党话、跟党走</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247.00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组织引导广大妇女持续深入学习习近平总书记系列重要讲话精神，通过做强妇联特色工作品牌，发挥好妇联组织牵头管总作用，使</w:t>
            </w:r>
            <w:r>
              <w:rPr>
                <w:rFonts w:hint="eastAsia" w:ascii="仿宋_GB2312" w:eastAsia="仿宋_GB2312"/>
                <w:sz w:val="24"/>
                <w:szCs w:val="24"/>
                <w:lang w:eastAsia="zh-CN"/>
              </w:rPr>
              <w:t>习近平</w:t>
            </w:r>
            <w:bookmarkStart w:id="0" w:name="_GoBack"/>
            <w:bookmarkEnd w:id="0"/>
            <w:r>
              <w:rPr>
                <w:rFonts w:hint="eastAsia" w:ascii="仿宋_GB2312" w:eastAsia="仿宋_GB2312"/>
                <w:sz w:val="24"/>
                <w:szCs w:val="24"/>
              </w:rPr>
              <w:t>总书记</w:t>
            </w:r>
            <w:r>
              <w:rPr>
                <w:rFonts w:hint="eastAsia" w:ascii="仿宋_GB2312" w:eastAsia="仿宋_GB2312"/>
                <w:sz w:val="24"/>
                <w:szCs w:val="24"/>
                <w:lang w:eastAsia="zh-CN"/>
              </w:rPr>
              <w:t>重要</w:t>
            </w:r>
            <w:r>
              <w:rPr>
                <w:rFonts w:hint="eastAsia" w:ascii="仿宋_GB2312" w:eastAsia="仿宋_GB2312"/>
                <w:sz w:val="24"/>
                <w:szCs w:val="24"/>
              </w:rPr>
              <w:t>讲话精神成为广大妇女思想和行为的基本遵循。</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开展寻找“最美家庭，引领妇女践行社会主义核心价值观，实施“创业创新巾帼行动”，引领妇女参与精神社会建设；创建美丽庭院，助力美丽乡村。</w:t>
            </w:r>
          </w:p>
        </w:tc>
        <w:tc>
          <w:tcPr>
            <w:tcW w:w="1314" w:type="dxa"/>
            <w:vAlign w:val="center"/>
          </w:tcPr>
          <w:p>
            <w:pPr>
              <w:spacing w:line="600" w:lineRule="exact"/>
              <w:ind w:left="-140" w:leftChars="-67"/>
              <w:jc w:val="left"/>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打造妇联特色工作品牌</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247.00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开展“巾帼心向党”主题活动，引导妇女群众深入贯彻落实习</w:t>
            </w:r>
            <w:r>
              <w:rPr>
                <w:rFonts w:hint="eastAsia" w:ascii="仿宋_GB2312" w:eastAsia="仿宋_GB2312"/>
                <w:sz w:val="24"/>
                <w:szCs w:val="24"/>
                <w:lang w:eastAsia="zh-CN"/>
              </w:rPr>
              <w:t>近平</w:t>
            </w:r>
            <w:r>
              <w:rPr>
                <w:rFonts w:hint="eastAsia" w:ascii="仿宋_GB2312" w:eastAsia="仿宋_GB2312"/>
                <w:sz w:val="24"/>
                <w:szCs w:val="24"/>
              </w:rPr>
              <w:t>总书记系列重要讲话。实施创业创新巾帼行动，搭建互联网</w:t>
            </w:r>
            <w:r>
              <w:rPr>
                <w:rFonts w:ascii="仿宋_GB2312" w:eastAsia="仿宋_GB2312"/>
                <w:sz w:val="24"/>
                <w:szCs w:val="24"/>
              </w:rPr>
              <w:t>+</w:t>
            </w:r>
            <w:r>
              <w:rPr>
                <w:rFonts w:hint="eastAsia" w:ascii="仿宋_GB2312" w:eastAsia="仿宋_GB2312"/>
                <w:sz w:val="24"/>
                <w:szCs w:val="24"/>
              </w:rPr>
              <w:t>平台、发展家庭手工业、做强家政平台。开展寻找“最美家庭”、美丽庭院创建。开展巾帼志愿服务，展现妇女巾帼力量。</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妇联组织围绕中心、服务大局职能进一步强化、妇女创业创新能力进一步发展；妇女群众践行社会主义核心价值观意识进一步强化。妇女素质得到有效提升。</w:t>
            </w:r>
          </w:p>
        </w:tc>
        <w:tc>
          <w:tcPr>
            <w:tcW w:w="131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创建美丽庭院示范户、建立示范村民讲习所、组织讲师团培训、命名“最美家庭”、培育巾帼示范基地、带动妇女创业就业人数、培训巾帼家政服务员、提升妇女职业技能水平</w:t>
            </w: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7075"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维护妇女儿童合法权益促进妇女儿童事业发展</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79.00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维护妇女儿童合法权益，推动维权工作走上法治化道路。做实惠及妇女儿童民生实事，切实传递党和政府的关怀和温暖。</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坚持抓宣传、抓案件、抓培训，提升妇女群众维权本领，促进社会和谐稳定。坚持重心下移，聚焦困难群体，扎实办好重点民生实事，让广大妇女儿童真切感受到党和政府的关怀温暖。</w:t>
            </w:r>
          </w:p>
        </w:tc>
        <w:tc>
          <w:tcPr>
            <w:tcW w:w="1314" w:type="dxa"/>
            <w:vAlign w:val="center"/>
          </w:tcPr>
          <w:p>
            <w:pPr>
              <w:spacing w:line="600" w:lineRule="exact"/>
              <w:ind w:left="-140" w:leftChars="-67"/>
              <w:jc w:val="left"/>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3389"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维权服务</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10.00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关注和研究涉及妇女切身利益的热点难点问题，向市委市政府提出对策建议；参与有关妇女儿童政策和法律、法规草案的拟定，教育引导妇女依法维权，对权益受到侵害的妇女儿童和困境妇女儿童提供帮助。</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帮助权益受到侵害和困难的妇女儿童解决困难和问题，开展普法宣传教育，提高广大妇女儿童的维权意识和维权能力，维护妇女儿童合法权益。</w:t>
            </w:r>
          </w:p>
        </w:tc>
        <w:tc>
          <w:tcPr>
            <w:tcW w:w="131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法律援助困境妇女侵权案件数、妇女信访代理工作覆盖率、来电访妇女答复率、</w:t>
            </w: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民生实事</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69.00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关爱贫困妇女，实施农村妇女“两癌”检查项目和贫困“两癌”妇女救助项目。实施“春蕾计划”、“为孤残送温暖”、“危重儿童救助”等项目。</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对权益受损妇女和困境儿童实施精准化救助，提高生活水平</w:t>
            </w:r>
          </w:p>
        </w:tc>
        <w:tc>
          <w:tcPr>
            <w:tcW w:w="131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帮扶困境妇女儿童、妇女家庭教育培训、关爱妇女健康、《两规》指标达标率、相应服务对象预防出生缺陷健康知识知晓率</w:t>
            </w: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妇联综合业务管理</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118.00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加强妇联基层组织建设和机关党建，做好市政府妇儿工委办公室工作，指导所属事业单位发展，为妇女儿童事业发展提供有力保障。</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不断加强妇联阵地建设，提高组织覆盖面。加强对妇联干部和妇女工作者的业务培训，提升妇联干部服务妇女的能力和水平。</w:t>
            </w:r>
          </w:p>
        </w:tc>
        <w:tc>
          <w:tcPr>
            <w:tcW w:w="1314" w:type="dxa"/>
            <w:vAlign w:val="center"/>
          </w:tcPr>
          <w:p>
            <w:pPr>
              <w:spacing w:line="600" w:lineRule="exact"/>
              <w:ind w:left="-140" w:leftChars="-67"/>
              <w:jc w:val="left"/>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Ex>
        <w:trPr>
          <w:trHeight w:val="227" w:hRule="atLeast"/>
          <w:jc w:val="center"/>
        </w:trPr>
        <w:tc>
          <w:tcPr>
            <w:tcW w:w="1262" w:type="dxa"/>
            <w:vAlign w:val="center"/>
          </w:tcPr>
          <w:p>
            <w:pPr>
              <w:spacing w:line="600" w:lineRule="exact"/>
              <w:ind w:left="-140" w:leftChars="-67"/>
              <w:jc w:val="left"/>
              <w:rPr>
                <w:rFonts w:ascii="仿宋_GB2312" w:eastAsia="仿宋_GB2312"/>
                <w:b/>
                <w:sz w:val="24"/>
                <w:szCs w:val="24"/>
              </w:rPr>
            </w:pPr>
            <w:r>
              <w:rPr>
                <w:rFonts w:hint="eastAsia" w:ascii="仿宋_GB2312" w:eastAsia="仿宋_GB2312"/>
                <w:b/>
                <w:sz w:val="24"/>
                <w:szCs w:val="24"/>
              </w:rPr>
              <w:t>综合业务管理</w:t>
            </w:r>
          </w:p>
        </w:tc>
        <w:tc>
          <w:tcPr>
            <w:tcW w:w="881"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118.00</w:t>
            </w:r>
          </w:p>
        </w:tc>
        <w:tc>
          <w:tcPr>
            <w:tcW w:w="2059"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开展”三有两突出“基层组织示范创建，打造升级版妇女之家。开展妇联干部和妇女工作者业务培训提高工作科学化水平。指导所属单位及各类协会工作。做好石家庄市妇女儿童工作委员会办公室的工作，扎实完成“两纲”各项指标。承办市委、市政府交办的有关工作。</w:t>
            </w:r>
          </w:p>
        </w:tc>
        <w:tc>
          <w:tcPr>
            <w:tcW w:w="1763"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妇联基层组织的组织、阵地、队伍建设等得到加强，妇联干部工作能力和服务水平提高。妇女儿童的生活条件、生存环境得到显著改善。</w:t>
            </w:r>
          </w:p>
        </w:tc>
        <w:tc>
          <w:tcPr>
            <w:tcW w:w="131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创建示范基层组织数量、创建市级示范妇女之家数、建设市级示范儿童之家数量</w:t>
            </w: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88" w:type="dxa"/>
            <w:vAlign w:val="center"/>
          </w:tcPr>
          <w:p>
            <w:pPr>
              <w:spacing w:line="600" w:lineRule="exact"/>
              <w:ind w:left="-140" w:leftChars="-67"/>
              <w:jc w:val="center"/>
              <w:rPr>
                <w:rFonts w:ascii="仿宋_GB2312" w:eastAsia="仿宋_GB2312"/>
                <w:sz w:val="24"/>
                <w:szCs w:val="24"/>
              </w:rPr>
            </w:pPr>
          </w:p>
        </w:tc>
        <w:tc>
          <w:tcPr>
            <w:tcW w:w="497" w:type="dxa"/>
            <w:vAlign w:val="center"/>
          </w:tcPr>
          <w:p>
            <w:pPr>
              <w:spacing w:line="600" w:lineRule="exact"/>
              <w:ind w:left="-140" w:leftChars="-67"/>
              <w:jc w:val="center"/>
              <w:rPr>
                <w:rFonts w:ascii="仿宋_GB2312" w:eastAsia="仿宋_GB2312"/>
                <w:sz w:val="24"/>
                <w:szCs w:val="24"/>
              </w:rPr>
            </w:pPr>
          </w:p>
        </w:tc>
      </w:tr>
    </w:tbl>
    <w:p>
      <w:pPr>
        <w:spacing w:line="600" w:lineRule="exact"/>
        <w:ind w:left="-140" w:leftChars="-67" w:firstLine="640" w:firstLineChars="200"/>
        <w:rPr>
          <w:rFonts w:ascii="黑体" w:eastAsia="黑体"/>
          <w:sz w:val="32"/>
          <w:szCs w:val="32"/>
        </w:rPr>
      </w:pPr>
      <w:r>
        <w:rPr>
          <w:rFonts w:hint="eastAsia" w:ascii="黑体" w:eastAsia="黑体"/>
          <w:sz w:val="32"/>
          <w:szCs w:val="32"/>
        </w:rPr>
        <w:t>六、政府采购预算情况</w:t>
      </w:r>
    </w:p>
    <w:p>
      <w:pPr>
        <w:spacing w:line="600" w:lineRule="exact"/>
        <w:ind w:left="-140" w:leftChars="-67" w:firstLine="800" w:firstLineChars="250"/>
        <w:rPr>
          <w:rFonts w:ascii="仿宋_GB2312" w:eastAsia="仿宋_GB2312"/>
          <w:sz w:val="32"/>
          <w:szCs w:val="32"/>
        </w:rPr>
      </w:pPr>
      <w:r>
        <w:rPr>
          <w:rFonts w:ascii="仿宋_GB2312" w:eastAsia="仿宋_GB2312"/>
          <w:sz w:val="32"/>
          <w:szCs w:val="32"/>
        </w:rPr>
        <w:t xml:space="preserve">2017 </w:t>
      </w:r>
      <w:r>
        <w:rPr>
          <w:rFonts w:hint="eastAsia" w:ascii="仿宋_GB2312" w:eastAsia="仿宋_GB2312"/>
          <w:sz w:val="32"/>
          <w:szCs w:val="32"/>
        </w:rPr>
        <w:t>年，我部门安排政府采购预算</w:t>
      </w:r>
      <w:r>
        <w:rPr>
          <w:rFonts w:ascii="仿宋_GB2312" w:eastAsia="仿宋_GB2312"/>
          <w:sz w:val="32"/>
          <w:szCs w:val="32"/>
        </w:rPr>
        <w:t>47</w:t>
      </w:r>
      <w:r>
        <w:rPr>
          <w:rFonts w:hint="eastAsia" w:ascii="仿宋_GB2312" w:eastAsia="仿宋_GB2312"/>
          <w:sz w:val="32"/>
          <w:szCs w:val="32"/>
        </w:rPr>
        <w:t>万元。</w:t>
      </w:r>
      <w:r>
        <w:rPr>
          <w:rFonts w:ascii="仿宋_GB2312" w:eastAsia="仿宋_GB2312"/>
          <w:sz w:val="32"/>
          <w:szCs w:val="32"/>
        </w:rPr>
        <w:t xml:space="preserve"> </w:t>
      </w:r>
      <w:r>
        <w:rPr>
          <w:rFonts w:hint="eastAsia" w:ascii="仿宋_GB2312" w:eastAsia="仿宋_GB2312"/>
          <w:sz w:val="32"/>
          <w:szCs w:val="32"/>
        </w:rPr>
        <w:t>具体内容见下表：</w:t>
      </w:r>
    </w:p>
    <w:p>
      <w:pPr>
        <w:spacing w:line="600" w:lineRule="exact"/>
        <w:ind w:left="-140" w:leftChars="-67"/>
        <w:jc w:val="center"/>
        <w:outlineLvl w:val="0"/>
        <w:rPr>
          <w:rFonts w:ascii="仿宋_GB2312" w:eastAsia="仿宋_GB2312"/>
          <w:b/>
          <w:sz w:val="32"/>
          <w:szCs w:val="32"/>
        </w:rPr>
      </w:pPr>
      <w:r>
        <w:rPr>
          <w:rFonts w:hint="eastAsia" w:ascii="仿宋_GB2312" w:eastAsia="仿宋_GB2312"/>
          <w:b/>
          <w:sz w:val="32"/>
          <w:szCs w:val="32"/>
        </w:rPr>
        <w:t>部门政府采购预算</w:t>
      </w:r>
    </w:p>
    <w:tbl>
      <w:tblPr>
        <w:tblStyle w:val="3"/>
        <w:tblW w:w="976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1065"/>
        <w:gridCol w:w="714"/>
        <w:gridCol w:w="684"/>
        <w:gridCol w:w="1156"/>
        <w:gridCol w:w="465"/>
        <w:gridCol w:w="467"/>
        <w:gridCol w:w="697"/>
        <w:gridCol w:w="703"/>
        <w:gridCol w:w="703"/>
        <w:gridCol w:w="703"/>
        <w:gridCol w:w="551"/>
        <w:gridCol w:w="668"/>
        <w:gridCol w:w="613"/>
        <w:gridCol w:w="5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497" w:hRule="atLeast"/>
          <w:tblHeader/>
          <w:jc w:val="center"/>
        </w:trPr>
        <w:tc>
          <w:tcPr>
            <w:tcW w:w="5248" w:type="dxa"/>
            <w:gridSpan w:val="7"/>
            <w:tcBorders>
              <w:top w:val="single" w:color="FFFFFF" w:sz="6" w:space="0"/>
              <w:left w:val="single" w:color="FFFFFF" w:sz="6" w:space="0"/>
              <w:right w:val="single" w:color="FFFFFF" w:sz="6" w:space="0"/>
            </w:tcBorders>
            <w:vAlign w:val="center"/>
          </w:tcPr>
          <w:p>
            <w:pPr>
              <w:spacing w:line="600" w:lineRule="exact"/>
              <w:ind w:left="-140" w:leftChars="-67"/>
              <w:jc w:val="left"/>
              <w:rPr>
                <w:rFonts w:ascii="仿宋_GB2312" w:eastAsia="仿宋_GB2312"/>
                <w:sz w:val="32"/>
                <w:szCs w:val="32"/>
              </w:rPr>
            </w:pPr>
          </w:p>
        </w:tc>
        <w:tc>
          <w:tcPr>
            <w:tcW w:w="4513" w:type="dxa"/>
            <w:gridSpan w:val="7"/>
            <w:tcBorders>
              <w:top w:val="single" w:color="FFFFFF" w:sz="6" w:space="0"/>
              <w:left w:val="single" w:color="FFFFFF" w:sz="6" w:space="0"/>
              <w:right w:val="single" w:color="FFFFFF" w:sz="6" w:space="0"/>
            </w:tcBorders>
            <w:vAlign w:val="center"/>
          </w:tcPr>
          <w:p>
            <w:pPr>
              <w:spacing w:line="600" w:lineRule="exact"/>
              <w:ind w:left="-140" w:leftChars="-67"/>
              <w:jc w:val="right"/>
              <w:rPr>
                <w:rFonts w:ascii="仿宋_GB2312" w:eastAsia="仿宋_GB2312"/>
                <w:sz w:val="28"/>
                <w:szCs w:val="28"/>
              </w:rPr>
            </w:pPr>
            <w:r>
              <w:rPr>
                <w:rFonts w:hint="eastAsia" w:ascii="仿宋_GB2312" w:eastAsia="仿宋_GB2312"/>
                <w:sz w:val="28"/>
                <w:szCs w:val="2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779" w:type="dxa"/>
            <w:gridSpan w:val="2"/>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政府采购</w:t>
            </w:r>
          </w:p>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项目来源</w:t>
            </w:r>
          </w:p>
        </w:tc>
        <w:tc>
          <w:tcPr>
            <w:tcW w:w="684"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采购物品名称</w:t>
            </w:r>
          </w:p>
        </w:tc>
        <w:tc>
          <w:tcPr>
            <w:tcW w:w="1156"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政府采购目录序号</w:t>
            </w:r>
          </w:p>
        </w:tc>
        <w:tc>
          <w:tcPr>
            <w:tcW w:w="465"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数量</w:t>
            </w:r>
            <w:r>
              <w:rPr>
                <w:rFonts w:ascii="仿宋_GB2312" w:eastAsia="仿宋_GB2312"/>
                <w:b/>
                <w:sz w:val="24"/>
                <w:szCs w:val="24"/>
              </w:rPr>
              <w:t xml:space="preserve">  </w:t>
            </w:r>
            <w:r>
              <w:rPr>
                <w:rFonts w:hint="eastAsia" w:ascii="仿宋_GB2312" w:eastAsia="仿宋_GB2312"/>
                <w:b/>
                <w:sz w:val="24"/>
                <w:szCs w:val="24"/>
              </w:rPr>
              <w:t>单位</w:t>
            </w:r>
          </w:p>
        </w:tc>
        <w:tc>
          <w:tcPr>
            <w:tcW w:w="467"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数量</w:t>
            </w:r>
          </w:p>
        </w:tc>
        <w:tc>
          <w:tcPr>
            <w:tcW w:w="697"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单价</w:t>
            </w:r>
          </w:p>
        </w:tc>
        <w:tc>
          <w:tcPr>
            <w:tcW w:w="4513" w:type="dxa"/>
            <w:gridSpan w:val="7"/>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065"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项目</w:t>
            </w:r>
          </w:p>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名称</w:t>
            </w:r>
          </w:p>
        </w:tc>
        <w:tc>
          <w:tcPr>
            <w:tcW w:w="714"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预算资金</w:t>
            </w:r>
          </w:p>
        </w:tc>
        <w:tc>
          <w:tcPr>
            <w:tcW w:w="684" w:type="dxa"/>
            <w:vMerge w:val="continue"/>
            <w:vAlign w:val="center"/>
          </w:tcPr>
          <w:p>
            <w:pPr>
              <w:spacing w:line="600" w:lineRule="exact"/>
              <w:ind w:left="-140" w:leftChars="-67"/>
              <w:jc w:val="left"/>
              <w:outlineLvl w:val="0"/>
              <w:rPr>
                <w:rFonts w:ascii="仿宋_GB2312" w:eastAsia="仿宋_GB2312"/>
                <w:sz w:val="24"/>
                <w:szCs w:val="24"/>
              </w:rPr>
            </w:pPr>
          </w:p>
        </w:tc>
        <w:tc>
          <w:tcPr>
            <w:tcW w:w="1156" w:type="dxa"/>
            <w:vMerge w:val="continue"/>
            <w:vAlign w:val="center"/>
          </w:tcPr>
          <w:p>
            <w:pPr>
              <w:spacing w:line="600" w:lineRule="exact"/>
              <w:ind w:left="-140" w:leftChars="-67"/>
              <w:jc w:val="left"/>
              <w:outlineLvl w:val="0"/>
              <w:rPr>
                <w:rFonts w:ascii="仿宋_GB2312" w:eastAsia="仿宋_GB2312"/>
                <w:sz w:val="24"/>
                <w:szCs w:val="24"/>
              </w:rPr>
            </w:pPr>
          </w:p>
        </w:tc>
        <w:tc>
          <w:tcPr>
            <w:tcW w:w="465" w:type="dxa"/>
            <w:vMerge w:val="continue"/>
            <w:vAlign w:val="center"/>
          </w:tcPr>
          <w:p>
            <w:pPr>
              <w:spacing w:line="600" w:lineRule="exact"/>
              <w:ind w:left="-140" w:leftChars="-67"/>
              <w:jc w:val="left"/>
              <w:outlineLvl w:val="0"/>
              <w:rPr>
                <w:rFonts w:ascii="仿宋_GB2312" w:eastAsia="仿宋_GB2312"/>
                <w:sz w:val="24"/>
                <w:szCs w:val="24"/>
              </w:rPr>
            </w:pPr>
          </w:p>
        </w:tc>
        <w:tc>
          <w:tcPr>
            <w:tcW w:w="467" w:type="dxa"/>
            <w:vMerge w:val="continue"/>
            <w:vAlign w:val="center"/>
          </w:tcPr>
          <w:p>
            <w:pPr>
              <w:spacing w:line="600" w:lineRule="exact"/>
              <w:ind w:left="-140" w:leftChars="-67"/>
              <w:jc w:val="left"/>
              <w:outlineLvl w:val="0"/>
              <w:rPr>
                <w:rFonts w:ascii="仿宋_GB2312" w:eastAsia="仿宋_GB2312"/>
                <w:sz w:val="24"/>
                <w:szCs w:val="24"/>
              </w:rPr>
            </w:pPr>
          </w:p>
        </w:tc>
        <w:tc>
          <w:tcPr>
            <w:tcW w:w="697" w:type="dxa"/>
            <w:vMerge w:val="continue"/>
            <w:vAlign w:val="center"/>
          </w:tcPr>
          <w:p>
            <w:pPr>
              <w:spacing w:line="600" w:lineRule="exact"/>
              <w:ind w:left="-140" w:leftChars="-67"/>
              <w:jc w:val="left"/>
              <w:outlineLvl w:val="0"/>
              <w:rPr>
                <w:rFonts w:ascii="仿宋_GB2312" w:eastAsia="仿宋_GB2312"/>
                <w:sz w:val="24"/>
                <w:szCs w:val="24"/>
              </w:rPr>
            </w:pPr>
          </w:p>
        </w:tc>
        <w:tc>
          <w:tcPr>
            <w:tcW w:w="703"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总计</w:t>
            </w:r>
          </w:p>
        </w:tc>
        <w:tc>
          <w:tcPr>
            <w:tcW w:w="3238" w:type="dxa"/>
            <w:gridSpan w:val="5"/>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当年部门预算安排资金</w:t>
            </w:r>
          </w:p>
        </w:tc>
        <w:tc>
          <w:tcPr>
            <w:tcW w:w="572" w:type="dxa"/>
            <w:vMerge w:val="restart"/>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blHeader/>
          <w:jc w:val="center"/>
        </w:trPr>
        <w:tc>
          <w:tcPr>
            <w:tcW w:w="1065" w:type="dxa"/>
            <w:vMerge w:val="continue"/>
            <w:vAlign w:val="center"/>
          </w:tcPr>
          <w:p>
            <w:pPr>
              <w:spacing w:line="600" w:lineRule="exact"/>
              <w:ind w:left="-140" w:leftChars="-67"/>
              <w:jc w:val="left"/>
              <w:outlineLvl w:val="0"/>
              <w:rPr>
                <w:rFonts w:ascii="仿宋_GB2312" w:eastAsia="仿宋_GB2312"/>
                <w:sz w:val="24"/>
                <w:szCs w:val="24"/>
              </w:rPr>
            </w:pPr>
          </w:p>
        </w:tc>
        <w:tc>
          <w:tcPr>
            <w:tcW w:w="714" w:type="dxa"/>
            <w:vMerge w:val="continue"/>
            <w:vAlign w:val="center"/>
          </w:tcPr>
          <w:p>
            <w:pPr>
              <w:spacing w:line="600" w:lineRule="exact"/>
              <w:ind w:left="-140" w:leftChars="-67"/>
              <w:jc w:val="left"/>
              <w:outlineLvl w:val="0"/>
              <w:rPr>
                <w:rFonts w:ascii="仿宋_GB2312" w:eastAsia="仿宋_GB2312"/>
                <w:sz w:val="24"/>
                <w:szCs w:val="24"/>
              </w:rPr>
            </w:pPr>
          </w:p>
        </w:tc>
        <w:tc>
          <w:tcPr>
            <w:tcW w:w="684" w:type="dxa"/>
            <w:vMerge w:val="continue"/>
            <w:vAlign w:val="center"/>
          </w:tcPr>
          <w:p>
            <w:pPr>
              <w:spacing w:line="600" w:lineRule="exact"/>
              <w:ind w:left="-140" w:leftChars="-67"/>
              <w:jc w:val="left"/>
              <w:outlineLvl w:val="0"/>
              <w:rPr>
                <w:rFonts w:ascii="仿宋_GB2312" w:eastAsia="仿宋_GB2312"/>
                <w:sz w:val="24"/>
                <w:szCs w:val="24"/>
              </w:rPr>
            </w:pPr>
          </w:p>
        </w:tc>
        <w:tc>
          <w:tcPr>
            <w:tcW w:w="1156" w:type="dxa"/>
            <w:vMerge w:val="continue"/>
            <w:vAlign w:val="center"/>
          </w:tcPr>
          <w:p>
            <w:pPr>
              <w:spacing w:line="600" w:lineRule="exact"/>
              <w:ind w:left="-140" w:leftChars="-67"/>
              <w:jc w:val="left"/>
              <w:outlineLvl w:val="0"/>
              <w:rPr>
                <w:rFonts w:ascii="仿宋_GB2312" w:eastAsia="仿宋_GB2312"/>
                <w:sz w:val="24"/>
                <w:szCs w:val="24"/>
              </w:rPr>
            </w:pPr>
          </w:p>
        </w:tc>
        <w:tc>
          <w:tcPr>
            <w:tcW w:w="465" w:type="dxa"/>
            <w:vMerge w:val="continue"/>
            <w:vAlign w:val="center"/>
          </w:tcPr>
          <w:p>
            <w:pPr>
              <w:spacing w:line="600" w:lineRule="exact"/>
              <w:ind w:left="-140" w:leftChars="-67"/>
              <w:jc w:val="left"/>
              <w:outlineLvl w:val="0"/>
              <w:rPr>
                <w:rFonts w:ascii="仿宋_GB2312" w:eastAsia="仿宋_GB2312"/>
                <w:sz w:val="24"/>
                <w:szCs w:val="24"/>
              </w:rPr>
            </w:pPr>
          </w:p>
        </w:tc>
        <w:tc>
          <w:tcPr>
            <w:tcW w:w="467" w:type="dxa"/>
            <w:vMerge w:val="continue"/>
            <w:vAlign w:val="center"/>
          </w:tcPr>
          <w:p>
            <w:pPr>
              <w:spacing w:line="600" w:lineRule="exact"/>
              <w:ind w:left="-140" w:leftChars="-67"/>
              <w:jc w:val="left"/>
              <w:outlineLvl w:val="0"/>
              <w:rPr>
                <w:rFonts w:ascii="仿宋_GB2312" w:eastAsia="仿宋_GB2312"/>
                <w:sz w:val="24"/>
                <w:szCs w:val="24"/>
              </w:rPr>
            </w:pPr>
          </w:p>
        </w:tc>
        <w:tc>
          <w:tcPr>
            <w:tcW w:w="697" w:type="dxa"/>
            <w:vMerge w:val="continue"/>
            <w:vAlign w:val="center"/>
          </w:tcPr>
          <w:p>
            <w:pPr>
              <w:spacing w:line="600" w:lineRule="exact"/>
              <w:ind w:left="-140" w:leftChars="-67"/>
              <w:jc w:val="left"/>
              <w:outlineLvl w:val="0"/>
              <w:rPr>
                <w:rFonts w:ascii="仿宋_GB2312" w:eastAsia="仿宋_GB2312"/>
                <w:sz w:val="24"/>
                <w:szCs w:val="24"/>
              </w:rPr>
            </w:pPr>
          </w:p>
        </w:tc>
        <w:tc>
          <w:tcPr>
            <w:tcW w:w="703" w:type="dxa"/>
            <w:vMerge w:val="continue"/>
            <w:vAlign w:val="center"/>
          </w:tcPr>
          <w:p>
            <w:pPr>
              <w:spacing w:line="600" w:lineRule="exact"/>
              <w:ind w:left="-140" w:leftChars="-67"/>
              <w:jc w:val="left"/>
              <w:outlineLvl w:val="0"/>
              <w:rPr>
                <w:rFonts w:ascii="仿宋_GB2312" w:eastAsia="仿宋_GB2312"/>
                <w:sz w:val="24"/>
                <w:szCs w:val="24"/>
              </w:rPr>
            </w:pPr>
          </w:p>
        </w:tc>
        <w:tc>
          <w:tcPr>
            <w:tcW w:w="703"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合计</w:t>
            </w:r>
          </w:p>
        </w:tc>
        <w:tc>
          <w:tcPr>
            <w:tcW w:w="703"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一般公共预算拨款</w:t>
            </w:r>
          </w:p>
        </w:tc>
        <w:tc>
          <w:tcPr>
            <w:tcW w:w="551"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基金预算拨款</w:t>
            </w:r>
          </w:p>
        </w:tc>
        <w:tc>
          <w:tcPr>
            <w:tcW w:w="668"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财政专户核拨</w:t>
            </w:r>
          </w:p>
        </w:tc>
        <w:tc>
          <w:tcPr>
            <w:tcW w:w="613"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其他来源收入</w:t>
            </w:r>
          </w:p>
        </w:tc>
        <w:tc>
          <w:tcPr>
            <w:tcW w:w="572" w:type="dxa"/>
            <w:vMerge w:val="continue"/>
            <w:vAlign w:val="center"/>
          </w:tcPr>
          <w:p>
            <w:pPr>
              <w:spacing w:line="600" w:lineRule="exact"/>
              <w:ind w:left="-140" w:leftChars="-67"/>
              <w:jc w:val="left"/>
              <w:outlineLvl w:val="0"/>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065" w:type="dxa"/>
            <w:vAlign w:val="center"/>
          </w:tcPr>
          <w:p>
            <w:pPr>
              <w:spacing w:line="600" w:lineRule="exact"/>
              <w:ind w:left="-140" w:leftChars="-67"/>
              <w:jc w:val="center"/>
              <w:rPr>
                <w:rFonts w:ascii="仿宋_GB2312" w:eastAsia="仿宋_GB2312"/>
                <w:b/>
                <w:sz w:val="24"/>
                <w:szCs w:val="24"/>
              </w:rPr>
            </w:pPr>
            <w:r>
              <w:rPr>
                <w:rFonts w:hint="eastAsia" w:ascii="仿宋_GB2312" w:eastAsia="仿宋_GB2312"/>
                <w:b/>
                <w:sz w:val="24"/>
                <w:szCs w:val="24"/>
              </w:rPr>
              <w:t>石家庄市妇女联合会小计</w:t>
            </w:r>
          </w:p>
        </w:tc>
        <w:tc>
          <w:tcPr>
            <w:tcW w:w="714" w:type="dxa"/>
            <w:vAlign w:val="center"/>
          </w:tcPr>
          <w:p>
            <w:pPr>
              <w:spacing w:line="600" w:lineRule="exact"/>
              <w:ind w:left="-140" w:leftChars="-67"/>
              <w:jc w:val="right"/>
              <w:rPr>
                <w:rFonts w:ascii="仿宋_GB2312" w:eastAsia="仿宋_GB2312"/>
                <w:b/>
                <w:sz w:val="24"/>
                <w:szCs w:val="24"/>
              </w:rPr>
            </w:pPr>
          </w:p>
        </w:tc>
        <w:tc>
          <w:tcPr>
            <w:tcW w:w="684" w:type="dxa"/>
            <w:vAlign w:val="center"/>
          </w:tcPr>
          <w:p>
            <w:pPr>
              <w:spacing w:line="600" w:lineRule="exact"/>
              <w:ind w:left="-140" w:leftChars="-67"/>
              <w:jc w:val="left"/>
              <w:rPr>
                <w:rFonts w:ascii="仿宋_GB2312" w:eastAsia="仿宋_GB2312"/>
                <w:b/>
                <w:sz w:val="24"/>
                <w:szCs w:val="24"/>
              </w:rPr>
            </w:pPr>
          </w:p>
        </w:tc>
        <w:tc>
          <w:tcPr>
            <w:tcW w:w="1156" w:type="dxa"/>
            <w:vAlign w:val="center"/>
          </w:tcPr>
          <w:p>
            <w:pPr>
              <w:spacing w:line="600" w:lineRule="exact"/>
              <w:ind w:left="-140" w:leftChars="-67"/>
              <w:jc w:val="left"/>
              <w:rPr>
                <w:rFonts w:ascii="仿宋_GB2312" w:eastAsia="仿宋_GB2312"/>
                <w:b/>
                <w:sz w:val="24"/>
                <w:szCs w:val="24"/>
              </w:rPr>
            </w:pPr>
          </w:p>
        </w:tc>
        <w:tc>
          <w:tcPr>
            <w:tcW w:w="465" w:type="dxa"/>
            <w:vAlign w:val="center"/>
          </w:tcPr>
          <w:p>
            <w:pPr>
              <w:spacing w:line="600" w:lineRule="exact"/>
              <w:ind w:left="-140" w:leftChars="-67"/>
              <w:jc w:val="left"/>
              <w:rPr>
                <w:rFonts w:ascii="仿宋_GB2312" w:eastAsia="仿宋_GB2312"/>
                <w:b/>
                <w:sz w:val="24"/>
                <w:szCs w:val="24"/>
              </w:rPr>
            </w:pPr>
          </w:p>
        </w:tc>
        <w:tc>
          <w:tcPr>
            <w:tcW w:w="467" w:type="dxa"/>
            <w:vAlign w:val="center"/>
          </w:tcPr>
          <w:p>
            <w:pPr>
              <w:spacing w:line="600" w:lineRule="exact"/>
              <w:ind w:left="-140" w:leftChars="-67"/>
              <w:jc w:val="right"/>
              <w:rPr>
                <w:rFonts w:ascii="仿宋_GB2312" w:eastAsia="仿宋_GB2312"/>
                <w:b/>
                <w:sz w:val="24"/>
                <w:szCs w:val="24"/>
              </w:rPr>
            </w:pPr>
          </w:p>
        </w:tc>
        <w:tc>
          <w:tcPr>
            <w:tcW w:w="697" w:type="dxa"/>
            <w:vAlign w:val="center"/>
          </w:tcPr>
          <w:p>
            <w:pPr>
              <w:spacing w:line="600" w:lineRule="exact"/>
              <w:ind w:left="-140" w:leftChars="-67"/>
              <w:jc w:val="right"/>
              <w:rPr>
                <w:rFonts w:ascii="仿宋_GB2312" w:eastAsia="仿宋_GB2312"/>
                <w:b/>
                <w:sz w:val="24"/>
                <w:szCs w:val="24"/>
              </w:rPr>
            </w:pPr>
          </w:p>
        </w:tc>
        <w:tc>
          <w:tcPr>
            <w:tcW w:w="703" w:type="dxa"/>
            <w:vAlign w:val="center"/>
          </w:tcPr>
          <w:p>
            <w:pPr>
              <w:spacing w:line="600" w:lineRule="exact"/>
              <w:ind w:left="-140" w:leftChars="-67"/>
              <w:jc w:val="right"/>
              <w:rPr>
                <w:rFonts w:ascii="仿宋_GB2312" w:eastAsia="仿宋_GB2312"/>
                <w:b/>
                <w:sz w:val="24"/>
                <w:szCs w:val="24"/>
              </w:rPr>
            </w:pPr>
            <w:r>
              <w:rPr>
                <w:rFonts w:ascii="仿宋_GB2312" w:eastAsia="仿宋_GB2312"/>
                <w:b/>
                <w:sz w:val="24"/>
                <w:szCs w:val="24"/>
              </w:rPr>
              <w:t>47.00</w:t>
            </w:r>
          </w:p>
        </w:tc>
        <w:tc>
          <w:tcPr>
            <w:tcW w:w="703" w:type="dxa"/>
            <w:vAlign w:val="center"/>
          </w:tcPr>
          <w:p>
            <w:pPr>
              <w:spacing w:line="600" w:lineRule="exact"/>
              <w:ind w:left="-140" w:leftChars="-67"/>
              <w:jc w:val="right"/>
              <w:rPr>
                <w:rFonts w:ascii="仿宋_GB2312" w:eastAsia="仿宋_GB2312"/>
                <w:b/>
                <w:sz w:val="24"/>
                <w:szCs w:val="24"/>
              </w:rPr>
            </w:pPr>
            <w:r>
              <w:rPr>
                <w:rFonts w:ascii="仿宋_GB2312" w:eastAsia="仿宋_GB2312"/>
                <w:b/>
                <w:sz w:val="24"/>
                <w:szCs w:val="24"/>
              </w:rPr>
              <w:t>47.00</w:t>
            </w:r>
          </w:p>
        </w:tc>
        <w:tc>
          <w:tcPr>
            <w:tcW w:w="703" w:type="dxa"/>
            <w:vAlign w:val="center"/>
          </w:tcPr>
          <w:p>
            <w:pPr>
              <w:spacing w:line="600" w:lineRule="exact"/>
              <w:ind w:left="-140" w:leftChars="-67"/>
              <w:jc w:val="right"/>
              <w:rPr>
                <w:rFonts w:ascii="仿宋_GB2312" w:eastAsia="仿宋_GB2312"/>
                <w:b/>
                <w:sz w:val="24"/>
                <w:szCs w:val="24"/>
              </w:rPr>
            </w:pPr>
            <w:r>
              <w:rPr>
                <w:rFonts w:ascii="仿宋_GB2312" w:eastAsia="仿宋_GB2312"/>
                <w:b/>
                <w:sz w:val="24"/>
                <w:szCs w:val="24"/>
              </w:rPr>
              <w:t>47.00</w:t>
            </w:r>
          </w:p>
        </w:tc>
        <w:tc>
          <w:tcPr>
            <w:tcW w:w="551" w:type="dxa"/>
            <w:vAlign w:val="center"/>
          </w:tcPr>
          <w:p>
            <w:pPr>
              <w:spacing w:line="600" w:lineRule="exact"/>
              <w:ind w:left="-140" w:leftChars="-67"/>
              <w:jc w:val="right"/>
              <w:rPr>
                <w:rFonts w:ascii="仿宋_GB2312" w:eastAsia="仿宋_GB2312"/>
                <w:b/>
                <w:sz w:val="24"/>
                <w:szCs w:val="24"/>
              </w:rPr>
            </w:pPr>
          </w:p>
        </w:tc>
        <w:tc>
          <w:tcPr>
            <w:tcW w:w="668" w:type="dxa"/>
            <w:vAlign w:val="center"/>
          </w:tcPr>
          <w:p>
            <w:pPr>
              <w:spacing w:line="600" w:lineRule="exact"/>
              <w:ind w:left="-140" w:leftChars="-67"/>
              <w:jc w:val="right"/>
              <w:rPr>
                <w:rFonts w:ascii="仿宋_GB2312" w:eastAsia="仿宋_GB2312"/>
                <w:b/>
                <w:sz w:val="24"/>
                <w:szCs w:val="24"/>
              </w:rPr>
            </w:pPr>
          </w:p>
        </w:tc>
        <w:tc>
          <w:tcPr>
            <w:tcW w:w="613" w:type="dxa"/>
            <w:vAlign w:val="center"/>
          </w:tcPr>
          <w:p>
            <w:pPr>
              <w:spacing w:line="600" w:lineRule="exact"/>
              <w:ind w:left="-140" w:leftChars="-67"/>
              <w:jc w:val="right"/>
              <w:rPr>
                <w:rFonts w:ascii="仿宋_GB2312" w:eastAsia="仿宋_GB2312"/>
                <w:b/>
                <w:sz w:val="24"/>
                <w:szCs w:val="24"/>
              </w:rPr>
            </w:pPr>
          </w:p>
        </w:tc>
        <w:tc>
          <w:tcPr>
            <w:tcW w:w="572" w:type="dxa"/>
            <w:vAlign w:val="center"/>
          </w:tcPr>
          <w:p>
            <w:pPr>
              <w:spacing w:line="600" w:lineRule="exact"/>
              <w:ind w:left="-140" w:leftChars="-67"/>
              <w:jc w:val="right"/>
              <w:rPr>
                <w:rFonts w:ascii="仿宋_GB2312" w:eastAsia="仿宋_GB2312"/>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trHeight w:val="1396" w:hRule="atLeast"/>
          <w:jc w:val="center"/>
        </w:trPr>
        <w:tc>
          <w:tcPr>
            <w:tcW w:w="1065"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办公设备购置费</w:t>
            </w:r>
          </w:p>
        </w:tc>
        <w:tc>
          <w:tcPr>
            <w:tcW w:w="714"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1.00</w:t>
            </w:r>
          </w:p>
        </w:tc>
        <w:tc>
          <w:tcPr>
            <w:tcW w:w="68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通用摄像机</w:t>
            </w:r>
          </w:p>
        </w:tc>
        <w:tc>
          <w:tcPr>
            <w:tcW w:w="1156"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A02091102</w:t>
            </w:r>
          </w:p>
        </w:tc>
        <w:tc>
          <w:tcPr>
            <w:tcW w:w="465"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台</w:t>
            </w:r>
          </w:p>
        </w:tc>
        <w:tc>
          <w:tcPr>
            <w:tcW w:w="467"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w:t>
            </w:r>
          </w:p>
        </w:tc>
        <w:tc>
          <w:tcPr>
            <w:tcW w:w="697"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1.00</w:t>
            </w:r>
          </w:p>
        </w:tc>
        <w:tc>
          <w:tcPr>
            <w:tcW w:w="551" w:type="dxa"/>
            <w:vAlign w:val="center"/>
          </w:tcPr>
          <w:p>
            <w:pPr>
              <w:spacing w:line="600" w:lineRule="exact"/>
              <w:ind w:left="-140" w:leftChars="-67"/>
              <w:jc w:val="right"/>
              <w:rPr>
                <w:rFonts w:ascii="仿宋_GB2312" w:eastAsia="仿宋_GB2312"/>
                <w:sz w:val="24"/>
                <w:szCs w:val="24"/>
              </w:rPr>
            </w:pPr>
          </w:p>
        </w:tc>
        <w:tc>
          <w:tcPr>
            <w:tcW w:w="668" w:type="dxa"/>
            <w:vAlign w:val="center"/>
          </w:tcPr>
          <w:p>
            <w:pPr>
              <w:spacing w:line="600" w:lineRule="exact"/>
              <w:ind w:left="-140" w:leftChars="-67"/>
              <w:jc w:val="right"/>
              <w:rPr>
                <w:rFonts w:ascii="仿宋_GB2312" w:eastAsia="仿宋_GB2312"/>
                <w:sz w:val="24"/>
                <w:szCs w:val="24"/>
              </w:rPr>
            </w:pPr>
          </w:p>
        </w:tc>
        <w:tc>
          <w:tcPr>
            <w:tcW w:w="613" w:type="dxa"/>
            <w:vAlign w:val="center"/>
          </w:tcPr>
          <w:p>
            <w:pPr>
              <w:spacing w:line="600" w:lineRule="exact"/>
              <w:ind w:left="-140" w:leftChars="-67"/>
              <w:jc w:val="right"/>
              <w:rPr>
                <w:rFonts w:ascii="仿宋_GB2312" w:eastAsia="仿宋_GB2312"/>
                <w:sz w:val="24"/>
                <w:szCs w:val="24"/>
              </w:rPr>
            </w:pPr>
          </w:p>
        </w:tc>
        <w:tc>
          <w:tcPr>
            <w:tcW w:w="572" w:type="dxa"/>
            <w:vAlign w:val="center"/>
          </w:tcPr>
          <w:p>
            <w:pPr>
              <w:spacing w:line="600" w:lineRule="exact"/>
              <w:ind w:left="-140" w:leftChars="-67"/>
              <w:jc w:val="right"/>
              <w:rPr>
                <w:rFonts w:ascii="仿宋_GB2312" w:eastAsia="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Ex>
        <w:trPr>
          <w:jc w:val="center"/>
        </w:trPr>
        <w:tc>
          <w:tcPr>
            <w:tcW w:w="1065"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市级示范儿童友好家园运行经费</w:t>
            </w:r>
          </w:p>
        </w:tc>
        <w:tc>
          <w:tcPr>
            <w:tcW w:w="714"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46.00</w:t>
            </w:r>
          </w:p>
        </w:tc>
        <w:tc>
          <w:tcPr>
            <w:tcW w:w="684" w:type="dxa"/>
            <w:vAlign w:val="center"/>
          </w:tcPr>
          <w:p>
            <w:pPr>
              <w:spacing w:line="600" w:lineRule="exact"/>
              <w:ind w:left="-140" w:leftChars="-67"/>
              <w:jc w:val="left"/>
              <w:rPr>
                <w:rFonts w:ascii="仿宋_GB2312" w:eastAsia="仿宋_GB2312"/>
                <w:sz w:val="24"/>
                <w:szCs w:val="24"/>
              </w:rPr>
            </w:pPr>
            <w:r>
              <w:rPr>
                <w:rFonts w:hint="eastAsia" w:ascii="仿宋_GB2312" w:eastAsia="仿宋_GB2312"/>
                <w:sz w:val="24"/>
                <w:szCs w:val="24"/>
              </w:rPr>
              <w:t>社会服务</w:t>
            </w:r>
          </w:p>
        </w:tc>
        <w:tc>
          <w:tcPr>
            <w:tcW w:w="1156" w:type="dxa"/>
            <w:vAlign w:val="center"/>
          </w:tcPr>
          <w:p>
            <w:pPr>
              <w:spacing w:line="600" w:lineRule="exact"/>
              <w:ind w:left="-140" w:leftChars="-67"/>
              <w:jc w:val="left"/>
              <w:rPr>
                <w:rFonts w:ascii="仿宋_GB2312" w:eastAsia="仿宋_GB2312"/>
                <w:sz w:val="24"/>
                <w:szCs w:val="24"/>
              </w:rPr>
            </w:pPr>
            <w:r>
              <w:rPr>
                <w:rFonts w:ascii="仿宋_GB2312" w:eastAsia="仿宋_GB2312"/>
                <w:sz w:val="24"/>
                <w:szCs w:val="24"/>
              </w:rPr>
              <w:t>C1902</w:t>
            </w:r>
          </w:p>
        </w:tc>
        <w:tc>
          <w:tcPr>
            <w:tcW w:w="465" w:type="dxa"/>
            <w:vAlign w:val="center"/>
          </w:tcPr>
          <w:p>
            <w:pPr>
              <w:spacing w:line="600" w:lineRule="exact"/>
              <w:ind w:left="-140" w:leftChars="-67"/>
              <w:jc w:val="left"/>
              <w:rPr>
                <w:rFonts w:ascii="仿宋_GB2312" w:eastAsia="仿宋_GB2312"/>
                <w:sz w:val="24"/>
                <w:szCs w:val="24"/>
              </w:rPr>
            </w:pPr>
          </w:p>
        </w:tc>
        <w:tc>
          <w:tcPr>
            <w:tcW w:w="467"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1</w:t>
            </w:r>
          </w:p>
        </w:tc>
        <w:tc>
          <w:tcPr>
            <w:tcW w:w="697"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46.00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46.00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46.00</w:t>
            </w:r>
          </w:p>
        </w:tc>
        <w:tc>
          <w:tcPr>
            <w:tcW w:w="703" w:type="dxa"/>
            <w:vAlign w:val="center"/>
          </w:tcPr>
          <w:p>
            <w:pPr>
              <w:spacing w:line="600" w:lineRule="exact"/>
              <w:ind w:left="-140" w:leftChars="-67"/>
              <w:jc w:val="right"/>
              <w:rPr>
                <w:rFonts w:ascii="仿宋_GB2312" w:eastAsia="仿宋_GB2312"/>
                <w:sz w:val="24"/>
                <w:szCs w:val="24"/>
              </w:rPr>
            </w:pPr>
            <w:r>
              <w:rPr>
                <w:rFonts w:ascii="仿宋_GB2312" w:eastAsia="仿宋_GB2312"/>
                <w:sz w:val="24"/>
                <w:szCs w:val="24"/>
              </w:rPr>
              <w:t>46.00</w:t>
            </w:r>
          </w:p>
        </w:tc>
        <w:tc>
          <w:tcPr>
            <w:tcW w:w="551" w:type="dxa"/>
            <w:vAlign w:val="center"/>
          </w:tcPr>
          <w:p>
            <w:pPr>
              <w:spacing w:line="600" w:lineRule="exact"/>
              <w:ind w:left="-140" w:leftChars="-67"/>
              <w:jc w:val="right"/>
              <w:rPr>
                <w:rFonts w:ascii="仿宋_GB2312" w:eastAsia="仿宋_GB2312"/>
                <w:sz w:val="24"/>
                <w:szCs w:val="24"/>
              </w:rPr>
            </w:pPr>
          </w:p>
        </w:tc>
        <w:tc>
          <w:tcPr>
            <w:tcW w:w="668" w:type="dxa"/>
            <w:vAlign w:val="center"/>
          </w:tcPr>
          <w:p>
            <w:pPr>
              <w:spacing w:line="600" w:lineRule="exact"/>
              <w:ind w:left="-140" w:leftChars="-67"/>
              <w:jc w:val="right"/>
              <w:rPr>
                <w:rFonts w:ascii="仿宋_GB2312" w:eastAsia="仿宋_GB2312"/>
                <w:sz w:val="24"/>
                <w:szCs w:val="24"/>
              </w:rPr>
            </w:pPr>
          </w:p>
        </w:tc>
        <w:tc>
          <w:tcPr>
            <w:tcW w:w="613" w:type="dxa"/>
            <w:vAlign w:val="center"/>
          </w:tcPr>
          <w:p>
            <w:pPr>
              <w:spacing w:line="600" w:lineRule="exact"/>
              <w:ind w:left="-140" w:leftChars="-67"/>
              <w:jc w:val="right"/>
              <w:rPr>
                <w:rFonts w:ascii="仿宋_GB2312" w:eastAsia="仿宋_GB2312"/>
                <w:sz w:val="24"/>
                <w:szCs w:val="24"/>
              </w:rPr>
            </w:pPr>
          </w:p>
        </w:tc>
        <w:tc>
          <w:tcPr>
            <w:tcW w:w="572" w:type="dxa"/>
            <w:vAlign w:val="center"/>
          </w:tcPr>
          <w:p>
            <w:pPr>
              <w:spacing w:line="600" w:lineRule="exact"/>
              <w:ind w:left="-140" w:leftChars="-67"/>
              <w:jc w:val="right"/>
              <w:rPr>
                <w:rFonts w:ascii="仿宋_GB2312" w:eastAsia="仿宋_GB2312"/>
                <w:sz w:val="24"/>
                <w:szCs w:val="24"/>
              </w:rPr>
            </w:pPr>
          </w:p>
        </w:tc>
      </w:tr>
    </w:tbl>
    <w:p>
      <w:pPr>
        <w:pStyle w:val="5"/>
        <w:spacing w:line="600" w:lineRule="exact"/>
        <w:ind w:left="-140" w:leftChars="-67" w:firstLine="640"/>
        <w:rPr>
          <w:rFonts w:ascii="黑体" w:eastAsia="黑体"/>
          <w:sz w:val="32"/>
          <w:szCs w:val="32"/>
        </w:rPr>
      </w:pPr>
      <w:r>
        <w:rPr>
          <w:rFonts w:hint="eastAsia" w:ascii="黑体" w:eastAsia="黑体"/>
          <w:sz w:val="32"/>
          <w:szCs w:val="32"/>
        </w:rPr>
        <w:t>七、国有资产信息</w:t>
      </w:r>
      <w:r>
        <w:rPr>
          <w:rFonts w:ascii="黑体" w:eastAsia="黑体"/>
          <w:sz w:val="32"/>
          <w:szCs w:val="32"/>
        </w:rPr>
        <w:t xml:space="preserve"> </w:t>
      </w:r>
    </w:p>
    <w:p>
      <w:pPr>
        <w:pStyle w:val="5"/>
        <w:spacing w:line="600" w:lineRule="exact"/>
        <w:ind w:left="-140" w:leftChars="-67" w:firstLine="640"/>
        <w:rPr>
          <w:rFonts w:ascii="黑体" w:eastAsia="黑体"/>
          <w:sz w:val="32"/>
          <w:szCs w:val="32"/>
        </w:rPr>
      </w:pPr>
      <w:r>
        <w:rPr>
          <w:rFonts w:hint="eastAsia" w:ascii="仿宋_GB2312" w:eastAsia="仿宋_GB2312"/>
          <w:sz w:val="32"/>
          <w:szCs w:val="32"/>
        </w:rPr>
        <w:t>市妇联上年度固定资产金额为</w:t>
      </w:r>
      <w:r>
        <w:rPr>
          <w:rFonts w:ascii="仿宋_GB2312" w:eastAsia="仿宋_GB2312"/>
          <w:sz w:val="32"/>
          <w:szCs w:val="32"/>
        </w:rPr>
        <w:t>148.17</w:t>
      </w:r>
      <w:r>
        <w:rPr>
          <w:rFonts w:hint="eastAsia" w:ascii="仿宋_GB2312" w:eastAsia="仿宋_GB2312"/>
          <w:sz w:val="32"/>
          <w:szCs w:val="32"/>
        </w:rPr>
        <w:t>万元，本年度拟购置通用摄像机一台</w:t>
      </w:r>
      <w:r>
        <w:rPr>
          <w:rFonts w:ascii="仿宋_GB2312" w:eastAsia="仿宋_GB2312"/>
          <w:sz w:val="32"/>
          <w:szCs w:val="32"/>
        </w:rPr>
        <w:t>1</w:t>
      </w:r>
      <w:r>
        <w:rPr>
          <w:rFonts w:hint="eastAsia" w:ascii="仿宋_GB2312" w:eastAsia="仿宋_GB2312"/>
          <w:sz w:val="32"/>
          <w:szCs w:val="32"/>
        </w:rPr>
        <w:t>万元，已列入年度采购计划</w:t>
      </w:r>
      <w:r>
        <w:rPr>
          <w:rFonts w:hint="eastAsia" w:ascii="黑体" w:eastAsia="黑体"/>
          <w:sz w:val="32"/>
          <w:szCs w:val="32"/>
        </w:rPr>
        <w:t>。</w:t>
      </w:r>
    </w:p>
    <w:tbl>
      <w:tblPr>
        <w:tblStyle w:val="3"/>
        <w:tblW w:w="12037" w:type="dxa"/>
        <w:tblInd w:w="0" w:type="dxa"/>
        <w:tblLayout w:type="fixed"/>
        <w:tblCellMar>
          <w:top w:w="0" w:type="dxa"/>
          <w:left w:w="108" w:type="dxa"/>
          <w:bottom w:w="0" w:type="dxa"/>
          <w:right w:w="108" w:type="dxa"/>
        </w:tblCellMar>
      </w:tblPr>
      <w:tblGrid>
        <w:gridCol w:w="8585"/>
        <w:gridCol w:w="3452"/>
      </w:tblGrid>
      <w:tr>
        <w:tblPrEx>
          <w:tblLayout w:type="fixed"/>
          <w:tblCellMar>
            <w:top w:w="0" w:type="dxa"/>
            <w:left w:w="108" w:type="dxa"/>
            <w:bottom w:w="0" w:type="dxa"/>
            <w:right w:w="108" w:type="dxa"/>
          </w:tblCellMar>
        </w:tblPrEx>
        <w:trPr>
          <w:trHeight w:val="159" w:hRule="atLeast"/>
        </w:trPr>
        <w:tc>
          <w:tcPr>
            <w:tcW w:w="12037" w:type="dxa"/>
            <w:gridSpan w:val="2"/>
            <w:vAlign w:val="top"/>
          </w:tcPr>
          <w:p>
            <w:pPr>
              <w:autoSpaceDE w:val="0"/>
              <w:autoSpaceDN w:val="0"/>
              <w:adjustRightInd w:val="0"/>
              <w:ind w:firstLine="1260" w:firstLineChars="450"/>
              <w:rPr>
                <w:rFonts w:ascii="仿宋_GB2312" w:eastAsia="仿宋_GB2312" w:cs="宋体"/>
                <w:color w:val="000000"/>
                <w:kern w:val="0"/>
                <w:sz w:val="28"/>
                <w:szCs w:val="28"/>
              </w:rPr>
            </w:pPr>
            <w:r>
              <w:rPr>
                <w:rFonts w:hint="eastAsia" w:ascii="仿宋_GB2312" w:eastAsia="仿宋_GB2312" w:cs="宋体"/>
                <w:color w:val="000000"/>
                <w:kern w:val="0"/>
                <w:sz w:val="28"/>
                <w:szCs w:val="28"/>
              </w:rPr>
              <w:t>石家庄妇女联合会固定资产占用情况表</w:t>
            </w:r>
          </w:p>
          <w:p>
            <w:pPr>
              <w:autoSpaceDE w:val="0"/>
              <w:autoSpaceDN w:val="0"/>
              <w:adjustRightInd w:val="0"/>
              <w:ind w:firstLine="4760" w:firstLineChars="1700"/>
              <w:rPr>
                <w:rFonts w:ascii="仿宋_GB2312" w:eastAsia="仿宋_GB2312" w:cs="宋体"/>
                <w:color w:val="000000"/>
                <w:kern w:val="0"/>
                <w:sz w:val="28"/>
                <w:szCs w:val="28"/>
              </w:rPr>
            </w:pPr>
            <w:r>
              <w:rPr>
                <w:rFonts w:hint="eastAsia" w:ascii="仿宋_GB2312" w:eastAsia="仿宋_GB2312" w:cs="宋体"/>
                <w:color w:val="000000"/>
                <w:kern w:val="0"/>
                <w:sz w:val="28"/>
                <w:szCs w:val="28"/>
              </w:rPr>
              <w:t>截止时间：</w:t>
            </w:r>
            <w:r>
              <w:rPr>
                <w:rFonts w:ascii="仿宋_GB2312" w:eastAsia="仿宋_GB2312" w:cs="宋体"/>
                <w:color w:val="000000"/>
                <w:kern w:val="0"/>
                <w:sz w:val="28"/>
                <w:szCs w:val="28"/>
              </w:rPr>
              <w:t>2016</w:t>
            </w:r>
            <w:r>
              <w:rPr>
                <w:rFonts w:hint="eastAsia" w:ascii="仿宋_GB2312" w:eastAsia="仿宋_GB2312" w:cs="宋体"/>
                <w:color w:val="000000"/>
                <w:kern w:val="0"/>
                <w:sz w:val="28"/>
                <w:szCs w:val="28"/>
              </w:rPr>
              <w:t>年</w:t>
            </w:r>
            <w:r>
              <w:rPr>
                <w:rFonts w:ascii="仿宋_GB2312" w:eastAsia="仿宋_GB2312" w:cs="宋体"/>
                <w:color w:val="000000"/>
                <w:kern w:val="0"/>
                <w:sz w:val="28"/>
                <w:szCs w:val="28"/>
              </w:rPr>
              <w:t>12</w:t>
            </w:r>
            <w:r>
              <w:rPr>
                <w:rFonts w:hint="eastAsia" w:ascii="仿宋_GB2312" w:eastAsia="仿宋_GB2312" w:cs="宋体"/>
                <w:color w:val="000000"/>
                <w:kern w:val="0"/>
                <w:sz w:val="28"/>
                <w:szCs w:val="28"/>
              </w:rPr>
              <w:t>月</w:t>
            </w:r>
            <w:r>
              <w:rPr>
                <w:rFonts w:ascii="仿宋_GB2312" w:eastAsia="仿宋_GB2312" w:cs="宋体"/>
                <w:color w:val="000000"/>
                <w:kern w:val="0"/>
                <w:sz w:val="28"/>
                <w:szCs w:val="28"/>
              </w:rPr>
              <w:t>31</w:t>
            </w:r>
            <w:r>
              <w:rPr>
                <w:rFonts w:hint="eastAsia" w:ascii="仿宋_GB2312" w:eastAsia="仿宋_GB2312" w:cs="宋体"/>
                <w:color w:val="000000"/>
                <w:kern w:val="0"/>
                <w:sz w:val="28"/>
                <w:szCs w:val="28"/>
              </w:rPr>
              <w:t>日</w:t>
            </w:r>
          </w:p>
        </w:tc>
      </w:tr>
      <w:tr>
        <w:tblPrEx>
          <w:tblLayout w:type="fixed"/>
          <w:tblCellMar>
            <w:top w:w="0" w:type="dxa"/>
            <w:left w:w="108" w:type="dxa"/>
            <w:bottom w:w="0" w:type="dxa"/>
            <w:right w:w="108" w:type="dxa"/>
          </w:tblCellMar>
        </w:tblPrEx>
        <w:trPr>
          <w:gridAfter w:val="1"/>
          <w:wAfter w:w="3452" w:type="dxa"/>
          <w:trHeight w:val="110" w:hRule="atLeast"/>
        </w:trPr>
        <w:tc>
          <w:tcPr>
            <w:tcW w:w="8585" w:type="dxa"/>
            <w:vAlign w:val="top"/>
          </w:tcPr>
          <w:tbl>
            <w:tblPr>
              <w:tblStyle w:val="3"/>
              <w:tblW w:w="8359"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08"/>
              <w:gridCol w:w="2616"/>
              <w:gridCol w:w="28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hint="eastAsia" w:ascii="仿宋_GB2312" w:eastAsia="仿宋_GB2312" w:cs="宋体"/>
                      <w:color w:val="000000"/>
                      <w:kern w:val="0"/>
                      <w:sz w:val="24"/>
                      <w:szCs w:val="24"/>
                    </w:rPr>
                    <w:t>项</w:t>
                  </w:r>
                  <w:r>
                    <w:rPr>
                      <w:rFonts w:ascii="仿宋_GB2312" w:eastAsia="仿宋_GB2312" w:cs="宋体"/>
                      <w:color w:val="000000"/>
                      <w:kern w:val="0"/>
                      <w:sz w:val="24"/>
                      <w:szCs w:val="24"/>
                    </w:rPr>
                    <w:t xml:space="preserve"> </w:t>
                  </w:r>
                  <w:r>
                    <w:rPr>
                      <w:rFonts w:hint="eastAsia" w:ascii="仿宋_GB2312" w:eastAsia="仿宋_GB2312" w:cs="宋体"/>
                      <w:color w:val="000000"/>
                      <w:kern w:val="0"/>
                      <w:sz w:val="24"/>
                      <w:szCs w:val="24"/>
                    </w:rPr>
                    <w:t>目</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hint="eastAsia" w:ascii="仿宋_GB2312" w:eastAsia="仿宋_GB2312" w:cs="宋体"/>
                      <w:color w:val="000000"/>
                      <w:kern w:val="0"/>
                      <w:sz w:val="24"/>
                      <w:szCs w:val="24"/>
                    </w:rPr>
                    <w:t>数量</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hint="eastAsia" w:ascii="仿宋_GB2312" w:eastAsia="仿宋_GB2312" w:cs="宋体"/>
                      <w:color w:val="000000"/>
                      <w:kern w:val="0"/>
                      <w:sz w:val="24"/>
                      <w:szCs w:val="24"/>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hint="eastAsia" w:ascii="仿宋_GB2312" w:eastAsia="仿宋_GB2312" w:cs="宋体"/>
                      <w:color w:val="000000"/>
                      <w:kern w:val="0"/>
                      <w:sz w:val="24"/>
                      <w:szCs w:val="24"/>
                    </w:rPr>
                    <w:t>资产总额</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148.17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1</w:t>
                  </w:r>
                  <w:r>
                    <w:rPr>
                      <w:rFonts w:hint="eastAsia" w:ascii="仿宋_GB2312" w:eastAsia="仿宋_GB2312" w:cs="宋体"/>
                      <w:color w:val="000000"/>
                      <w:kern w:val="0"/>
                      <w:sz w:val="24"/>
                      <w:szCs w:val="24"/>
                    </w:rPr>
                    <w:t>、房屋（平方米）</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hint="eastAsia" w:ascii="仿宋_GB2312" w:eastAsia="仿宋_GB2312" w:cs="宋体"/>
                      <w:color w:val="000000"/>
                      <w:kern w:val="0"/>
                      <w:sz w:val="24"/>
                      <w:szCs w:val="24"/>
                    </w:rPr>
                    <w:t>其中：办公用房（平方米）</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2</w:t>
                  </w:r>
                  <w:r>
                    <w:rPr>
                      <w:rFonts w:hint="eastAsia" w:ascii="仿宋_GB2312" w:eastAsia="仿宋_GB2312" w:cs="宋体"/>
                      <w:color w:val="000000"/>
                      <w:kern w:val="0"/>
                      <w:sz w:val="24"/>
                      <w:szCs w:val="24"/>
                    </w:rPr>
                    <w:t>、车辆（台、辆）</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2</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39.77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3</w:t>
                  </w:r>
                  <w:r>
                    <w:rPr>
                      <w:rFonts w:hint="eastAsia" w:ascii="仿宋_GB2312" w:eastAsia="仿宋_GB2312" w:cs="宋体"/>
                      <w:color w:val="000000"/>
                      <w:kern w:val="0"/>
                      <w:sz w:val="24"/>
                      <w:szCs w:val="24"/>
                    </w:rPr>
                    <w:t>、单价在</w:t>
                  </w:r>
                  <w:r>
                    <w:rPr>
                      <w:rFonts w:ascii="仿宋_GB2312" w:eastAsia="仿宋_GB2312" w:cs="宋体"/>
                      <w:color w:val="000000"/>
                      <w:kern w:val="0"/>
                      <w:sz w:val="24"/>
                      <w:szCs w:val="24"/>
                    </w:rPr>
                    <w:t>50</w:t>
                  </w:r>
                  <w:r>
                    <w:rPr>
                      <w:rFonts w:hint="eastAsia" w:ascii="仿宋_GB2312" w:eastAsia="仿宋_GB2312" w:cs="宋体"/>
                      <w:color w:val="000000"/>
                      <w:kern w:val="0"/>
                      <w:sz w:val="24"/>
                      <w:szCs w:val="24"/>
                    </w:rPr>
                    <w:t>万元以上的设备</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908"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4</w:t>
                  </w:r>
                  <w:r>
                    <w:rPr>
                      <w:rFonts w:hint="eastAsia" w:ascii="仿宋_GB2312" w:eastAsia="仿宋_GB2312" w:cs="宋体"/>
                      <w:color w:val="000000"/>
                      <w:kern w:val="0"/>
                      <w:sz w:val="24"/>
                      <w:szCs w:val="24"/>
                    </w:rPr>
                    <w:t>、其他固定资产</w:t>
                  </w:r>
                </w:p>
              </w:tc>
              <w:tc>
                <w:tcPr>
                  <w:tcW w:w="2616"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w:t>
                  </w:r>
                </w:p>
              </w:tc>
              <w:tc>
                <w:tcPr>
                  <w:tcW w:w="2835" w:type="dxa"/>
                  <w:tcBorders>
                    <w:top w:val="single" w:color="000000" w:sz="4" w:space="0"/>
                    <w:left w:val="single" w:color="000000" w:sz="4" w:space="0"/>
                    <w:bottom w:val="single" w:color="000000" w:sz="4" w:space="0"/>
                    <w:right w:val="single" w:color="000000" w:sz="4" w:space="0"/>
                  </w:tcBorders>
                  <w:vAlign w:val="top"/>
                </w:tcPr>
                <w:p>
                  <w:pPr>
                    <w:autoSpaceDE w:val="0"/>
                    <w:autoSpaceDN w:val="0"/>
                    <w:adjustRightInd w:val="0"/>
                    <w:jc w:val="center"/>
                    <w:rPr>
                      <w:rFonts w:ascii="仿宋_GB2312" w:eastAsia="仿宋_GB2312" w:cs="宋体"/>
                      <w:color w:val="000000"/>
                      <w:kern w:val="0"/>
                      <w:sz w:val="24"/>
                      <w:szCs w:val="24"/>
                    </w:rPr>
                  </w:pPr>
                  <w:r>
                    <w:rPr>
                      <w:rFonts w:ascii="仿宋_GB2312" w:eastAsia="仿宋_GB2312" w:cs="宋体"/>
                      <w:color w:val="000000"/>
                      <w:kern w:val="0"/>
                      <w:sz w:val="24"/>
                      <w:szCs w:val="24"/>
                    </w:rPr>
                    <w:t>108.40</w:t>
                  </w:r>
                </w:p>
              </w:tc>
            </w:tr>
          </w:tbl>
          <w:p>
            <w:pPr>
              <w:autoSpaceDE w:val="0"/>
              <w:autoSpaceDN w:val="0"/>
              <w:adjustRightInd w:val="0"/>
              <w:jc w:val="center"/>
              <w:rPr>
                <w:rFonts w:ascii="仿宋_GB2312" w:eastAsia="仿宋_GB2312" w:cs="宋体"/>
                <w:color w:val="000000"/>
                <w:kern w:val="0"/>
                <w:sz w:val="24"/>
                <w:szCs w:val="24"/>
              </w:rPr>
            </w:pPr>
          </w:p>
        </w:tc>
      </w:tr>
    </w:tbl>
    <w:p>
      <w:pPr>
        <w:pStyle w:val="5"/>
        <w:spacing w:line="600" w:lineRule="exact"/>
        <w:ind w:left="-140" w:leftChars="-67" w:firstLine="640"/>
        <w:rPr>
          <w:rFonts w:ascii="黑体" w:eastAsia="黑体"/>
          <w:sz w:val="32"/>
          <w:szCs w:val="32"/>
        </w:rPr>
      </w:pPr>
      <w:r>
        <w:rPr>
          <w:rFonts w:hint="eastAsia" w:ascii="黑体" w:eastAsia="黑体"/>
          <w:sz w:val="32"/>
          <w:szCs w:val="32"/>
        </w:rPr>
        <w:t>八、名词解释</w:t>
      </w:r>
      <w:r>
        <w:rPr>
          <w:rFonts w:ascii="黑体" w:eastAsia="黑体"/>
          <w:sz w:val="32"/>
          <w:szCs w:val="32"/>
        </w:rPr>
        <w:t xml:space="preserve"> </w:t>
      </w:r>
    </w:p>
    <w:p>
      <w:pPr>
        <w:pStyle w:val="5"/>
        <w:spacing w:line="600" w:lineRule="exact"/>
        <w:ind w:left="-140" w:leftChars="-67" w:firstLine="64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、一般共预算拨款收入：指市级财政当年拨付的资金。</w:t>
      </w:r>
    </w:p>
    <w:p>
      <w:pPr>
        <w:pStyle w:val="5"/>
        <w:spacing w:line="600" w:lineRule="exact"/>
        <w:ind w:left="-140" w:leftChars="-67" w:firstLine="640"/>
        <w:rPr>
          <w:rFonts w:ascii="仿宋_GB2312" w:hAnsi="FZFangSong-Z02" w:eastAsia="仿宋_GB2312" w:cs="FZFangSong-Z02"/>
          <w:color w:val="000000"/>
          <w:kern w:val="0"/>
          <w:sz w:val="32"/>
          <w:szCs w:val="32"/>
        </w:rPr>
      </w:pPr>
      <w:r>
        <w:rPr>
          <w:rFonts w:ascii="仿宋_GB2312" w:eastAsia="仿宋_GB2312"/>
          <w:sz w:val="32"/>
          <w:szCs w:val="32"/>
        </w:rPr>
        <w:t>2</w:t>
      </w:r>
      <w:r>
        <w:rPr>
          <w:rFonts w:hint="eastAsia" w:ascii="仿宋_GB2312" w:hAnsi="FZFangSong-Z02" w:eastAsia="仿宋_GB2312" w:cs="FZFangSong-Z02"/>
          <w:color w:val="000000"/>
          <w:kern w:val="0"/>
          <w:sz w:val="32"/>
          <w:szCs w:val="32"/>
        </w:rPr>
        <w:t>、基本支出：指为保障机构正常运转、完成日常工作任务而发生的人员支出和公用支出。</w:t>
      </w:r>
    </w:p>
    <w:p>
      <w:pPr>
        <w:autoSpaceDE w:val="0"/>
        <w:autoSpaceDN w:val="0"/>
        <w:adjustRightInd w:val="0"/>
        <w:spacing w:line="600" w:lineRule="exact"/>
        <w:ind w:left="-140" w:leftChars="-67" w:firstLine="627" w:firstLineChars="196"/>
        <w:jc w:val="left"/>
        <w:rPr>
          <w:rFonts w:ascii="仿宋_GB2312" w:hAnsi="FZFangSong-Z02" w:eastAsia="仿宋_GB2312" w:cs="FZFangSong-Z02"/>
          <w:color w:val="000000"/>
          <w:kern w:val="0"/>
          <w:sz w:val="32"/>
          <w:szCs w:val="32"/>
        </w:rPr>
      </w:pPr>
      <w:r>
        <w:rPr>
          <w:rFonts w:ascii="仿宋_GB2312" w:hAnsi="FZFangSong-Z02" w:eastAsia="仿宋_GB2312" w:cs="FZFangSong-Z02"/>
          <w:color w:val="000000"/>
          <w:kern w:val="0"/>
          <w:sz w:val="32"/>
          <w:szCs w:val="32"/>
        </w:rPr>
        <w:t>3</w:t>
      </w:r>
      <w:r>
        <w:rPr>
          <w:rFonts w:hint="eastAsia" w:ascii="仿宋_GB2312" w:hAnsi="FZFangSong-Z02" w:eastAsia="仿宋_GB2312" w:cs="FZFangSong-Z02"/>
          <w:color w:val="000000"/>
          <w:kern w:val="0"/>
          <w:sz w:val="32"/>
          <w:szCs w:val="32"/>
        </w:rPr>
        <w:t>、项目支出：指在基本支出之外为完成特定行政任务和事业发展目标所发生的支出。</w:t>
      </w:r>
    </w:p>
    <w:p>
      <w:pPr>
        <w:autoSpaceDE w:val="0"/>
        <w:autoSpaceDN w:val="0"/>
        <w:adjustRightInd w:val="0"/>
        <w:spacing w:line="600" w:lineRule="exact"/>
        <w:ind w:left="-140" w:leftChars="-67" w:firstLine="627" w:firstLineChars="196"/>
        <w:jc w:val="left"/>
        <w:rPr>
          <w:rFonts w:ascii="仿宋_GB2312" w:hAnsi="FZFangSong-Z02" w:eastAsia="仿宋_GB2312" w:cs="FZFangSong-Z02"/>
          <w:color w:val="000000"/>
          <w:kern w:val="0"/>
          <w:sz w:val="32"/>
          <w:szCs w:val="32"/>
        </w:rPr>
      </w:pPr>
      <w:r>
        <w:rPr>
          <w:rFonts w:ascii="仿宋_GB2312" w:hAnsi="FZFangSong-Z02" w:eastAsia="仿宋_GB2312" w:cs="FZFangSong-Z02"/>
          <w:color w:val="000000"/>
          <w:kern w:val="0"/>
          <w:sz w:val="32"/>
          <w:szCs w:val="32"/>
        </w:rPr>
        <w:t>4</w:t>
      </w:r>
      <w:r>
        <w:rPr>
          <w:rFonts w:hint="eastAsia" w:ascii="仿宋_GB2312" w:hAnsi="FZFangSong-Z02" w:eastAsia="仿宋_GB2312" w:cs="FZFangSong-Z02"/>
          <w:color w:val="000000"/>
          <w:kern w:val="0"/>
          <w:sz w:val="32"/>
          <w:szCs w:val="32"/>
        </w:rPr>
        <w:t>、</w:t>
      </w:r>
      <w:r>
        <w:rPr>
          <w:rFonts w:ascii="仿宋_GB2312" w:hAnsi="FZFangSong-Z02" w:eastAsia="仿宋_GB2312" w:cs="FZFangSong-Z02"/>
          <w:color w:val="000000"/>
          <w:kern w:val="0"/>
          <w:sz w:val="32"/>
          <w:szCs w:val="32"/>
        </w:rPr>
        <w:t>“</w:t>
      </w:r>
      <w:r>
        <w:rPr>
          <w:rFonts w:hint="eastAsia" w:ascii="仿宋_GB2312" w:hAnsi="FZFangSong-Z02" w:eastAsia="仿宋_GB2312" w:cs="FZFangSong-Z02"/>
          <w:color w:val="000000"/>
          <w:kern w:val="0"/>
          <w:sz w:val="32"/>
          <w:szCs w:val="32"/>
        </w:rPr>
        <w:t>三公</w:t>
      </w:r>
      <w:r>
        <w:rPr>
          <w:rFonts w:ascii="仿宋_GB2312" w:hAnsi="FZFangSong-Z02" w:eastAsia="仿宋_GB2312" w:cs="FZFangSong-Z02"/>
          <w:color w:val="000000"/>
          <w:kern w:val="0"/>
          <w:sz w:val="32"/>
          <w:szCs w:val="32"/>
        </w:rPr>
        <w:t>”</w:t>
      </w:r>
      <w:r>
        <w:rPr>
          <w:rFonts w:hint="eastAsia" w:ascii="仿宋_GB2312" w:hAnsi="FZFangSong-Z02" w:eastAsia="仿宋_GB2312" w:cs="FZFangSong-Z02"/>
          <w:color w:val="000000"/>
          <w:kern w:val="0"/>
          <w:sz w:val="32"/>
          <w:szCs w:val="32"/>
        </w:rPr>
        <w:t>经费：纳入省级财政预算管理的</w:t>
      </w:r>
      <w:r>
        <w:rPr>
          <w:rFonts w:ascii="仿宋_GB2312" w:hAnsi="FZFangSong-Z02" w:eastAsia="仿宋_GB2312" w:cs="FZFangSong-Z02"/>
          <w:color w:val="000000"/>
          <w:kern w:val="0"/>
          <w:sz w:val="32"/>
          <w:szCs w:val="32"/>
        </w:rPr>
        <w:t>“</w:t>
      </w:r>
      <w:r>
        <w:rPr>
          <w:rFonts w:hint="eastAsia" w:ascii="仿宋_GB2312" w:hAnsi="FZFangSong-Z02" w:eastAsia="仿宋_GB2312" w:cs="FZFangSong-Z02"/>
          <w:color w:val="000000"/>
          <w:kern w:val="0"/>
          <w:sz w:val="32"/>
          <w:szCs w:val="32"/>
        </w:rPr>
        <w:t>三公</w:t>
      </w:r>
      <w:r>
        <w:rPr>
          <w:rFonts w:ascii="仿宋_GB2312" w:hAnsi="FZFangSong-Z02" w:eastAsia="仿宋_GB2312" w:cs="FZFangSong-Z02"/>
          <w:color w:val="000000"/>
          <w:kern w:val="0"/>
          <w:sz w:val="32"/>
          <w:szCs w:val="32"/>
        </w:rPr>
        <w:t>”</w:t>
      </w:r>
      <w:r>
        <w:rPr>
          <w:rFonts w:hint="eastAsia" w:ascii="仿宋_GB2312" w:hAnsi="FZFangSong-Z02" w:eastAsia="仿宋_GB2312" w:cs="FZFangSong-Z02"/>
          <w:color w:val="000000"/>
          <w:kern w:val="0"/>
          <w:sz w:val="32"/>
          <w:szCs w:val="32"/>
        </w:rPr>
        <w:t>经费，是指省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autoSpaceDE w:val="0"/>
        <w:autoSpaceDN w:val="0"/>
        <w:adjustRightInd w:val="0"/>
        <w:spacing w:line="600" w:lineRule="exact"/>
        <w:ind w:left="-140" w:leftChars="-67" w:firstLine="627" w:firstLineChars="196"/>
        <w:jc w:val="left"/>
        <w:rPr>
          <w:rFonts w:hint="eastAsia" w:ascii="仿宋_GB2312" w:hAnsi="FZFangSong-Z02" w:eastAsia="仿宋_GB2312" w:cs="FZFangSong-Z02"/>
          <w:color w:val="000000"/>
          <w:kern w:val="0"/>
          <w:sz w:val="32"/>
          <w:szCs w:val="32"/>
        </w:rPr>
      </w:pPr>
      <w:r>
        <w:rPr>
          <w:rFonts w:ascii="仿宋_GB2312" w:hAnsi="FZFangSong-Z02" w:eastAsia="仿宋_GB2312" w:cs="FZFangSong-Z02"/>
          <w:color w:val="000000"/>
          <w:kern w:val="0"/>
          <w:sz w:val="32"/>
          <w:szCs w:val="32"/>
        </w:rPr>
        <w:t>5</w:t>
      </w:r>
      <w:r>
        <w:rPr>
          <w:rFonts w:hint="eastAsia" w:ascii="仿宋_GB2312" w:hAnsi="FZFangSong-Z02" w:eastAsia="仿宋_GB2312" w:cs="FZFangSong-Z02"/>
          <w:color w:val="000000"/>
          <w:kern w:val="0"/>
          <w:sz w:val="32"/>
          <w:szCs w:val="32"/>
        </w:rPr>
        <w:t>、机关运行费：为保障行政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spacing w:line="600" w:lineRule="exact"/>
        <w:ind w:left="-140" w:leftChars="-67" w:firstLine="627" w:firstLineChars="196"/>
        <w:jc w:val="left"/>
        <w:rPr>
          <w:rFonts w:hint="eastAsia" w:ascii="黑体" w:hAnsi="FZFangSong-Z02" w:eastAsia="黑体" w:cs="FZFangSong-Z02"/>
          <w:color w:val="000000"/>
          <w:kern w:val="0"/>
          <w:sz w:val="32"/>
          <w:szCs w:val="32"/>
        </w:rPr>
      </w:pPr>
      <w:r>
        <w:rPr>
          <w:rFonts w:hint="eastAsia" w:ascii="黑体" w:hAnsi="FZFangSong-Z02" w:eastAsia="黑体" w:cs="FZFangSong-Z02"/>
          <w:color w:val="000000"/>
          <w:kern w:val="0"/>
          <w:sz w:val="32"/>
          <w:szCs w:val="32"/>
        </w:rPr>
        <w:t>九、其他需说明的事项</w:t>
      </w:r>
    </w:p>
    <w:p>
      <w:pPr>
        <w:autoSpaceDE w:val="0"/>
        <w:autoSpaceDN w:val="0"/>
        <w:adjustRightInd w:val="0"/>
        <w:spacing w:line="600" w:lineRule="exact"/>
        <w:ind w:left="-140" w:leftChars="-67" w:firstLine="627" w:firstLineChars="196"/>
        <w:jc w:val="left"/>
        <w:rPr>
          <w:rFonts w:hint="eastAsia" w:ascii="仿宋_GB2312" w:hAnsi="FZFangSong-Z02" w:eastAsia="仿宋_GB2312" w:cs="FZFangSong-Z02"/>
          <w:color w:val="000000"/>
          <w:kern w:val="0"/>
          <w:sz w:val="32"/>
          <w:szCs w:val="32"/>
        </w:rPr>
      </w:pPr>
      <w:r>
        <w:rPr>
          <w:rFonts w:hint="eastAsia" w:ascii="仿宋_GB2312" w:hAnsi="FZFangSong-Z02" w:eastAsia="仿宋_GB2312" w:cs="FZFangSong-Z02"/>
          <w:color w:val="000000"/>
          <w:kern w:val="0"/>
          <w:sz w:val="32"/>
          <w:szCs w:val="32"/>
        </w:rPr>
        <w:t>无其他需说明的事项。</w:t>
      </w:r>
    </w:p>
    <w:p>
      <w:pPr>
        <w:autoSpaceDE w:val="0"/>
        <w:autoSpaceDN w:val="0"/>
        <w:adjustRightInd w:val="0"/>
        <w:spacing w:line="600" w:lineRule="exact"/>
        <w:ind w:left="-140" w:leftChars="-67" w:firstLine="627" w:firstLineChars="196"/>
        <w:jc w:val="left"/>
        <w:rPr>
          <w:rFonts w:ascii="仿宋_GB2312" w:hAnsi="FZFangSong-Z02" w:eastAsia="仿宋_GB2312" w:cs="FZFangSong-Z02"/>
          <w:color w:val="000000"/>
          <w:kern w:val="0"/>
          <w:sz w:val="32"/>
          <w:szCs w:val="32"/>
        </w:rPr>
      </w:pPr>
    </w:p>
    <w:p/>
    <w:sectPr>
      <w:pgSz w:w="11906" w:h="16838"/>
      <w:pgMar w:top="1701" w:right="1418" w:bottom="1418"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FZXiaoBiaoSong-B05">
    <w:altName w:val="Arial"/>
    <w:panose1 w:val="00000000000000000000"/>
    <w:charset w:val="00"/>
    <w:family w:val="swiss"/>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10" w:usb3="00000000" w:csb0="00040000" w:csb1="00000000"/>
  </w:font>
  <w:font w:name="FZFangSong-Z02">
    <w:altName w:val="Arial"/>
    <w:panose1 w:val="00000000000000000000"/>
    <w:charset w:val="00"/>
    <w:family w:val="swiss"/>
    <w:pitch w:val="default"/>
    <w:sig w:usb0="00000000" w:usb1="00000000" w:usb2="00000000" w:usb3="00000000" w:csb0="00000001"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A863024"/>
    <w:rsid w:val="3E1F7DB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Default"/>
    <w:uiPriority w:val="0"/>
    <w:pPr>
      <w:widowControl w:val="0"/>
      <w:autoSpaceDE w:val="0"/>
      <w:autoSpaceDN w:val="0"/>
      <w:adjustRightInd w:val="0"/>
    </w:pPr>
    <w:rPr>
      <w:rFonts w:ascii="FZXiaoBiaoSong-B05" w:hAnsi="FZXiaoBiaoSong-B05" w:cs="FZXiaoBiaoSong-B05" w:eastAsiaTheme="minorEastAsia"/>
      <w:color w:val="000000"/>
      <w:sz w:val="24"/>
      <w:szCs w:val="24"/>
      <w:lang w:val="en-US" w:eastAsia="zh-CN" w:bidi="ar-SA"/>
    </w:rPr>
  </w:style>
  <w:style w:type="paragraph" w:customStyle="1" w:styleId="5">
    <w:name w:val="_Style 3"/>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2024-12-17T02:14:34Z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