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644赵县人民检察院</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1042.43</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r>
              <w:t>1042.43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1042.43</w:t>
            </w:r>
          </w:p>
        </w:tc>
        <w:tc>
          <w:tcPr>
            <w:tcW w:w="4535" w:type="dxa"/>
            <w:vAlign w:val="center"/>
          </w:tcPr>
          <w:p>
            <w:pPr>
              <w:pStyle w:val="12"/>
            </w:pPr>
            <w:r>
              <w:t>本年支出合计</w:t>
            </w:r>
          </w:p>
        </w:tc>
        <w:tc>
          <w:tcPr>
            <w:tcW w:w="2126" w:type="dxa"/>
            <w:vAlign w:val="center"/>
          </w:tcPr>
          <w:p>
            <w:pPr>
              <w:pStyle w:val="13"/>
            </w:pPr>
            <w:r>
              <w:t>1042.43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1042.43</w:t>
            </w:r>
          </w:p>
        </w:tc>
        <w:tc>
          <w:tcPr>
            <w:tcW w:w="4535" w:type="dxa"/>
            <w:vAlign w:val="center"/>
          </w:tcPr>
          <w:p>
            <w:pPr>
              <w:pStyle w:val="12"/>
            </w:pPr>
            <w:r>
              <w:t>支出总计</w:t>
            </w:r>
          </w:p>
        </w:tc>
        <w:tc>
          <w:tcPr>
            <w:tcW w:w="2126" w:type="dxa"/>
            <w:vAlign w:val="center"/>
          </w:tcPr>
          <w:p>
            <w:pPr>
              <w:pStyle w:val="13"/>
            </w:pPr>
            <w:r>
              <w:t>1042.43</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644赵县人民检察院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1042.43</w:t>
            </w:r>
          </w:p>
        </w:tc>
        <w:tc>
          <w:tcPr>
            <w:tcW w:w="1134" w:type="dxa"/>
            <w:vAlign w:val="center"/>
          </w:tcPr>
          <w:p>
            <w:pPr>
              <w:pStyle w:val="13"/>
            </w:pPr>
            <w:r>
              <w:t>1042.43</w:t>
            </w:r>
          </w:p>
        </w:tc>
        <w:tc>
          <w:tcPr>
            <w:tcW w:w="1134" w:type="dxa"/>
            <w:vAlign w:val="center"/>
          </w:tcPr>
          <w:p>
            <w:pPr>
              <w:pStyle w:val="13"/>
            </w:pPr>
            <w:r>
              <w:t>1042.43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11"/>
            </w:pPr>
            <w:r>
              <w:t>1042.43</w:t>
            </w:r>
          </w:p>
        </w:tc>
        <w:tc>
          <w:tcPr>
            <w:tcW w:w="1134" w:type="dxa"/>
            <w:vAlign w:val="center"/>
          </w:tcPr>
          <w:p>
            <w:pPr>
              <w:pStyle w:val="11"/>
            </w:pPr>
            <w:r>
              <w:t>1042.43</w:t>
            </w:r>
          </w:p>
        </w:tc>
        <w:tc>
          <w:tcPr>
            <w:tcW w:w="1134" w:type="dxa"/>
            <w:vAlign w:val="center"/>
          </w:tcPr>
          <w:p>
            <w:pPr>
              <w:pStyle w:val="11"/>
            </w:pPr>
            <w:r>
              <w:t>1042.43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20404</w:t>
            </w:r>
          </w:p>
        </w:tc>
        <w:tc>
          <w:tcPr>
            <w:tcW w:w="1559" w:type="dxa"/>
            <w:vAlign w:val="center"/>
          </w:tcPr>
          <w:p>
            <w:pPr>
              <w:pStyle w:val="10"/>
            </w:pPr>
            <w:r>
              <w:t>检察</w:t>
            </w:r>
          </w:p>
        </w:tc>
        <w:tc>
          <w:tcPr>
            <w:tcW w:w="1134" w:type="dxa"/>
            <w:vAlign w:val="center"/>
          </w:tcPr>
          <w:p>
            <w:pPr>
              <w:pStyle w:val="11"/>
            </w:pPr>
            <w:r>
              <w:t>291.47</w:t>
            </w:r>
          </w:p>
        </w:tc>
        <w:tc>
          <w:tcPr>
            <w:tcW w:w="1134" w:type="dxa"/>
            <w:vAlign w:val="center"/>
          </w:tcPr>
          <w:p>
            <w:pPr>
              <w:pStyle w:val="11"/>
            </w:pPr>
            <w:r>
              <w:t>291.47</w:t>
            </w:r>
          </w:p>
        </w:tc>
        <w:tc>
          <w:tcPr>
            <w:tcW w:w="1134" w:type="dxa"/>
            <w:vAlign w:val="center"/>
          </w:tcPr>
          <w:p>
            <w:pPr>
              <w:pStyle w:val="11"/>
            </w:pPr>
            <w:r>
              <w:t>291.47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2040401</w:t>
            </w:r>
          </w:p>
        </w:tc>
        <w:tc>
          <w:tcPr>
            <w:tcW w:w="1559" w:type="dxa"/>
            <w:vAlign w:val="center"/>
          </w:tcPr>
          <w:p>
            <w:pPr>
              <w:pStyle w:val="10"/>
            </w:pPr>
            <w:r>
              <w:t>行政运行</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2040402</w:t>
            </w:r>
          </w:p>
        </w:tc>
        <w:tc>
          <w:tcPr>
            <w:tcW w:w="1559" w:type="dxa"/>
            <w:vAlign w:val="center"/>
          </w:tcPr>
          <w:p>
            <w:pPr>
              <w:pStyle w:val="10"/>
            </w:pPr>
            <w:r>
              <w:t>一般行政管理事务</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rPr>
                <w:highlight w:val="none"/>
              </w:rPr>
            </w:pPr>
            <w:r>
              <w:rPr>
                <w:highlight w:val="none"/>
              </w:rPr>
              <w:t>20405</w:t>
            </w:r>
          </w:p>
        </w:tc>
        <w:tc>
          <w:tcPr>
            <w:tcW w:w="1559" w:type="dxa"/>
            <w:vAlign w:val="center"/>
          </w:tcPr>
          <w:p>
            <w:pPr>
              <w:pStyle w:val="10"/>
              <w:rPr>
                <w:highlight w:val="none"/>
              </w:rPr>
            </w:pPr>
            <w:r>
              <w:rPr>
                <w:highlight w:val="none"/>
              </w:rPr>
              <w:t>法院</w:t>
            </w:r>
          </w:p>
        </w:tc>
        <w:tc>
          <w:tcPr>
            <w:tcW w:w="1134" w:type="dxa"/>
            <w:vAlign w:val="center"/>
          </w:tcPr>
          <w:p>
            <w:pPr>
              <w:pStyle w:val="11"/>
              <w:rPr>
                <w:highlight w:val="none"/>
              </w:rPr>
            </w:pPr>
            <w:r>
              <w:rPr>
                <w:highlight w:val="none"/>
              </w:rPr>
              <w:t>750.96</w:t>
            </w:r>
          </w:p>
        </w:tc>
        <w:tc>
          <w:tcPr>
            <w:tcW w:w="1134" w:type="dxa"/>
            <w:vAlign w:val="center"/>
          </w:tcPr>
          <w:p>
            <w:pPr>
              <w:pStyle w:val="11"/>
              <w:rPr>
                <w:highlight w:val="none"/>
              </w:rPr>
            </w:pPr>
            <w:r>
              <w:rPr>
                <w:highlight w:val="none"/>
              </w:rPr>
              <w:t>750.96</w:t>
            </w:r>
          </w:p>
        </w:tc>
        <w:tc>
          <w:tcPr>
            <w:tcW w:w="1134" w:type="dxa"/>
            <w:vAlign w:val="center"/>
          </w:tcPr>
          <w:p>
            <w:pPr>
              <w:pStyle w:val="11"/>
              <w:rPr>
                <w:highlight w:val="none"/>
              </w:rPr>
            </w:pPr>
            <w:r>
              <w:rPr>
                <w:highlight w:val="none"/>
              </w:rPr>
              <w:t>750.96</w:t>
            </w:r>
          </w:p>
        </w:tc>
        <w:tc>
          <w:tcPr>
            <w:tcW w:w="1134" w:type="dxa"/>
            <w:vAlign w:val="center"/>
          </w:tcPr>
          <w:p>
            <w:pPr>
              <w:pStyle w:val="11"/>
              <w:rPr>
                <w:highlight w:val="yellow"/>
              </w:rPr>
            </w:pPr>
          </w:p>
        </w:tc>
        <w:tc>
          <w:tcPr>
            <w:tcW w:w="1134" w:type="dxa"/>
            <w:vAlign w:val="center"/>
          </w:tcPr>
          <w:p>
            <w:pPr>
              <w:pStyle w:val="11"/>
              <w:rPr>
                <w:highlight w:val="yellow"/>
              </w:rPr>
            </w:pPr>
          </w:p>
        </w:tc>
        <w:tc>
          <w:tcPr>
            <w:tcW w:w="1134" w:type="dxa"/>
            <w:vAlign w:val="center"/>
          </w:tcPr>
          <w:p>
            <w:pPr>
              <w:pStyle w:val="11"/>
              <w:rPr>
                <w:highlight w:val="yellow"/>
              </w:rPr>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rPr>
                <w:highlight w:val="none"/>
              </w:rPr>
            </w:pPr>
            <w:r>
              <w:rPr>
                <w:highlight w:val="none"/>
              </w:rPr>
              <w:t>2040501</w:t>
            </w:r>
          </w:p>
        </w:tc>
        <w:tc>
          <w:tcPr>
            <w:tcW w:w="1559" w:type="dxa"/>
            <w:vAlign w:val="center"/>
          </w:tcPr>
          <w:p>
            <w:pPr>
              <w:pStyle w:val="10"/>
              <w:rPr>
                <w:highlight w:val="none"/>
              </w:rPr>
            </w:pPr>
            <w:r>
              <w:rPr>
                <w:highlight w:val="none"/>
              </w:rPr>
              <w:t>行政运行</w:t>
            </w:r>
          </w:p>
        </w:tc>
        <w:tc>
          <w:tcPr>
            <w:tcW w:w="1134" w:type="dxa"/>
            <w:vAlign w:val="center"/>
          </w:tcPr>
          <w:p>
            <w:pPr>
              <w:pStyle w:val="11"/>
              <w:rPr>
                <w:highlight w:val="none"/>
              </w:rPr>
            </w:pPr>
            <w:r>
              <w:rPr>
                <w:highlight w:val="none"/>
              </w:rPr>
              <w:t>750.96</w:t>
            </w:r>
          </w:p>
        </w:tc>
        <w:tc>
          <w:tcPr>
            <w:tcW w:w="1134" w:type="dxa"/>
            <w:vAlign w:val="center"/>
          </w:tcPr>
          <w:p>
            <w:pPr>
              <w:pStyle w:val="11"/>
              <w:rPr>
                <w:highlight w:val="none"/>
              </w:rPr>
            </w:pPr>
            <w:r>
              <w:rPr>
                <w:highlight w:val="none"/>
              </w:rPr>
              <w:t>750.96</w:t>
            </w:r>
          </w:p>
        </w:tc>
        <w:tc>
          <w:tcPr>
            <w:tcW w:w="1134" w:type="dxa"/>
            <w:vAlign w:val="center"/>
          </w:tcPr>
          <w:p>
            <w:pPr>
              <w:pStyle w:val="11"/>
              <w:rPr>
                <w:highlight w:val="none"/>
              </w:rPr>
            </w:pPr>
            <w:r>
              <w:rPr>
                <w:highlight w:val="none"/>
              </w:rPr>
              <w:t>750.96</w:t>
            </w:r>
          </w:p>
        </w:tc>
        <w:tc>
          <w:tcPr>
            <w:tcW w:w="1134" w:type="dxa"/>
            <w:vAlign w:val="center"/>
          </w:tcPr>
          <w:p>
            <w:pPr>
              <w:pStyle w:val="11"/>
              <w:rPr>
                <w:highlight w:val="yellow"/>
              </w:rPr>
            </w:pPr>
          </w:p>
        </w:tc>
        <w:tc>
          <w:tcPr>
            <w:tcW w:w="1134" w:type="dxa"/>
            <w:vAlign w:val="center"/>
          </w:tcPr>
          <w:p>
            <w:pPr>
              <w:pStyle w:val="11"/>
              <w:rPr>
                <w:highlight w:val="yellow"/>
              </w:rPr>
            </w:pPr>
          </w:p>
        </w:tc>
        <w:tc>
          <w:tcPr>
            <w:tcW w:w="1134" w:type="dxa"/>
            <w:vAlign w:val="center"/>
          </w:tcPr>
          <w:p>
            <w:pPr>
              <w:pStyle w:val="11"/>
              <w:rPr>
                <w:highlight w:val="yellow"/>
              </w:rPr>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1042.43</w:t>
            </w:r>
          </w:p>
        </w:tc>
        <w:tc>
          <w:tcPr>
            <w:tcW w:w="1361" w:type="dxa"/>
            <w:vAlign w:val="center"/>
          </w:tcPr>
          <w:p>
            <w:pPr>
              <w:pStyle w:val="13"/>
            </w:pPr>
            <w:r>
              <w:t>833.43</w:t>
            </w: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11"/>
            </w:pPr>
            <w:r>
              <w:t>1042.43</w:t>
            </w:r>
          </w:p>
        </w:tc>
        <w:tc>
          <w:tcPr>
            <w:tcW w:w="1361" w:type="dxa"/>
            <w:vAlign w:val="center"/>
          </w:tcPr>
          <w:p>
            <w:pPr>
              <w:pStyle w:val="11"/>
            </w:pPr>
            <w:r>
              <w:t>833.43</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20404</w:t>
            </w:r>
          </w:p>
        </w:tc>
        <w:tc>
          <w:tcPr>
            <w:tcW w:w="4535" w:type="dxa"/>
            <w:vAlign w:val="center"/>
          </w:tcPr>
          <w:p>
            <w:pPr>
              <w:pStyle w:val="10"/>
            </w:pPr>
            <w:r>
              <w:t>检察</w:t>
            </w:r>
          </w:p>
        </w:tc>
        <w:tc>
          <w:tcPr>
            <w:tcW w:w="1361" w:type="dxa"/>
            <w:vAlign w:val="center"/>
          </w:tcPr>
          <w:p>
            <w:pPr>
              <w:pStyle w:val="11"/>
            </w:pPr>
            <w:r>
              <w:t>291.47</w:t>
            </w:r>
          </w:p>
        </w:tc>
        <w:tc>
          <w:tcPr>
            <w:tcW w:w="1361" w:type="dxa"/>
            <w:vAlign w:val="center"/>
          </w:tcPr>
          <w:p>
            <w:pPr>
              <w:pStyle w:val="11"/>
            </w:pPr>
            <w:r>
              <w:t>82.47</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2040401</w:t>
            </w:r>
          </w:p>
        </w:tc>
        <w:tc>
          <w:tcPr>
            <w:tcW w:w="4535" w:type="dxa"/>
            <w:vAlign w:val="center"/>
          </w:tcPr>
          <w:p>
            <w:pPr>
              <w:pStyle w:val="10"/>
            </w:pPr>
            <w:r>
              <w:t>行政运行</w:t>
            </w:r>
          </w:p>
        </w:tc>
        <w:tc>
          <w:tcPr>
            <w:tcW w:w="1361" w:type="dxa"/>
            <w:vAlign w:val="center"/>
          </w:tcPr>
          <w:p>
            <w:pPr>
              <w:pStyle w:val="11"/>
            </w:pPr>
            <w:r>
              <w:t>82.47</w:t>
            </w:r>
          </w:p>
        </w:tc>
        <w:tc>
          <w:tcPr>
            <w:tcW w:w="1361" w:type="dxa"/>
            <w:vAlign w:val="center"/>
          </w:tcPr>
          <w:p>
            <w:pPr>
              <w:pStyle w:val="11"/>
            </w:pPr>
            <w:r>
              <w:t>82.47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2040402</w:t>
            </w:r>
          </w:p>
        </w:tc>
        <w:tc>
          <w:tcPr>
            <w:tcW w:w="4535" w:type="dxa"/>
            <w:vAlign w:val="center"/>
          </w:tcPr>
          <w:p>
            <w:pPr>
              <w:pStyle w:val="10"/>
            </w:pPr>
            <w:r>
              <w:t>一般行政管理事务</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rPr>
                <w:highlight w:val="none"/>
              </w:rPr>
            </w:pPr>
            <w:r>
              <w:rPr>
                <w:highlight w:val="none"/>
              </w:rPr>
              <w:t>20405</w:t>
            </w:r>
          </w:p>
        </w:tc>
        <w:tc>
          <w:tcPr>
            <w:tcW w:w="4535" w:type="dxa"/>
            <w:vAlign w:val="center"/>
          </w:tcPr>
          <w:p>
            <w:pPr>
              <w:pStyle w:val="10"/>
              <w:rPr>
                <w:highlight w:val="none"/>
              </w:rPr>
            </w:pPr>
            <w:r>
              <w:rPr>
                <w:highlight w:val="none"/>
              </w:rPr>
              <w:t>法院</w:t>
            </w:r>
          </w:p>
        </w:tc>
        <w:tc>
          <w:tcPr>
            <w:tcW w:w="1361" w:type="dxa"/>
            <w:vAlign w:val="center"/>
          </w:tcPr>
          <w:p>
            <w:pPr>
              <w:pStyle w:val="11"/>
              <w:rPr>
                <w:highlight w:val="none"/>
              </w:rPr>
            </w:pPr>
            <w:r>
              <w:rPr>
                <w:highlight w:val="none"/>
              </w:rPr>
              <w:t>750.96</w:t>
            </w:r>
          </w:p>
        </w:tc>
        <w:tc>
          <w:tcPr>
            <w:tcW w:w="1361" w:type="dxa"/>
            <w:vAlign w:val="center"/>
          </w:tcPr>
          <w:p>
            <w:pPr>
              <w:pStyle w:val="11"/>
              <w:rPr>
                <w:highlight w:val="none"/>
              </w:rPr>
            </w:pPr>
            <w:r>
              <w:rPr>
                <w:highlight w:val="none"/>
              </w:rPr>
              <w:t>750.96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rPr>
                <w:highlight w:val="none"/>
              </w:rPr>
            </w:pPr>
            <w:r>
              <w:rPr>
                <w:highlight w:val="none"/>
              </w:rPr>
              <w:t>2040501</w:t>
            </w:r>
          </w:p>
        </w:tc>
        <w:tc>
          <w:tcPr>
            <w:tcW w:w="4535" w:type="dxa"/>
            <w:vAlign w:val="center"/>
          </w:tcPr>
          <w:p>
            <w:pPr>
              <w:pStyle w:val="10"/>
              <w:rPr>
                <w:highlight w:val="none"/>
              </w:rPr>
            </w:pPr>
            <w:r>
              <w:rPr>
                <w:highlight w:val="none"/>
              </w:rPr>
              <w:t>行政运行</w:t>
            </w:r>
          </w:p>
        </w:tc>
        <w:tc>
          <w:tcPr>
            <w:tcW w:w="1361" w:type="dxa"/>
            <w:vAlign w:val="center"/>
          </w:tcPr>
          <w:p>
            <w:pPr>
              <w:pStyle w:val="11"/>
              <w:rPr>
                <w:highlight w:val="none"/>
              </w:rPr>
            </w:pPr>
            <w:r>
              <w:rPr>
                <w:highlight w:val="none"/>
              </w:rPr>
              <w:t>750.96</w:t>
            </w:r>
          </w:p>
        </w:tc>
        <w:tc>
          <w:tcPr>
            <w:tcW w:w="1361" w:type="dxa"/>
            <w:vAlign w:val="center"/>
          </w:tcPr>
          <w:p>
            <w:pPr>
              <w:pStyle w:val="11"/>
              <w:rPr>
                <w:highlight w:val="none"/>
              </w:rPr>
            </w:pPr>
            <w:r>
              <w:rPr>
                <w:highlight w:val="none"/>
              </w:rPr>
              <w:t>750.96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rPr>
                <w:rFonts w:hint="eastAsia" w:eastAsia="方正小标宋_GBK"/>
                <w:lang w:val="en-US" w:eastAsia="zh-CN"/>
              </w:rPr>
            </w:pPr>
            <w:r>
              <w:t>644赵县人民检察</w:t>
            </w:r>
            <w:r>
              <w:rPr>
                <w:rFonts w:hint="eastAsia"/>
                <w:lang w:val="en-US" w:eastAsia="zh-CN"/>
              </w:rPr>
              <w:t>院</w:t>
            </w:r>
          </w:p>
        </w:tc>
        <w:tc>
          <w:tcPr>
            <w:tcW w:w="6160" w:type="dxa"/>
            <w:gridSpan w:val="5"/>
            <w:tcBorders>
              <w:top w:val="single" w:color="FFFFFF" w:sz="6" w:space="0"/>
              <w:left w:val="single" w:color="FFFFFF" w:sz="6" w:space="0"/>
              <w:right w:val="single" w:color="FFFFFF" w:sz="6" w:space="0"/>
            </w:tcBorders>
            <w:vAlign w:val="center"/>
          </w:tcPr>
          <w:p>
            <w:pPr>
              <w:pStyle w:val="6"/>
              <w:jc w:val="left"/>
            </w:pPr>
            <w:r>
              <w:rPr>
                <w:rFonts w:hint="eastAsia"/>
                <w:lang w:eastAsia="zh-CN"/>
              </w:rPr>
              <w:t>预算年度：</w:t>
            </w:r>
            <w:r>
              <w:rPr>
                <w:rFonts w:hint="eastAsia"/>
                <w:lang w:val="en-US" w:eastAsia="zh-CN"/>
              </w:rPr>
              <w:t xml:space="preserve">2023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1042.43</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r>
              <w:t>1042.43</w:t>
            </w:r>
          </w:p>
        </w:tc>
        <w:tc>
          <w:tcPr>
            <w:tcW w:w="1232" w:type="dxa"/>
            <w:vAlign w:val="center"/>
          </w:tcPr>
          <w:p>
            <w:pPr>
              <w:pStyle w:val="11"/>
            </w:pPr>
            <w:r>
              <w:t>1042.43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三十一、往来性支出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2"/>
            </w:pPr>
            <w:r>
              <w:t>本年收入合计</w:t>
            </w:r>
          </w:p>
        </w:tc>
        <w:tc>
          <w:tcPr>
            <w:tcW w:w="1232" w:type="dxa"/>
            <w:vAlign w:val="center"/>
          </w:tcPr>
          <w:p>
            <w:pPr>
              <w:pStyle w:val="13"/>
            </w:pPr>
            <w:r>
              <w:t>1042.43</w:t>
            </w:r>
          </w:p>
        </w:tc>
        <w:tc>
          <w:tcPr>
            <w:tcW w:w="1232" w:type="dxa"/>
            <w:vAlign w:val="center"/>
          </w:tcPr>
          <w:p>
            <w:pPr>
              <w:pStyle w:val="12"/>
            </w:pPr>
            <w:r>
              <w:t>本年支出合计</w:t>
            </w:r>
          </w:p>
        </w:tc>
        <w:tc>
          <w:tcPr>
            <w:tcW w:w="1232" w:type="dxa"/>
            <w:vAlign w:val="center"/>
          </w:tcPr>
          <w:p>
            <w:pPr>
              <w:pStyle w:val="13"/>
            </w:pPr>
            <w:r>
              <w:t>1042.43</w:t>
            </w:r>
          </w:p>
        </w:tc>
        <w:tc>
          <w:tcPr>
            <w:tcW w:w="1232" w:type="dxa"/>
            <w:vAlign w:val="center"/>
          </w:tcPr>
          <w:p>
            <w:pPr>
              <w:pStyle w:val="13"/>
            </w:pPr>
            <w:r>
              <w:t>1042.43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0"/>
            </w:pPr>
            <w:r>
              <w:t>年初财政拨款结转和结余</w:t>
            </w:r>
          </w:p>
        </w:tc>
        <w:tc>
          <w:tcPr>
            <w:tcW w:w="1232" w:type="dxa"/>
            <w:vAlign w:val="center"/>
          </w:tcPr>
          <w:p>
            <w:pPr>
              <w:pStyle w:val="11"/>
            </w:pP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一、一般公共预算拨款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37</w:t>
            </w:r>
          </w:p>
        </w:tc>
        <w:tc>
          <w:tcPr>
            <w:tcW w:w="1232" w:type="dxa"/>
            <w:vAlign w:val="center"/>
          </w:tcPr>
          <w:p>
            <w:pPr>
              <w:pStyle w:val="12"/>
            </w:pPr>
            <w:r>
              <w:t>收入总计</w:t>
            </w:r>
          </w:p>
        </w:tc>
        <w:tc>
          <w:tcPr>
            <w:tcW w:w="1232" w:type="dxa"/>
            <w:vAlign w:val="center"/>
          </w:tcPr>
          <w:p>
            <w:pPr>
              <w:pStyle w:val="13"/>
            </w:pPr>
            <w:r>
              <w:t>1042.43</w:t>
            </w:r>
          </w:p>
        </w:tc>
        <w:tc>
          <w:tcPr>
            <w:tcW w:w="1232" w:type="dxa"/>
            <w:vAlign w:val="center"/>
          </w:tcPr>
          <w:p>
            <w:pPr>
              <w:pStyle w:val="12"/>
            </w:pPr>
            <w:r>
              <w:t>支出总计</w:t>
            </w:r>
          </w:p>
        </w:tc>
        <w:tc>
          <w:tcPr>
            <w:tcW w:w="1232" w:type="dxa"/>
            <w:vAlign w:val="center"/>
          </w:tcPr>
          <w:p>
            <w:pPr>
              <w:pStyle w:val="13"/>
            </w:pPr>
            <w:r>
              <w:t>1042.43</w:t>
            </w:r>
          </w:p>
        </w:tc>
        <w:tc>
          <w:tcPr>
            <w:tcW w:w="1232" w:type="dxa"/>
            <w:vAlign w:val="center"/>
          </w:tcPr>
          <w:p>
            <w:pPr>
              <w:pStyle w:val="13"/>
            </w:pPr>
            <w:r>
              <w:t>1042.43</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1042.43</w:t>
            </w:r>
          </w:p>
        </w:tc>
        <w:tc>
          <w:tcPr>
            <w:tcW w:w="1643" w:type="dxa"/>
            <w:vAlign w:val="center"/>
          </w:tcPr>
          <w:p>
            <w:pPr>
              <w:pStyle w:val="13"/>
            </w:pPr>
            <w:r>
              <w:t>833.43</w:t>
            </w:r>
          </w:p>
        </w:tc>
        <w:tc>
          <w:tcPr>
            <w:tcW w:w="1643" w:type="dxa"/>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204</w:t>
            </w:r>
          </w:p>
        </w:tc>
        <w:tc>
          <w:tcPr>
            <w:tcW w:w="1643" w:type="dxa"/>
            <w:vAlign w:val="center"/>
          </w:tcPr>
          <w:p>
            <w:pPr>
              <w:pStyle w:val="10"/>
            </w:pPr>
            <w:r>
              <w:t>公共安全支出</w:t>
            </w:r>
          </w:p>
        </w:tc>
        <w:tc>
          <w:tcPr>
            <w:tcW w:w="1643" w:type="dxa"/>
            <w:vAlign w:val="center"/>
          </w:tcPr>
          <w:p>
            <w:pPr>
              <w:pStyle w:val="11"/>
            </w:pPr>
            <w:r>
              <w:t>1042.43</w:t>
            </w:r>
          </w:p>
        </w:tc>
        <w:tc>
          <w:tcPr>
            <w:tcW w:w="1643" w:type="dxa"/>
            <w:vAlign w:val="center"/>
          </w:tcPr>
          <w:p>
            <w:pPr>
              <w:pStyle w:val="11"/>
            </w:pPr>
            <w:r>
              <w:t>833.43</w:t>
            </w: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20404</w:t>
            </w:r>
          </w:p>
        </w:tc>
        <w:tc>
          <w:tcPr>
            <w:tcW w:w="1643" w:type="dxa"/>
            <w:vAlign w:val="center"/>
          </w:tcPr>
          <w:p>
            <w:pPr>
              <w:pStyle w:val="10"/>
            </w:pPr>
            <w:r>
              <w:t>检察</w:t>
            </w:r>
          </w:p>
        </w:tc>
        <w:tc>
          <w:tcPr>
            <w:tcW w:w="1643" w:type="dxa"/>
            <w:vAlign w:val="center"/>
          </w:tcPr>
          <w:p>
            <w:pPr>
              <w:pStyle w:val="11"/>
            </w:pPr>
            <w:r>
              <w:t>291.47</w:t>
            </w:r>
          </w:p>
        </w:tc>
        <w:tc>
          <w:tcPr>
            <w:tcW w:w="1643" w:type="dxa"/>
            <w:vAlign w:val="center"/>
          </w:tcPr>
          <w:p>
            <w:pPr>
              <w:pStyle w:val="11"/>
            </w:pPr>
            <w:r>
              <w:t>82.47</w:t>
            </w: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2040401</w:t>
            </w:r>
          </w:p>
        </w:tc>
        <w:tc>
          <w:tcPr>
            <w:tcW w:w="1643" w:type="dxa"/>
            <w:vAlign w:val="center"/>
          </w:tcPr>
          <w:p>
            <w:pPr>
              <w:pStyle w:val="10"/>
            </w:pPr>
            <w:r>
              <w:t>行政运行</w:t>
            </w:r>
          </w:p>
        </w:tc>
        <w:tc>
          <w:tcPr>
            <w:tcW w:w="1643" w:type="dxa"/>
            <w:vAlign w:val="center"/>
          </w:tcPr>
          <w:p>
            <w:pPr>
              <w:pStyle w:val="11"/>
            </w:pPr>
            <w:r>
              <w:t>82.47</w:t>
            </w:r>
          </w:p>
        </w:tc>
        <w:tc>
          <w:tcPr>
            <w:tcW w:w="1643" w:type="dxa"/>
            <w:vAlign w:val="center"/>
          </w:tcPr>
          <w:p>
            <w:pPr>
              <w:pStyle w:val="11"/>
            </w:pPr>
            <w:r>
              <w:t>82.47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2040402</w:t>
            </w:r>
          </w:p>
        </w:tc>
        <w:tc>
          <w:tcPr>
            <w:tcW w:w="1643" w:type="dxa"/>
            <w:vAlign w:val="center"/>
          </w:tcPr>
          <w:p>
            <w:pPr>
              <w:pStyle w:val="10"/>
            </w:pPr>
            <w:r>
              <w:t>一般行政管理事务</w:t>
            </w:r>
          </w:p>
        </w:tc>
        <w:tc>
          <w:tcPr>
            <w:tcW w:w="1643" w:type="dxa"/>
            <w:vAlign w:val="center"/>
          </w:tcPr>
          <w:p>
            <w:pPr>
              <w:pStyle w:val="11"/>
            </w:pPr>
            <w:r>
              <w:t>209.00</w:t>
            </w:r>
          </w:p>
        </w:tc>
        <w:tc>
          <w:tcPr>
            <w:tcW w:w="1643" w:type="dxa"/>
            <w:vAlign w:val="center"/>
          </w:tcPr>
          <w:p>
            <w:pPr>
              <w:pStyle w:val="11"/>
            </w:pP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rPr>
                <w:highlight w:val="none"/>
              </w:rPr>
            </w:pPr>
            <w:r>
              <w:rPr>
                <w:highlight w:val="none"/>
              </w:rPr>
              <w:t>20405</w:t>
            </w:r>
          </w:p>
        </w:tc>
        <w:tc>
          <w:tcPr>
            <w:tcW w:w="1643" w:type="dxa"/>
            <w:vAlign w:val="center"/>
          </w:tcPr>
          <w:p>
            <w:pPr>
              <w:pStyle w:val="10"/>
              <w:rPr>
                <w:highlight w:val="none"/>
              </w:rPr>
            </w:pPr>
            <w:r>
              <w:rPr>
                <w:highlight w:val="none"/>
              </w:rPr>
              <w:t>法院</w:t>
            </w:r>
          </w:p>
        </w:tc>
        <w:tc>
          <w:tcPr>
            <w:tcW w:w="1643" w:type="dxa"/>
            <w:vAlign w:val="center"/>
          </w:tcPr>
          <w:p>
            <w:pPr>
              <w:pStyle w:val="11"/>
              <w:rPr>
                <w:highlight w:val="none"/>
              </w:rPr>
            </w:pPr>
            <w:r>
              <w:rPr>
                <w:highlight w:val="none"/>
              </w:rPr>
              <w:t>750.96</w:t>
            </w:r>
          </w:p>
        </w:tc>
        <w:tc>
          <w:tcPr>
            <w:tcW w:w="1643" w:type="dxa"/>
            <w:vAlign w:val="center"/>
          </w:tcPr>
          <w:p>
            <w:pPr>
              <w:pStyle w:val="11"/>
              <w:rPr>
                <w:highlight w:val="none"/>
              </w:rPr>
            </w:pPr>
            <w:r>
              <w:rPr>
                <w:highlight w:val="none"/>
              </w:rP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rPr>
                <w:highlight w:val="none"/>
              </w:rPr>
            </w:pPr>
            <w:r>
              <w:rPr>
                <w:highlight w:val="none"/>
              </w:rPr>
              <w:t>2040501</w:t>
            </w:r>
          </w:p>
        </w:tc>
        <w:tc>
          <w:tcPr>
            <w:tcW w:w="1643" w:type="dxa"/>
            <w:vAlign w:val="center"/>
          </w:tcPr>
          <w:p>
            <w:pPr>
              <w:pStyle w:val="10"/>
              <w:rPr>
                <w:highlight w:val="none"/>
              </w:rPr>
            </w:pPr>
            <w:r>
              <w:rPr>
                <w:highlight w:val="none"/>
              </w:rPr>
              <w:t>行政运行</w:t>
            </w:r>
          </w:p>
        </w:tc>
        <w:tc>
          <w:tcPr>
            <w:tcW w:w="1643" w:type="dxa"/>
            <w:vAlign w:val="center"/>
          </w:tcPr>
          <w:p>
            <w:pPr>
              <w:pStyle w:val="11"/>
              <w:rPr>
                <w:highlight w:val="none"/>
              </w:rPr>
            </w:pPr>
            <w:r>
              <w:rPr>
                <w:highlight w:val="none"/>
              </w:rPr>
              <w:t>750.96</w:t>
            </w:r>
          </w:p>
        </w:tc>
        <w:tc>
          <w:tcPr>
            <w:tcW w:w="1643" w:type="dxa"/>
            <w:vAlign w:val="center"/>
          </w:tcPr>
          <w:p>
            <w:pPr>
              <w:pStyle w:val="11"/>
              <w:rPr>
                <w:highlight w:val="none"/>
              </w:rPr>
            </w:pPr>
            <w:r>
              <w:rPr>
                <w:highlight w:val="none"/>
              </w:rPr>
              <w:t>750.96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833.43</w:t>
            </w:r>
          </w:p>
        </w:tc>
        <w:tc>
          <w:tcPr>
            <w:tcW w:w="1643" w:type="dxa"/>
            <w:vAlign w:val="center"/>
          </w:tcPr>
          <w:p>
            <w:pPr>
              <w:pStyle w:val="13"/>
            </w:pPr>
            <w:r>
              <w:t>750.96</w:t>
            </w:r>
          </w:p>
        </w:tc>
        <w:tc>
          <w:tcPr>
            <w:tcW w:w="1643" w:type="dxa"/>
            <w:vAlign w:val="center"/>
          </w:tcPr>
          <w:p>
            <w:pPr>
              <w:pStyle w:val="13"/>
            </w:pPr>
            <w:r>
              <w:t>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82.47</w:t>
            </w:r>
          </w:p>
        </w:tc>
        <w:tc>
          <w:tcPr>
            <w:tcW w:w="1643" w:type="dxa"/>
            <w:vAlign w:val="center"/>
          </w:tcPr>
          <w:p>
            <w:pPr>
              <w:pStyle w:val="11"/>
            </w:pPr>
          </w:p>
        </w:tc>
        <w:tc>
          <w:tcPr>
            <w:tcW w:w="1643" w:type="dxa"/>
            <w:vAlign w:val="center"/>
          </w:tcPr>
          <w:p>
            <w:pPr>
              <w:pStyle w:val="11"/>
            </w:pPr>
            <w:r>
              <w:t>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78.97</w:t>
            </w:r>
          </w:p>
        </w:tc>
        <w:tc>
          <w:tcPr>
            <w:tcW w:w="1643" w:type="dxa"/>
            <w:vAlign w:val="center"/>
          </w:tcPr>
          <w:p>
            <w:pPr>
              <w:pStyle w:val="11"/>
            </w:pPr>
          </w:p>
        </w:tc>
        <w:tc>
          <w:tcPr>
            <w:tcW w:w="1643" w:type="dxa"/>
            <w:vAlign w:val="center"/>
          </w:tcPr>
          <w:p>
            <w:pPr>
              <w:pStyle w:val="11"/>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30216</w:t>
            </w:r>
          </w:p>
        </w:tc>
        <w:tc>
          <w:tcPr>
            <w:tcW w:w="1643" w:type="dxa"/>
            <w:vAlign w:val="center"/>
          </w:tcPr>
          <w:p>
            <w:pPr>
              <w:pStyle w:val="10"/>
            </w:pPr>
            <w:r>
              <w:t>培训费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30217</w:t>
            </w:r>
          </w:p>
        </w:tc>
        <w:tc>
          <w:tcPr>
            <w:tcW w:w="1643" w:type="dxa"/>
            <w:vAlign w:val="center"/>
          </w:tcPr>
          <w:p>
            <w:pPr>
              <w:pStyle w:val="10"/>
            </w:pPr>
            <w:r>
              <w:t>公务接待费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644赵县人民检察院</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p>
            <w:pPr>
              <w:pStyle w:val="12"/>
            </w:pPr>
          </w:p>
        </w:tc>
        <w:tc>
          <w:tcPr>
            <w:tcW w:w="1643" w:type="dxa"/>
            <w:vAlign w:val="center"/>
          </w:tcPr>
          <w:p>
            <w:pPr>
              <w:pStyle w:val="13"/>
            </w:pPr>
            <w:r>
              <w:rPr>
                <w:rFonts w:hint="eastAsia"/>
                <w:lang w:val="en-US" w:eastAsia="zh-CN"/>
              </w:rPr>
              <w:t>1.0</w:t>
            </w:r>
            <w:r>
              <w:t>0</w:t>
            </w:r>
          </w:p>
        </w:tc>
        <w:tc>
          <w:tcPr>
            <w:tcW w:w="1643" w:type="dxa"/>
            <w:vAlign w:val="center"/>
          </w:tcPr>
          <w:p>
            <w:pPr>
              <w:pStyle w:val="13"/>
            </w:pPr>
            <w:r>
              <w:rPr>
                <w:rFonts w:hint="eastAsia"/>
                <w:lang w:val="en-US" w:eastAsia="zh-CN"/>
              </w:rPr>
              <w:t>1.0</w:t>
            </w:r>
            <w:r>
              <w:t>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p>
            <w:pPr>
              <w:pStyle w:val="10"/>
            </w:pP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   </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p>
            <w:pPr>
              <w:pStyle w:val="10"/>
            </w:pP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赵县人民检察院2023年部门预算信息公开情况说明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赵县人民检察院2023年部门预算信息公开情况说明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》、《地方预决算公开操作规程》和《关于进一步推进预算公开工作的实施意见》规定，现将赵县人民检察院2023年部门预算公开如下：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（一）深入贯彻习近平新时代中国特色社会主义思想，深入贯彻党的路线方针和决策部署，坚持党对检察工作的绝对领导，坚决维护习近平总书记的核心地位，坚决维护党中央权威和集中统一领导。</w:t>
      </w:r>
    </w:p>
    <w:p>
      <w:pPr>
        <w:pStyle w:val="15"/>
      </w:pPr>
      <w:r>
        <w:t>（二）依法向县人民代表大会及其常务委员会提出议案。</w:t>
      </w:r>
    </w:p>
    <w:p>
      <w:pPr>
        <w:pStyle w:val="15"/>
      </w:pPr>
      <w:r>
        <w:t>（三）贯彻落实检察工作方针、总体规划，研究制定检察工作计划并组织实施。</w:t>
      </w:r>
    </w:p>
    <w:p>
      <w:pPr>
        <w:pStyle w:val="15"/>
      </w:pPr>
      <w:r>
        <w:t>（四）依照法律规定对直接受理的刑事案件行使侦查权。</w:t>
      </w:r>
    </w:p>
    <w:p>
      <w:pPr>
        <w:pStyle w:val="15"/>
      </w:pPr>
      <w:r>
        <w:t>（五）负责对管辖的各类刑事案件依法审查批准逮捕、决定逮捕、提起公诉。</w:t>
      </w:r>
    </w:p>
    <w:p>
      <w:pPr>
        <w:pStyle w:val="15"/>
      </w:pPr>
      <w:r>
        <w:t>（六）负责应由本院承办的刑事、民事、行政诉讼活动及刑事、民事、行政判决和裁定等生效法律文书执行的法律监督工作。</w:t>
      </w:r>
    </w:p>
    <w:p>
      <w:pPr>
        <w:pStyle w:val="15"/>
      </w:pPr>
      <w:r>
        <w:t>（七）负责应由本院承办的提起公益诉讼工作。</w:t>
      </w:r>
    </w:p>
    <w:p>
      <w:pPr>
        <w:pStyle w:val="15"/>
      </w:pPr>
      <w:r>
        <w:t>（八）依法受理核准追诉案件，审查是否上报。</w:t>
      </w:r>
    </w:p>
    <w:p>
      <w:pPr>
        <w:pStyle w:val="15"/>
      </w:pPr>
      <w:r>
        <w:t>（九）负责应由本院承办的对看守所、社区矫正等执法活动的法律监督工作。</w:t>
      </w:r>
    </w:p>
    <w:p>
      <w:pPr>
        <w:pStyle w:val="15"/>
      </w:pPr>
      <w:r>
        <w:t>（十）受理向本院的控告申诉。</w:t>
      </w:r>
    </w:p>
    <w:p>
      <w:pPr>
        <w:pStyle w:val="15"/>
      </w:pPr>
      <w:r>
        <w:t>（十一）组织检察工作中法律政策具体应用问题的研究；组织开展检察理论研究工作。</w:t>
      </w:r>
    </w:p>
    <w:p>
      <w:pPr>
        <w:pStyle w:val="15"/>
      </w:pPr>
      <w:r>
        <w:t>（十二）负责检察人员思想政治教育和业务培训工作；按照权限管理检察官和其他工作人员。</w:t>
      </w:r>
    </w:p>
    <w:p>
      <w:pPr>
        <w:pStyle w:val="15"/>
      </w:pPr>
      <w:r>
        <w:t>（十三）负责本院检务督察工作。</w:t>
      </w:r>
    </w:p>
    <w:p>
      <w:pPr>
        <w:pStyle w:val="15"/>
      </w:pPr>
      <w:r>
        <w:t>（十四）负责本院检务保障以及检察技术、信息化建设工作。</w:t>
      </w:r>
    </w:p>
    <w:p>
      <w:pPr>
        <w:pStyle w:val="15"/>
      </w:pPr>
      <w:r>
        <w:t>（十五）完成其他应当由本院负责的工作。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赵县人民检察院本级</w:t>
            </w:r>
          </w:p>
        </w:tc>
        <w:tc>
          <w:tcPr>
            <w:tcW w:w="1843" w:type="dxa"/>
            <w:vAlign w:val="center"/>
          </w:tcPr>
          <w:p>
            <w:pPr>
              <w:pStyle w:val="9"/>
            </w:pPr>
            <w:r>
              <w:t>行政</w:t>
            </w:r>
          </w:p>
        </w:tc>
        <w:tc>
          <w:tcPr>
            <w:tcW w:w="2126" w:type="dxa"/>
            <w:vAlign w:val="center"/>
          </w:tcPr>
          <w:p>
            <w:pPr>
              <w:pStyle w:val="9"/>
            </w:pPr>
            <w:r>
              <w:t>副处（县）级</w:t>
            </w:r>
          </w:p>
        </w:tc>
        <w:tc>
          <w:tcPr>
            <w:tcW w:w="3827" w:type="dxa"/>
            <w:vAlign w:val="center"/>
          </w:tcPr>
          <w:p>
            <w:pPr>
              <w:pStyle w:val="9"/>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w:t>
      </w:r>
      <w:r>
        <w:rPr>
          <w:rFonts w:hint="eastAsia" w:eastAsia="方正仿宋_GBK" w:cs="Times New Roman"/>
          <w:color w:val="000000"/>
          <w:sz w:val="28"/>
          <w:lang w:eastAsia="zh-CN"/>
        </w:rPr>
        <w:t>我市</w:t>
      </w:r>
      <w:r>
        <w:rPr>
          <w:rFonts w:ascii="Times New Roman" w:hAnsi="Times New Roman" w:eastAsia="方正仿宋_GBK" w:cs="Times New Roman"/>
          <w:color w:val="000000"/>
          <w:sz w:val="28"/>
        </w:rPr>
        <w:t>部门预算的编制实行综合预算管理，即全部收入和支出都反映在预算中。赵县人民检察院机关及所属事业单位的收支包含在部门预算中。</w:t>
      </w:r>
    </w:p>
    <w:p>
      <w:pPr>
        <w:spacing w:line="500" w:lineRule="exact"/>
        <w:ind w:firstLine="560" w:firstLineChars="200"/>
        <w:jc w:val="left"/>
        <w:rPr>
          <w:rFonts w:eastAsia="方正仿宋_GBK"/>
          <w:color w:val="000000"/>
          <w:sz w:val="28"/>
        </w:rPr>
      </w:pPr>
      <w:r>
        <w:rPr>
          <w:rFonts w:ascii="Times New Roman" w:hAnsi="Times New Roman" w:eastAsia="方正仿宋_GBK" w:cs="Times New Roman"/>
          <w:color w:val="000000"/>
          <w:sz w:val="28"/>
          <w:szCs w:val="24"/>
          <w:lang w:val="en-US" w:eastAsia="uk-UA" w:bidi="ar-SA"/>
        </w:rPr>
        <w:t>1、收入说明</w:t>
      </w:r>
    </w:p>
    <w:p>
      <w:pPr>
        <w:pStyle w:val="16"/>
        <w:rPr>
          <w:color w:val="000000"/>
        </w:rPr>
      </w:pPr>
      <w:r>
        <w:rPr>
          <w:color w:val="000000"/>
        </w:rPr>
        <w:t>202</w:t>
      </w:r>
      <w:r>
        <w:rPr>
          <w:rFonts w:hint="eastAsia"/>
          <w:color w:val="000000"/>
          <w:lang w:val="en-US" w:eastAsia="zh-CN"/>
        </w:rPr>
        <w:t>3</w:t>
      </w:r>
      <w:r>
        <w:rPr>
          <w:color w:val="000000"/>
        </w:rPr>
        <w:t>年预算收入</w:t>
      </w:r>
      <w:r>
        <w:rPr>
          <w:rFonts w:hint="eastAsia"/>
          <w:color w:val="000000"/>
          <w:lang w:val="en-US" w:eastAsia="zh-CN"/>
        </w:rPr>
        <w:t>1042.43</w:t>
      </w:r>
      <w:r>
        <w:rPr>
          <w:color w:val="000000"/>
        </w:rPr>
        <w:t>万元，其中：一般公共预算收入</w:t>
      </w:r>
      <w:r>
        <w:rPr>
          <w:rFonts w:hint="eastAsia"/>
          <w:color w:val="000000"/>
          <w:lang w:val="en-US" w:eastAsia="zh-CN"/>
        </w:rPr>
        <w:t>1042.43</w:t>
      </w:r>
      <w:r>
        <w:rPr>
          <w:color w:val="000000"/>
        </w:rPr>
        <w:t>万元，基金预算收入0万元，财政专户核拨收入0万元，其他来源收入0万元</w:t>
      </w:r>
      <w:r>
        <w:rPr>
          <w:rFonts w:hint="eastAsia"/>
          <w:color w:val="000000"/>
          <w:lang w:eastAsia="zh-CN"/>
        </w:rPr>
        <w:t>，上年结转结余</w:t>
      </w:r>
      <w:r>
        <w:rPr>
          <w:rFonts w:hint="eastAsia"/>
          <w:color w:val="000000"/>
          <w:lang w:val="en-US" w:eastAsia="zh-CN"/>
        </w:rPr>
        <w:t>0万元。</w:t>
      </w:r>
    </w:p>
    <w:p>
      <w:pPr>
        <w:spacing w:line="500" w:lineRule="exact"/>
        <w:ind w:firstLine="560" w:firstLineChars="200"/>
        <w:jc w:val="left"/>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2、支出说明</w:t>
      </w:r>
    </w:p>
    <w:p>
      <w:pPr>
        <w:spacing w:line="500" w:lineRule="exact"/>
        <w:ind w:firstLine="560" w:firstLineChars="200"/>
        <w:jc w:val="left"/>
        <w:rPr>
          <w:rFonts w:hint="default"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w:t>
      </w:r>
      <w:r>
        <w:rPr>
          <w:rFonts w:hint="eastAsia" w:ascii="Times New Roman" w:hAnsi="Times New Roman" w:eastAsia="方正仿宋_GBK" w:cs="Times New Roman"/>
          <w:color w:val="000000"/>
          <w:sz w:val="28"/>
          <w:szCs w:val="24"/>
          <w:lang w:val="en-US" w:eastAsia="zh-CN" w:bidi="ar-SA"/>
        </w:rPr>
        <w:t>赵县人民检察院</w:t>
      </w:r>
      <w:r>
        <w:rPr>
          <w:rFonts w:ascii="Times New Roman" w:hAnsi="Times New Roman" w:eastAsia="方正仿宋_GBK" w:cs="Times New Roman"/>
          <w:color w:val="000000"/>
          <w:sz w:val="28"/>
          <w:szCs w:val="24"/>
          <w:lang w:val="en-US" w:eastAsia="uk-UA" w:bidi="ar-SA"/>
        </w:rPr>
        <w:t>年度部门预算中支出预算的总体情况。202</w:t>
      </w:r>
      <w:r>
        <w:rPr>
          <w:rFonts w:hint="eastAsia" w:ascii="Times New Roman" w:hAnsi="Times New Roman"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年支出预算</w:t>
      </w:r>
      <w:r>
        <w:rPr>
          <w:rFonts w:hint="eastAsia" w:ascii="Times New Roman" w:hAnsi="Times New Roman" w:eastAsia="方正仿宋_GBK" w:cs="Times New Roman"/>
          <w:color w:val="000000"/>
          <w:sz w:val="28"/>
          <w:szCs w:val="24"/>
          <w:lang w:val="en-US" w:eastAsia="zh-CN" w:bidi="ar-SA"/>
        </w:rPr>
        <w:t>1042.43</w:t>
      </w:r>
      <w:r>
        <w:rPr>
          <w:rFonts w:ascii="Times New Roman" w:hAnsi="Times New Roman" w:eastAsia="方正仿宋_GBK" w:cs="Times New Roman"/>
          <w:color w:val="000000"/>
          <w:sz w:val="28"/>
          <w:szCs w:val="24"/>
          <w:lang w:val="en-US" w:eastAsia="uk-UA" w:bidi="ar-SA"/>
        </w:rPr>
        <w:t>万元，其中基本支出</w:t>
      </w:r>
      <w:r>
        <w:rPr>
          <w:rFonts w:hint="eastAsia" w:ascii="Times New Roman" w:hAnsi="Times New Roman" w:eastAsia="方正仿宋_GBK" w:cs="Times New Roman"/>
          <w:color w:val="000000"/>
          <w:sz w:val="28"/>
          <w:szCs w:val="24"/>
          <w:lang w:val="en-US" w:eastAsia="zh-CN" w:bidi="ar-SA"/>
        </w:rPr>
        <w:t>833.43</w:t>
      </w:r>
      <w:r>
        <w:rPr>
          <w:rFonts w:ascii="Times New Roman" w:hAnsi="Times New Roman" w:eastAsia="方正仿宋_GBK" w:cs="Times New Roman"/>
          <w:color w:val="000000"/>
          <w:sz w:val="28"/>
          <w:szCs w:val="24"/>
          <w:lang w:val="en-US" w:eastAsia="uk-UA" w:bidi="ar-SA"/>
        </w:rPr>
        <w:t>万元，包括人员经费</w:t>
      </w:r>
      <w:r>
        <w:rPr>
          <w:rFonts w:hint="eastAsia" w:ascii="Times New Roman" w:hAnsi="Times New Roman" w:eastAsia="方正仿宋_GBK" w:cs="Times New Roman"/>
          <w:color w:val="000000"/>
          <w:sz w:val="28"/>
          <w:szCs w:val="24"/>
          <w:lang w:val="en-US" w:eastAsia="zh-CN" w:bidi="ar-SA"/>
        </w:rPr>
        <w:t>750.96</w:t>
      </w:r>
      <w:r>
        <w:rPr>
          <w:rFonts w:ascii="Times New Roman" w:hAnsi="Times New Roman" w:eastAsia="方正仿宋_GBK" w:cs="Times New Roman"/>
          <w:color w:val="000000"/>
          <w:sz w:val="28"/>
          <w:szCs w:val="24"/>
          <w:lang w:val="en-US" w:eastAsia="uk-UA" w:bidi="ar-SA"/>
        </w:rPr>
        <w:t>万元和日常公用经费</w:t>
      </w:r>
      <w:r>
        <w:rPr>
          <w:rFonts w:hint="eastAsia" w:ascii="Times New Roman" w:hAnsi="Times New Roman" w:eastAsia="方正仿宋_GBK" w:cs="Times New Roman"/>
          <w:color w:val="000000"/>
          <w:sz w:val="28"/>
          <w:szCs w:val="24"/>
          <w:lang w:val="en-US" w:eastAsia="zh-CN" w:bidi="ar-SA"/>
        </w:rPr>
        <w:t>82.47</w:t>
      </w:r>
      <w:r>
        <w:rPr>
          <w:rFonts w:ascii="Times New Roman" w:hAnsi="Times New Roman" w:eastAsia="方正仿宋_GBK" w:cs="Times New Roman"/>
          <w:color w:val="000000"/>
          <w:sz w:val="28"/>
          <w:szCs w:val="24"/>
          <w:lang w:val="en-US" w:eastAsia="uk-UA" w:bidi="ar-SA"/>
        </w:rPr>
        <w:t>万元；项目支出</w:t>
      </w:r>
      <w:r>
        <w:rPr>
          <w:rFonts w:hint="eastAsia" w:ascii="Times New Roman" w:hAnsi="Times New Roman" w:eastAsia="方正仿宋_GBK" w:cs="Times New Roman"/>
          <w:color w:val="000000"/>
          <w:sz w:val="28"/>
          <w:szCs w:val="24"/>
          <w:lang w:val="en-US" w:eastAsia="zh-CN" w:bidi="ar-SA"/>
        </w:rPr>
        <w:t>209</w:t>
      </w:r>
      <w:r>
        <w:rPr>
          <w:rFonts w:ascii="Times New Roman" w:hAnsi="Times New Roman" w:eastAsia="方正仿宋_GBK" w:cs="Times New Roman"/>
          <w:color w:val="000000"/>
          <w:sz w:val="28"/>
          <w:szCs w:val="24"/>
          <w:lang w:val="en-US" w:eastAsia="uk-UA" w:bidi="ar-SA"/>
        </w:rPr>
        <w:t>万元，主要为</w:t>
      </w:r>
      <w:r>
        <w:rPr>
          <w:rFonts w:hint="eastAsia" w:ascii="Times New Roman" w:hAnsi="Times New Roman" w:eastAsia="方正仿宋_GBK" w:cs="Times New Roman"/>
          <w:color w:val="000000"/>
          <w:sz w:val="28"/>
          <w:szCs w:val="24"/>
          <w:lang w:val="en-US" w:eastAsia="zh-CN" w:bidi="ar-SA"/>
        </w:rPr>
        <w:t>专项项目；其他支出0万元。</w:t>
      </w:r>
    </w:p>
    <w:p>
      <w:pPr>
        <w:spacing w:line="500" w:lineRule="exact"/>
        <w:ind w:firstLine="560" w:firstLineChars="200"/>
        <w:jc w:val="left"/>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3、比上年增减情况</w:t>
      </w:r>
    </w:p>
    <w:p>
      <w:pPr>
        <w:spacing w:line="500" w:lineRule="exact"/>
        <w:ind w:firstLine="560" w:firstLineChars="200"/>
        <w:jc w:val="left"/>
        <w:rPr>
          <w:color w:val="000000"/>
          <w:highlight w:val="none"/>
        </w:rPr>
      </w:pPr>
      <w:r>
        <w:rPr>
          <w:rFonts w:ascii="Times New Roman" w:hAnsi="Times New Roman" w:eastAsia="方正仿宋_GBK" w:cs="Times New Roman"/>
          <w:color w:val="000000"/>
          <w:sz w:val="28"/>
          <w:szCs w:val="24"/>
          <w:highlight w:val="none"/>
          <w:lang w:val="en-US" w:eastAsia="uk-UA" w:bidi="ar-SA"/>
        </w:rPr>
        <w:t>202</w:t>
      </w:r>
      <w:r>
        <w:rPr>
          <w:rFonts w:hint="eastAsia" w:ascii="Times New Roman" w:hAnsi="Times New Roman" w:eastAsia="方正仿宋_GBK" w:cs="Times New Roman"/>
          <w:color w:val="000000"/>
          <w:sz w:val="28"/>
          <w:szCs w:val="24"/>
          <w:highlight w:val="none"/>
          <w:lang w:val="en-US" w:eastAsia="zh-CN" w:bidi="ar-SA"/>
        </w:rPr>
        <w:t>3</w:t>
      </w:r>
      <w:r>
        <w:rPr>
          <w:rFonts w:ascii="Times New Roman" w:hAnsi="Times New Roman" w:eastAsia="方正仿宋_GBK" w:cs="Times New Roman"/>
          <w:color w:val="000000"/>
          <w:sz w:val="28"/>
          <w:szCs w:val="24"/>
          <w:highlight w:val="none"/>
          <w:lang w:val="en-US" w:eastAsia="uk-UA" w:bidi="ar-SA"/>
        </w:rPr>
        <w:t>年预算收支安排</w:t>
      </w:r>
      <w:r>
        <w:rPr>
          <w:rFonts w:hint="eastAsia" w:ascii="Times New Roman" w:hAnsi="Times New Roman" w:eastAsia="方正仿宋_GBK" w:cs="Times New Roman"/>
          <w:color w:val="000000"/>
          <w:sz w:val="28"/>
          <w:szCs w:val="24"/>
          <w:highlight w:val="none"/>
          <w:lang w:val="en-US" w:eastAsia="zh-CN" w:bidi="ar-SA"/>
        </w:rPr>
        <w:t>1042.43</w:t>
      </w:r>
      <w:r>
        <w:rPr>
          <w:rFonts w:ascii="Times New Roman" w:hAnsi="Times New Roman" w:eastAsia="方正仿宋_GBK" w:cs="Times New Roman"/>
          <w:color w:val="000000"/>
          <w:sz w:val="28"/>
          <w:szCs w:val="24"/>
          <w:highlight w:val="none"/>
          <w:lang w:val="en-US" w:eastAsia="uk-UA" w:bidi="ar-SA"/>
        </w:rPr>
        <w:t>万元，较20</w:t>
      </w:r>
      <w:r>
        <w:rPr>
          <w:rFonts w:hint="eastAsia" w:ascii="Times New Roman" w:hAnsi="Times New Roman" w:eastAsia="方正仿宋_GBK" w:cs="Times New Roman"/>
          <w:color w:val="000000"/>
          <w:sz w:val="28"/>
          <w:szCs w:val="24"/>
          <w:highlight w:val="none"/>
          <w:lang w:val="en-US" w:eastAsia="zh-CN" w:bidi="ar-SA"/>
        </w:rPr>
        <w:t>22</w:t>
      </w:r>
      <w:r>
        <w:rPr>
          <w:rFonts w:ascii="Times New Roman" w:hAnsi="Times New Roman" w:eastAsia="方正仿宋_GBK" w:cs="Times New Roman"/>
          <w:color w:val="000000"/>
          <w:sz w:val="28"/>
          <w:szCs w:val="24"/>
          <w:highlight w:val="none"/>
          <w:lang w:val="en-US" w:eastAsia="uk-UA" w:bidi="ar-SA"/>
        </w:rPr>
        <w:t>年预算</w:t>
      </w:r>
      <w:r>
        <w:rPr>
          <w:rFonts w:hint="eastAsia" w:ascii="Times New Roman" w:hAnsi="Times New Roman" w:eastAsia="方正仿宋_GBK" w:cs="Times New Roman"/>
          <w:color w:val="000000"/>
          <w:sz w:val="28"/>
          <w:szCs w:val="24"/>
          <w:highlight w:val="none"/>
          <w:lang w:val="en-US" w:eastAsia="zh-CN" w:bidi="ar-SA"/>
        </w:rPr>
        <w:t>减少209.82</w:t>
      </w:r>
      <w:r>
        <w:rPr>
          <w:rFonts w:ascii="Times New Roman" w:hAnsi="Times New Roman" w:eastAsia="方正仿宋_GBK" w:cs="Times New Roman"/>
          <w:color w:val="000000"/>
          <w:sz w:val="28"/>
          <w:szCs w:val="24"/>
          <w:highlight w:val="none"/>
          <w:lang w:val="en-US" w:eastAsia="uk-UA" w:bidi="ar-SA"/>
        </w:rPr>
        <w:t>万元，其中：基本支出</w:t>
      </w:r>
      <w:r>
        <w:rPr>
          <w:rFonts w:hint="eastAsia" w:ascii="Times New Roman" w:hAnsi="Times New Roman" w:eastAsia="方正仿宋_GBK" w:cs="Times New Roman"/>
          <w:color w:val="000000"/>
          <w:sz w:val="28"/>
          <w:szCs w:val="24"/>
          <w:highlight w:val="none"/>
          <w:lang w:val="en-US" w:eastAsia="zh-CN" w:bidi="ar-SA"/>
        </w:rPr>
        <w:t>减少31.47</w:t>
      </w:r>
      <w:r>
        <w:rPr>
          <w:rFonts w:ascii="Times New Roman" w:hAnsi="Times New Roman" w:eastAsia="方正仿宋_GBK" w:cs="Times New Roman"/>
          <w:color w:val="000000"/>
          <w:sz w:val="28"/>
          <w:szCs w:val="24"/>
          <w:highlight w:val="none"/>
          <w:lang w:val="en-US" w:eastAsia="uk-UA" w:bidi="ar-SA"/>
        </w:rPr>
        <w:t>万元，主要为</w:t>
      </w:r>
      <w:r>
        <w:rPr>
          <w:rFonts w:hint="eastAsia" w:ascii="Times New Roman" w:hAnsi="Times New Roman" w:eastAsia="方正仿宋_GBK" w:cs="Times New Roman"/>
          <w:color w:val="000000"/>
          <w:sz w:val="28"/>
          <w:szCs w:val="24"/>
          <w:highlight w:val="none"/>
          <w:lang w:val="en-US" w:eastAsia="zh-CN" w:bidi="ar-SA"/>
        </w:rPr>
        <w:t>减少</w:t>
      </w:r>
      <w:r>
        <w:rPr>
          <w:rFonts w:ascii="Times New Roman" w:hAnsi="Times New Roman" w:eastAsia="方正仿宋_GBK" w:cs="Times New Roman"/>
          <w:color w:val="000000"/>
          <w:sz w:val="28"/>
          <w:szCs w:val="24"/>
          <w:highlight w:val="none"/>
          <w:lang w:val="en-US" w:eastAsia="uk-UA" w:bidi="ar-SA"/>
        </w:rPr>
        <w:t>人员经费支出；项目支出</w:t>
      </w:r>
      <w:r>
        <w:rPr>
          <w:rFonts w:hint="eastAsia" w:ascii="Times New Roman" w:hAnsi="Times New Roman" w:eastAsia="方正仿宋_GBK" w:cs="Times New Roman"/>
          <w:color w:val="000000"/>
          <w:sz w:val="28"/>
          <w:szCs w:val="24"/>
          <w:highlight w:val="none"/>
          <w:lang w:val="en-US" w:eastAsia="zh-CN" w:bidi="ar-SA"/>
        </w:rPr>
        <w:t>减少178.35</w:t>
      </w:r>
      <w:r>
        <w:rPr>
          <w:rFonts w:ascii="Times New Roman" w:hAnsi="Times New Roman" w:eastAsia="方正仿宋_GBK" w:cs="Times New Roman"/>
          <w:color w:val="000000"/>
          <w:sz w:val="28"/>
          <w:szCs w:val="24"/>
          <w:highlight w:val="none"/>
          <w:lang w:val="en-US" w:eastAsia="uk-UA" w:bidi="ar-SA"/>
        </w:rPr>
        <w:t>万元，</w:t>
      </w:r>
      <w:r>
        <w:rPr>
          <w:rFonts w:hint="eastAsia" w:ascii="Times New Roman" w:hAnsi="Times New Roman" w:eastAsia="方正仿宋_GBK" w:cs="Times New Roman"/>
          <w:color w:val="000000"/>
          <w:sz w:val="28"/>
          <w:szCs w:val="24"/>
          <w:highlight w:val="none"/>
          <w:lang w:val="en-US" w:eastAsia="zh-CN" w:bidi="ar-SA"/>
        </w:rPr>
        <w:t>主要为未包含转移支付项目经费</w:t>
      </w:r>
      <w:r>
        <w:rPr>
          <w:rFonts w:ascii="Times New Roman" w:hAnsi="Times New Roman" w:eastAsia="方正仿宋_GBK" w:cs="Times New Roman"/>
          <w:color w:val="000000"/>
          <w:sz w:val="28"/>
          <w:szCs w:val="24"/>
          <w:highlight w:val="none"/>
          <w:lang w:val="en-US" w:eastAsia="uk-UA" w:bidi="ar-SA"/>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line="500" w:lineRule="exact"/>
        <w:ind w:firstLine="560" w:firstLineChars="200"/>
        <w:rPr>
          <w:rFonts w:hint="eastAsia" w:eastAsia="方正仿宋_GBK"/>
          <w:color w:val="000000"/>
          <w:sz w:val="28"/>
          <w:lang w:val="en-US" w:eastAsia="zh-CN"/>
        </w:rPr>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年，赵县人民检察院机关运行经费共计安排</w:t>
      </w:r>
      <w:r>
        <w:rPr>
          <w:rFonts w:hint="eastAsia" w:eastAsia="方正仿宋_GBK"/>
          <w:color w:val="000000"/>
          <w:sz w:val="28"/>
          <w:lang w:val="en-US" w:eastAsia="zh-CN"/>
        </w:rPr>
        <w:t>82.47</w:t>
      </w:r>
      <w:r>
        <w:rPr>
          <w:rFonts w:eastAsia="方正仿宋_GBK"/>
          <w:color w:val="000000"/>
          <w:sz w:val="28"/>
        </w:rPr>
        <w:t>万元，主要用于保证机关正常运转的办公费、</w:t>
      </w:r>
      <w:r>
        <w:rPr>
          <w:rFonts w:hint="eastAsia" w:eastAsia="方正仿宋_GBK"/>
          <w:color w:val="000000"/>
          <w:sz w:val="28"/>
          <w:lang w:eastAsia="zh-CN"/>
        </w:rPr>
        <w:t>培训费</w:t>
      </w:r>
      <w:r>
        <w:rPr>
          <w:rFonts w:eastAsia="方正仿宋_GBK"/>
          <w:color w:val="000000"/>
          <w:sz w:val="28"/>
        </w:rPr>
        <w:t>等日常运行支出。</w:t>
      </w:r>
    </w:p>
    <w:p>
      <w:pPr>
        <w:pStyle w:val="17"/>
        <w:ind w:left="0" w:leftChars="0" w:firstLine="0" w:firstLineChars="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500" w:lineRule="exact"/>
        <w:ind w:firstLine="560" w:firstLineChars="200"/>
        <w:rPr>
          <w:rFonts w:eastAsia="方正仿宋_GBK"/>
          <w:color w:val="000000"/>
          <w:sz w:val="28"/>
          <w:highlight w:val="yellow"/>
        </w:rPr>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年，赵县人民检察院财政拨款“三公”经费预算安排</w:t>
      </w:r>
      <w:r>
        <w:rPr>
          <w:rFonts w:hint="eastAsia" w:eastAsia="方正仿宋_GBK"/>
          <w:color w:val="000000"/>
          <w:sz w:val="28"/>
          <w:lang w:val="en-US" w:eastAsia="zh-CN"/>
        </w:rPr>
        <w:t>1</w:t>
      </w:r>
      <w:r>
        <w:rPr>
          <w:rFonts w:eastAsia="方正仿宋_GBK"/>
          <w:color w:val="000000"/>
          <w:sz w:val="28"/>
        </w:rPr>
        <w:t>万元，其中:</w:t>
      </w:r>
      <w:r>
        <w:rPr>
          <w:rFonts w:hint="eastAsia" w:eastAsia="方正仿宋_GBK"/>
          <w:color w:val="000000"/>
          <w:sz w:val="28"/>
        </w:rPr>
        <w:t>因公出国（境）费0万元，与202</w:t>
      </w:r>
      <w:r>
        <w:rPr>
          <w:rFonts w:hint="eastAsia" w:eastAsia="方正仿宋_GBK"/>
          <w:color w:val="000000"/>
          <w:sz w:val="28"/>
          <w:lang w:val="en-US" w:eastAsia="zh-CN"/>
        </w:rPr>
        <w:t>2</w:t>
      </w:r>
      <w:r>
        <w:rPr>
          <w:rFonts w:hint="eastAsia" w:eastAsia="方正仿宋_GBK"/>
          <w:color w:val="000000"/>
          <w:sz w:val="28"/>
        </w:rPr>
        <w:t>年持平，无增减变化</w:t>
      </w:r>
      <w:r>
        <w:rPr>
          <w:rFonts w:hint="eastAsia" w:eastAsia="方正仿宋_GBK"/>
          <w:color w:val="000000"/>
          <w:sz w:val="28"/>
          <w:lang w:eastAsia="zh-CN"/>
        </w:rPr>
        <w:t>；</w:t>
      </w:r>
      <w:r>
        <w:rPr>
          <w:rFonts w:hint="eastAsia" w:eastAsia="方正仿宋_GBK"/>
          <w:color w:val="000000"/>
          <w:sz w:val="28"/>
          <w:highlight w:val="none"/>
          <w:lang w:eastAsia="zh-CN"/>
        </w:rPr>
        <w:t>公</w:t>
      </w:r>
      <w:r>
        <w:rPr>
          <w:rFonts w:hint="eastAsia" w:eastAsia="方正仿宋_GBK"/>
          <w:color w:val="000000"/>
          <w:sz w:val="28"/>
          <w:highlight w:val="none"/>
        </w:rPr>
        <w:t>务用车购置及</w:t>
      </w:r>
      <w:r>
        <w:rPr>
          <w:rFonts w:hint="eastAsia" w:eastAsia="方正仿宋_GBK"/>
          <w:color w:val="000000"/>
          <w:sz w:val="28"/>
          <w:highlight w:val="none"/>
          <w:lang w:eastAsia="zh-CN"/>
        </w:rPr>
        <w:t>运行维护</w:t>
      </w:r>
      <w:r>
        <w:rPr>
          <w:rFonts w:hint="eastAsia" w:eastAsia="方正仿宋_GBK"/>
          <w:color w:val="000000"/>
          <w:sz w:val="28"/>
          <w:highlight w:val="none"/>
        </w:rPr>
        <w:t>费</w:t>
      </w:r>
      <w:r>
        <w:rPr>
          <w:rFonts w:hint="eastAsia" w:eastAsia="方正仿宋_GBK"/>
          <w:color w:val="000000"/>
          <w:sz w:val="28"/>
          <w:highlight w:val="none"/>
          <w:lang w:val="en-US" w:eastAsia="zh-CN"/>
        </w:rPr>
        <w:t>0</w:t>
      </w:r>
      <w:r>
        <w:rPr>
          <w:rFonts w:hint="eastAsia" w:eastAsia="方正仿宋_GBK"/>
          <w:color w:val="000000"/>
          <w:sz w:val="28"/>
          <w:highlight w:val="none"/>
        </w:rPr>
        <w:t>万元</w:t>
      </w:r>
      <w:r>
        <w:rPr>
          <w:rFonts w:hint="eastAsia" w:eastAsia="方正仿宋_GBK"/>
          <w:color w:val="000000"/>
          <w:sz w:val="28"/>
          <w:highlight w:val="none"/>
          <w:lang w:eastAsia="zh-CN"/>
        </w:rPr>
        <w:t>（</w:t>
      </w:r>
      <w:r>
        <w:rPr>
          <w:rFonts w:hint="eastAsia" w:eastAsia="方正仿宋_GBK"/>
          <w:color w:val="000000"/>
          <w:sz w:val="28"/>
          <w:highlight w:val="none"/>
        </w:rPr>
        <w:t>其中：公务用车购置费为0万元，</w:t>
      </w:r>
      <w:r>
        <w:rPr>
          <w:rFonts w:hint="eastAsia" w:eastAsia="方正仿宋_GBK"/>
          <w:color w:val="000000"/>
          <w:sz w:val="28"/>
          <w:highlight w:val="none"/>
          <w:lang w:eastAsia="zh-CN"/>
        </w:rPr>
        <w:t>公务用车运行维护费</w:t>
      </w:r>
      <w:r>
        <w:rPr>
          <w:rFonts w:hint="eastAsia" w:eastAsia="方正仿宋_GBK"/>
          <w:color w:val="000000"/>
          <w:sz w:val="28"/>
          <w:highlight w:val="none"/>
          <w:lang w:val="en-US" w:eastAsia="zh-CN"/>
        </w:rPr>
        <w:t>0万元）；公务接待费1万元。因公出国（境）费0万元，较2022年相比持平，无增减变化，主要原因是年初没有安排因公出国；公务用车购置及运行维护费0万元（其中：公务用车购置费0万元，公务用车运行维护费0万元），与2022年相比减少13.32万元，主要为减少公务用车运行维护费，在转移支付中列支；公务接待费1万元，与2022年相比持平，无增减变化，主要是近年来接待外地考察的人数、批次无变化。</w:t>
      </w:r>
    </w:p>
    <w:p>
      <w:pPr>
        <w:pStyle w:val="18"/>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院将深入学习习近平新时代中国特色社会主义思想、党的二十大精神；全面贯彻《中共中央关于加强新时代检察机关法律监督工作的意见》和《中国共产党政法工作条例》；全面落实省、市、县党代会精神，坚持讲政治、顾大局、谋发展、重自强，按照“日常工作项目化、项目工作品牌化、品牌工作亮点化”工作思路，更加注重系统观念、法治思维、强基导向，全面履行检察职责，综合运用监督手段，主动作为，能动司法，为加快建设美丽赵州提供有力司法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9"/>
      </w:pPr>
      <w:r>
        <w:t>1.强化政治学习，提高政治站位</w:t>
      </w:r>
    </w:p>
    <w:p>
      <w:pPr>
        <w:pStyle w:val="19"/>
      </w:pPr>
      <w:r>
        <w:t>绩效目标：进一步强化政治机关意识，坚持“检察机关首先是政治机关”的政治定位。坚持党对检察工作的绝对领导，努力以政治建设实效审视业务工作成效，把党和人民的满意度、对经济社会发展的贡献力作为衡量检察工作的重要标准，不断提高检察履职的政治判断力、政治领悟力、政治执行力，以业务工作成效检验政治建设自觉，用检察实践效果检验政治执行力，确保政治效果、社会效果、法律效果“三效”统一。</w:t>
      </w:r>
    </w:p>
    <w:p>
      <w:pPr>
        <w:pStyle w:val="19"/>
      </w:pPr>
      <w:r>
        <w:t>绩效指标：加强干警的党性修养和政治理论素养，提高干警综合素质，严守党的政治纪律和政治规矩，把学习教育贯穿始终，保障各类学习教育活动顺利开展，不断提高</w:t>
      </w:r>
      <w:r>
        <w:rPr>
          <w:rFonts w:hint="eastAsia"/>
          <w:lang w:eastAsia="zh-CN"/>
        </w:rPr>
        <w:t>我院</w:t>
      </w:r>
      <w:r>
        <w:t>检察干警的政治素质、业务素质、职业道德素质。</w:t>
      </w:r>
    </w:p>
    <w:p>
      <w:pPr>
        <w:pStyle w:val="19"/>
      </w:pPr>
      <w:r>
        <w:t>2.聚焦主责主业，维护社会安全稳定</w:t>
      </w:r>
    </w:p>
    <w:p>
      <w:pPr>
        <w:pStyle w:val="19"/>
      </w:pPr>
      <w:r>
        <w:t>绩效目标：坚持总体国家安全观，进一步强化刑事立案、侦查活动、审判活动和刑事执行监督，精准开展民事检察工作，全面深化行政检察工作，积极稳妥推进公益诉讼检察，实现“四大检察”“十大业务”全面协调充分发展。适应刑事犯罪结构重大变化，坚定落实“少捕慎诉慎押”司法理念；深入推进扫黑除恶常态化，依法惩治</w:t>
      </w:r>
      <w:r>
        <w:rPr>
          <w:rFonts w:hint="eastAsia"/>
          <w:lang w:eastAsia="zh-CN"/>
        </w:rPr>
        <w:t>违法</w:t>
      </w:r>
      <w:r>
        <w:t>犯罪，加大网络犯罪惩治力度，严惩涉众型金融犯罪，加强检察权运行监督制约机制建设，增强人民群众安全感。</w:t>
      </w:r>
    </w:p>
    <w:p>
      <w:pPr>
        <w:pStyle w:val="19"/>
      </w:pPr>
      <w:r>
        <w:t>绩效指标：努力提升办案质效和检察公信力，深化检务公开，通过办理案件，稳定社会环境，收到良好的社会效果，通过项目实施促讲社会稳定水平明显提高。</w:t>
      </w:r>
    </w:p>
    <w:p>
      <w:pPr>
        <w:pStyle w:val="19"/>
      </w:pPr>
      <w:r>
        <w:t>3.贯彻检察工作新理念，强化协作配合</w:t>
      </w:r>
    </w:p>
    <w:p>
      <w:pPr>
        <w:pStyle w:val="19"/>
      </w:pPr>
      <w:r>
        <w:t>绩效目标：坚持民心是最大的政治，主动适应人民群众对民主、法治、公平、正义、安全、环境等方面的新需求，持续落实“一号检察建议”，依法保护妇女、儿童、农民工、残疾人等特殊群体权益。主动服务优化营商环境，解决历史遗留问题，深入推进平安乡村建设，加强红色资源和历史文物司法保护，严格落实生态环境保护，树牢生态优先、绿色发展理念，加强部门协作，为赵州建设注入更多检察元素。</w:t>
      </w:r>
    </w:p>
    <w:p>
      <w:pPr>
        <w:pStyle w:val="19"/>
      </w:pPr>
      <w:r>
        <w:t>绩效指标：保护未成年人司法权力，开展法治宣讲，</w:t>
      </w:r>
      <w:r>
        <w:rPr>
          <w:rFonts w:hint="eastAsia"/>
          <w:lang w:eastAsia="zh-CN"/>
        </w:rPr>
        <w:t>维护</w:t>
      </w:r>
      <w:r>
        <w:t>生态环境，通过经费的使用保障年度计划的顺利实施，达到预期效果，提升社会稳定性。</w:t>
      </w:r>
    </w:p>
    <w:p>
      <w:pPr>
        <w:pStyle w:val="19"/>
      </w:pPr>
      <w:r>
        <w:t>4.规范公正文明司法，化解社会矛盾</w:t>
      </w:r>
    </w:p>
    <w:p>
      <w:pPr>
        <w:pStyle w:val="19"/>
      </w:pPr>
      <w:r>
        <w:t>绩效目标：扎实推进执法司法制约监督体系改革和建设，把严格规范公正文明司法落到实处。完善监检衔接机制，做好查办司法工作人员相关职务犯罪工作。邀请有关人大代表、政协委员、人民监督员、律师等人员参与听证，努力以“多方和谈”促社会和谐。自觉接受人大监督、民主监督，主动邀请人大代表、政协委员、人民监督员、社区居民视察检察工作、参加检察开放日活动；拓宽群众诉求表达渠道，深化群众信访件件有回复，常态化开展案件公开听证。</w:t>
      </w:r>
    </w:p>
    <w:p>
      <w:pPr>
        <w:pStyle w:val="19"/>
      </w:pPr>
      <w:r>
        <w:t>绩效指标：加强与人大代表、政协委员和社会各界的常态化联系，主动通报检察工作情况，接受监督。积极参与</w:t>
      </w:r>
      <w:r>
        <w:rPr>
          <w:rFonts w:hint="eastAsia"/>
          <w:lang w:eastAsia="zh-CN"/>
        </w:rPr>
        <w:t>县</w:t>
      </w:r>
      <w:r>
        <w:t>域社会治理现代化，针对案件反映出的倾向性问题和管理漏洞，及时提出检察建议，检察建议被采纳案件占全部检察建议案件的90%以上。</w:t>
      </w:r>
    </w:p>
    <w:p>
      <w:pPr>
        <w:pStyle w:val="19"/>
      </w:pPr>
      <w:r>
        <w:t>5.加大检察宣传力度，提升办案办公效率</w:t>
      </w:r>
    </w:p>
    <w:p>
      <w:pPr>
        <w:pStyle w:val="19"/>
      </w:pPr>
      <w:r>
        <w:t>绩效目标：加强检察原创作品制作，加强警示教育，提高公众对违法犯罪危害的认识。保证办公楼的各项设施设备正常运转，及时解决各种故障，消除安全隐患。</w:t>
      </w:r>
    </w:p>
    <w:p>
      <w:pPr>
        <w:pStyle w:val="19"/>
      </w:pPr>
      <w:r>
        <w:t>绩效指标：运用新媒体，运用微信、微博等客户端，全方位开展检察宣传建设。排查用水、用电、消防等安全隐患保证办公秩序</w:t>
      </w:r>
      <w:r>
        <w:rPr>
          <w:rFonts w:hint="eastAsia"/>
          <w:lang w:eastAsia="zh-CN"/>
        </w:rPr>
        <w:t>。</w:t>
      </w:r>
      <w:r>
        <w:t>设施设备故障报修后及时做出处理，故障维修合格率95%以上。</w:t>
      </w:r>
    </w:p>
    <w:p>
      <w:pPr>
        <w:pStyle w:val="19"/>
      </w:pPr>
      <w:r>
        <w:t>6.适应信息化发展新趋势，保证办公办案安全</w:t>
      </w:r>
    </w:p>
    <w:p>
      <w:pPr>
        <w:pStyle w:val="19"/>
      </w:pPr>
      <w:r>
        <w:t>绩效目标：为保障网络信息安全，根据要求对信息网络进行等保测评。</w:t>
      </w:r>
    </w:p>
    <w:p>
      <w:pPr>
        <w:pStyle w:val="19"/>
      </w:pPr>
      <w:r>
        <w:t>绩效指标：及时完成等保测评工作，达到规定安全等级，测评通过率98%以上，保证办公办案安全。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0"/>
      </w:pPr>
      <w:r>
        <w:t>1.加强组织领导。高度重视预算绩效管理工作，加强对预算绩效管理的组织领导，切实转变思想观念，牢固树立预算意识，理顺内部工作机制，精心组织，扎实推进，及时研究预算执行过程中出现的问题，确保绩效目标顺利实现。</w:t>
      </w:r>
    </w:p>
    <w:p>
      <w:pPr>
        <w:pStyle w:val="20"/>
      </w:pPr>
      <w:r>
        <w:t>2.健全制度体系。根据预算绩效管理有关规定，以及各项财政政策要求，及时补充、修改、完善我院预算管理制度体系。狠抓制度落实，坚持按制度办事，规范预算资金管理程序。</w:t>
      </w:r>
    </w:p>
    <w:p>
      <w:pPr>
        <w:pStyle w:val="20"/>
      </w:pPr>
      <w:r>
        <w:t>3.重视过程管理。按要求开展绩效运行监控，对绩效目标实现程度和预算执行进度进行“双监控”，切实加强预算项目事前绩效评估，充分论证项目必要性，完善项目决策机制，提高年初预算科学性；抓好预算执行过程控制，采取有效措施，加强项目调度，加快项目实施，提高财政资金使用效率；按要求做好绩效自评工作，调整优化绩效管理体系，不断提高资金使用效益。</w:t>
      </w:r>
    </w:p>
    <w:p>
      <w:pPr>
        <w:pStyle w:val="20"/>
      </w:pPr>
      <w:r>
        <w:t>4.加强内外部监督。充分发挥内部监督作用，对预算绩效运行情况、重大支出事项、重大项目建设等其他重要经济业务业务的决策和执行进行监督；配合做好巡视、审计、财政监督等外部监督工作；依法进行预决算公开，接受社会公众监督，确保财政资金安全有效。</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第二部分    </w:t>
      </w:r>
      <w:r>
        <w:rPr>
          <w:rFonts w:hint="eastAsia" w:ascii="方正楷体_GBK" w:hAnsi="方正楷体_GBK" w:eastAsia="方正楷体_GBK" w:cs="方正楷体_GBK"/>
          <w:b/>
          <w:color w:val="000000"/>
          <w:sz w:val="32"/>
          <w:lang w:val="en-US" w:eastAsia="zh-CN"/>
        </w:rPr>
        <w:t>专项资金</w:t>
      </w:r>
      <w:bookmarkStart w:id="18" w:name="_GoBack"/>
      <w:bookmarkEnd w:id="18"/>
      <w:r>
        <w:rPr>
          <w:rFonts w:ascii="方正楷体_GBK" w:hAnsi="方正楷体_GBK" w:eastAsia="方正楷体_GBK" w:cs="方正楷体_GBK"/>
          <w:b/>
          <w:color w:val="000000"/>
          <w:sz w:val="32"/>
        </w:rPr>
        <w:t>绩效目标</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三</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1、专项项目绩效目标表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1.通过经费的使用，促进各项检察案件的顺利进行，提升办案质量，加大办案力度；保障公益诉讼、扫黑除恶专项活动的顺利开展，维护人民群众合法权益。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办理案件数</w:t>
            </w:r>
          </w:p>
        </w:tc>
        <w:tc>
          <w:tcPr>
            <w:tcW w:w="2835" w:type="dxa"/>
            <w:vAlign w:val="center"/>
          </w:tcPr>
          <w:p>
            <w:pPr>
              <w:pStyle w:val="10"/>
            </w:pPr>
            <w:r>
              <w:t>办理案件数</w:t>
            </w:r>
          </w:p>
        </w:tc>
        <w:tc>
          <w:tcPr>
            <w:tcW w:w="2551" w:type="dxa"/>
            <w:vAlign w:val="center"/>
          </w:tcPr>
          <w:p>
            <w:pPr>
              <w:pStyle w:val="10"/>
            </w:pPr>
            <w:r>
              <w:t>≥</w:t>
            </w:r>
            <w:r>
              <w:rPr>
                <w:rFonts w:hint="eastAsia"/>
                <w:lang w:val="en-US" w:eastAsia="zh-CN"/>
              </w:rPr>
              <w:t>400</w:t>
            </w:r>
            <w:r>
              <w:t>件</w:t>
            </w:r>
          </w:p>
        </w:tc>
        <w:tc>
          <w:tcPr>
            <w:tcW w:w="2268"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案件审结率</w:t>
            </w:r>
          </w:p>
        </w:tc>
        <w:tc>
          <w:tcPr>
            <w:tcW w:w="2835" w:type="dxa"/>
            <w:vAlign w:val="center"/>
          </w:tcPr>
          <w:p>
            <w:pPr>
              <w:pStyle w:val="10"/>
            </w:pPr>
            <w:r>
              <w:t>案件审结率</w:t>
            </w:r>
          </w:p>
        </w:tc>
        <w:tc>
          <w:tcPr>
            <w:tcW w:w="2551" w:type="dxa"/>
            <w:vAlign w:val="center"/>
          </w:tcPr>
          <w:p>
            <w:pPr>
              <w:pStyle w:val="10"/>
            </w:pPr>
            <w:r>
              <w:t>≥</w:t>
            </w:r>
            <w:r>
              <w:rPr>
                <w:rFonts w:hint="eastAsia"/>
                <w:lang w:val="en-US" w:eastAsia="zh-CN"/>
              </w:rPr>
              <w:t>8</w:t>
            </w:r>
            <w:r>
              <w:t>0%</w:t>
            </w:r>
          </w:p>
        </w:tc>
        <w:tc>
          <w:tcPr>
            <w:tcW w:w="2268"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办理案件及时性</w:t>
            </w:r>
          </w:p>
        </w:tc>
        <w:tc>
          <w:tcPr>
            <w:tcW w:w="2835" w:type="dxa"/>
            <w:vAlign w:val="center"/>
          </w:tcPr>
          <w:p>
            <w:pPr>
              <w:pStyle w:val="10"/>
            </w:pPr>
            <w:r>
              <w:t>办理案件及时性</w:t>
            </w:r>
          </w:p>
        </w:tc>
        <w:tc>
          <w:tcPr>
            <w:tcW w:w="2551" w:type="dxa"/>
            <w:vAlign w:val="center"/>
          </w:tcPr>
          <w:p>
            <w:pPr>
              <w:pStyle w:val="10"/>
            </w:pPr>
            <w:r>
              <w:t>较上一年提高</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报销差旅费时间</w:t>
            </w:r>
          </w:p>
        </w:tc>
        <w:tc>
          <w:tcPr>
            <w:tcW w:w="2835" w:type="dxa"/>
            <w:vAlign w:val="center"/>
          </w:tcPr>
          <w:p>
            <w:pPr>
              <w:pStyle w:val="10"/>
            </w:pPr>
            <w:r>
              <w:t>报销差旅费时间</w:t>
            </w:r>
          </w:p>
        </w:tc>
        <w:tc>
          <w:tcPr>
            <w:tcW w:w="2551" w:type="dxa"/>
            <w:vAlign w:val="center"/>
          </w:tcPr>
          <w:p>
            <w:pPr>
              <w:pStyle w:val="10"/>
            </w:pPr>
            <w:r>
              <w:t>≤30天</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预算控制数</w:t>
            </w:r>
          </w:p>
        </w:tc>
        <w:tc>
          <w:tcPr>
            <w:tcW w:w="2551" w:type="dxa"/>
            <w:vAlign w:val="center"/>
          </w:tcPr>
          <w:p>
            <w:pPr>
              <w:pStyle w:val="10"/>
            </w:pPr>
            <w:r>
              <w:t>≤</w:t>
            </w:r>
            <w:r>
              <w:rPr>
                <w:rFonts w:hint="eastAsia"/>
                <w:lang w:val="en-US" w:eastAsia="zh-CN"/>
              </w:rPr>
              <w:t>209</w:t>
            </w:r>
            <w:r>
              <w:t>万元</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检察建议采纳率</w:t>
            </w:r>
          </w:p>
        </w:tc>
        <w:tc>
          <w:tcPr>
            <w:tcW w:w="2835" w:type="dxa"/>
            <w:vAlign w:val="center"/>
          </w:tcPr>
          <w:p>
            <w:pPr>
              <w:pStyle w:val="10"/>
            </w:pPr>
            <w:r>
              <w:t>检察建议采纳率</w:t>
            </w:r>
          </w:p>
        </w:tc>
        <w:tc>
          <w:tcPr>
            <w:tcW w:w="2551" w:type="dxa"/>
            <w:vAlign w:val="center"/>
          </w:tcPr>
          <w:p>
            <w:pPr>
              <w:pStyle w:val="10"/>
            </w:pPr>
            <w:r>
              <w:t>≥70%</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社会稳定性影响情况</w:t>
            </w:r>
          </w:p>
        </w:tc>
        <w:tc>
          <w:tcPr>
            <w:tcW w:w="2835" w:type="dxa"/>
            <w:vAlign w:val="center"/>
          </w:tcPr>
          <w:p>
            <w:pPr>
              <w:pStyle w:val="10"/>
            </w:pPr>
            <w:r>
              <w:t>社会稳定性影响情况</w:t>
            </w:r>
          </w:p>
        </w:tc>
        <w:tc>
          <w:tcPr>
            <w:tcW w:w="2551" w:type="dxa"/>
            <w:vAlign w:val="center"/>
          </w:tcPr>
          <w:p>
            <w:pPr>
              <w:pStyle w:val="10"/>
            </w:pPr>
            <w:r>
              <w:t>持续影响</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持续提升社会稳定性</w:t>
            </w:r>
          </w:p>
        </w:tc>
        <w:tc>
          <w:tcPr>
            <w:tcW w:w="2835" w:type="dxa"/>
            <w:vAlign w:val="center"/>
          </w:tcPr>
          <w:p>
            <w:pPr>
              <w:pStyle w:val="10"/>
            </w:pPr>
            <w:r>
              <w:t>持续提升社会稳定性</w:t>
            </w:r>
          </w:p>
        </w:tc>
        <w:tc>
          <w:tcPr>
            <w:tcW w:w="2551" w:type="dxa"/>
            <w:vAlign w:val="center"/>
          </w:tcPr>
          <w:p>
            <w:pPr>
              <w:pStyle w:val="10"/>
            </w:pPr>
            <w:r>
              <w:t>持续提升</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人民群众满意度</w:t>
            </w:r>
          </w:p>
        </w:tc>
        <w:tc>
          <w:tcPr>
            <w:tcW w:w="2835" w:type="dxa"/>
            <w:vAlign w:val="center"/>
          </w:tcPr>
          <w:p>
            <w:pPr>
              <w:pStyle w:val="10"/>
            </w:pPr>
            <w:r>
              <w:t>人民群众满意度</w:t>
            </w:r>
          </w:p>
        </w:tc>
        <w:tc>
          <w:tcPr>
            <w:tcW w:w="2551" w:type="dxa"/>
            <w:vAlign w:val="center"/>
          </w:tcPr>
          <w:p>
            <w:pPr>
              <w:pStyle w:val="10"/>
            </w:pPr>
            <w:r>
              <w:t>≥95%</w:t>
            </w:r>
          </w:p>
        </w:tc>
        <w:tc>
          <w:tcPr>
            <w:tcW w:w="2268" w:type="dxa"/>
            <w:vAlign w:val="center"/>
          </w:tcPr>
          <w:p>
            <w:pPr>
              <w:pStyle w:val="10"/>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2023年，赵县人民检察院安排政府采购预算20.00万元。具体内容见下表。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644赵县人民检察院</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赵县人民检察院本级小计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专项项目</w:t>
            </w:r>
          </w:p>
        </w:tc>
        <w:tc>
          <w:tcPr>
            <w:tcW w:w="964" w:type="dxa"/>
            <w:vAlign w:val="center"/>
          </w:tcPr>
          <w:p>
            <w:pPr>
              <w:pStyle w:val="11"/>
            </w:pPr>
            <w:r>
              <w:t>209.00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9"/>
            </w:pPr>
            <w:r>
              <w:t>套</w:t>
            </w:r>
          </w:p>
        </w:tc>
        <w:tc>
          <w:tcPr>
            <w:tcW w:w="850" w:type="dxa"/>
            <w:vAlign w:val="center"/>
          </w:tcPr>
          <w:p>
            <w:pPr>
              <w:pStyle w:val="11"/>
            </w:pPr>
            <w:r>
              <w:t>1</w:t>
            </w:r>
          </w:p>
        </w:tc>
        <w:tc>
          <w:tcPr>
            <w:tcW w:w="850" w:type="dxa"/>
            <w:vAlign w:val="center"/>
          </w:tcPr>
          <w:p>
            <w:pPr>
              <w:pStyle w:val="11"/>
            </w:pPr>
            <w:r>
              <w:t>15.65</w:t>
            </w:r>
          </w:p>
        </w:tc>
        <w:tc>
          <w:tcPr>
            <w:tcW w:w="964" w:type="dxa"/>
            <w:vAlign w:val="center"/>
          </w:tcPr>
          <w:p>
            <w:pPr>
              <w:pStyle w:val="11"/>
            </w:pPr>
            <w:r>
              <w:t>15.65</w:t>
            </w:r>
          </w:p>
        </w:tc>
        <w:tc>
          <w:tcPr>
            <w:tcW w:w="964" w:type="dxa"/>
            <w:vAlign w:val="center"/>
          </w:tcPr>
          <w:p>
            <w:pPr>
              <w:pStyle w:val="11"/>
            </w:pPr>
            <w:r>
              <w:t>15.65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专项项目</w:t>
            </w:r>
          </w:p>
        </w:tc>
        <w:tc>
          <w:tcPr>
            <w:tcW w:w="964" w:type="dxa"/>
            <w:vAlign w:val="center"/>
          </w:tcPr>
          <w:p>
            <w:pPr>
              <w:pStyle w:val="11"/>
            </w:pPr>
            <w:r>
              <w:t>209.00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9"/>
            </w:pPr>
            <w:r>
              <w:t>套</w:t>
            </w:r>
          </w:p>
        </w:tc>
        <w:tc>
          <w:tcPr>
            <w:tcW w:w="850" w:type="dxa"/>
            <w:vAlign w:val="center"/>
          </w:tcPr>
          <w:p>
            <w:pPr>
              <w:pStyle w:val="11"/>
            </w:pPr>
            <w:r>
              <w:t>1</w:t>
            </w:r>
          </w:p>
        </w:tc>
        <w:tc>
          <w:tcPr>
            <w:tcW w:w="850" w:type="dxa"/>
            <w:vAlign w:val="center"/>
          </w:tcPr>
          <w:p>
            <w:pPr>
              <w:pStyle w:val="11"/>
            </w:pPr>
            <w:r>
              <w:t>4.35</w:t>
            </w:r>
          </w:p>
        </w:tc>
        <w:tc>
          <w:tcPr>
            <w:tcW w:w="964" w:type="dxa"/>
            <w:vAlign w:val="center"/>
          </w:tcPr>
          <w:p>
            <w:pPr>
              <w:pStyle w:val="11"/>
            </w:pPr>
            <w:r>
              <w:t>4.35</w:t>
            </w:r>
          </w:p>
        </w:tc>
        <w:tc>
          <w:tcPr>
            <w:tcW w:w="964" w:type="dxa"/>
            <w:vAlign w:val="center"/>
          </w:tcPr>
          <w:p>
            <w:pPr>
              <w:pStyle w:val="11"/>
            </w:pPr>
            <w:r>
              <w:t>4.35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赵县人民检察院（含所属单位）上年末固定资产金额为</w:t>
      </w:r>
      <w:r>
        <w:rPr>
          <w:rFonts w:hint="eastAsia" w:eastAsia="方正仿宋_GBK" w:cs="Times New Roman"/>
          <w:b w:val="0"/>
          <w:color w:val="000000"/>
          <w:sz w:val="28"/>
          <w:lang w:val="en-US" w:eastAsia="zh-CN"/>
        </w:rPr>
        <w:t>1808.90</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644赵县人民检察院</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jc w:val="left"/>
              <w:rPr>
                <w:rFonts w:hint="default" w:eastAsia="方正书宋_GBK"/>
                <w:lang w:val="en-US" w:eastAsia="zh-CN"/>
              </w:rPr>
            </w:pPr>
            <w:r>
              <w:rPr>
                <w:rFonts w:hint="eastAsia" w:ascii="方正书宋_GBK" w:eastAsia="方正书宋_GBK" w:hAnsiTheme="minorHAnsi" w:cstheme="minorBidi"/>
                <w:b w:val="0"/>
                <w:kern w:val="2"/>
                <w:sz w:val="21"/>
                <w:szCs w:val="24"/>
                <w:lang w:val="en-US" w:eastAsia="zh-CN" w:bidi="ar-SA"/>
              </w:rPr>
              <w:t>资产总额</w:t>
            </w:r>
          </w:p>
        </w:tc>
        <w:tc>
          <w:tcPr>
            <w:tcW w:w="4933" w:type="dxa"/>
            <w:vAlign w:val="center"/>
          </w:tcPr>
          <w:p>
            <w:pPr>
              <w:pStyle w:val="8"/>
              <w:rPr>
                <w:rFonts w:hint="eastAsia" w:eastAsia="方正书宋_GBK"/>
                <w:lang w:val="en-US" w:eastAsia="zh-CN"/>
              </w:rPr>
            </w:pPr>
            <w:r>
              <w:rPr>
                <w:rFonts w:hint="eastAsia"/>
                <w:lang w:val="en-US" w:eastAsia="zh-CN"/>
              </w:rPr>
              <w:t>-</w:t>
            </w:r>
          </w:p>
        </w:tc>
        <w:tc>
          <w:tcPr>
            <w:tcW w:w="4933" w:type="dxa"/>
            <w:vAlign w:val="center"/>
          </w:tcPr>
          <w:p>
            <w:pPr>
              <w:pStyle w:val="8"/>
              <w:jc w:val="right"/>
              <w:rPr>
                <w:rFonts w:hint="default" w:eastAsia="方正书宋_GBK"/>
                <w:lang w:val="en-US" w:eastAsia="zh-CN"/>
              </w:rPr>
            </w:pPr>
            <w:r>
              <w:rPr>
                <w:rFonts w:hint="eastAsia" w:hAnsiTheme="minorHAnsi" w:cstheme="minorBidi"/>
                <w:b w:val="0"/>
                <w:kern w:val="2"/>
                <w:sz w:val="21"/>
                <w:szCs w:val="24"/>
                <w:lang w:val="en-US" w:eastAsia="zh-CN" w:bidi="ar-SA"/>
              </w:rPr>
              <w:t>1808.90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1</w:t>
            </w:r>
            <w:r>
              <w:rPr>
                <w:rFonts w:hint="eastAsia" w:ascii="方正书宋_GBK" w:eastAsia="方正书宋_GBK"/>
              </w:rPr>
              <w:t>、房屋（平方米）</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3694.58</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467</w:t>
            </w:r>
            <w:r>
              <w:rPr>
                <w:rFonts w:hint="eastAsia" w:ascii="方正书宋_GBK" w:eastAsia="方正书宋_GBK"/>
                <w:lang w:val="en-US" w:eastAsia="zh-CN"/>
              </w:rPr>
              <w:t>.</w:t>
            </w:r>
            <w:r>
              <w:rPr>
                <w:rFonts w:ascii="方正书宋_GBK" w:eastAsia="方正书宋_GBK"/>
              </w:rPr>
              <w:t>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hint="eastAsia" w:ascii="方正书宋_GBK" w:eastAsia="方正书宋_GBK"/>
              </w:rPr>
              <w:t>　　其中：办公用房（平方米）</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3073.58</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2</w:t>
            </w:r>
            <w:r>
              <w:rPr>
                <w:rFonts w:hint="eastAsia" w:ascii="方正书宋_GBK" w:eastAsia="方正书宋_GBK"/>
              </w:rPr>
              <w:t>、车辆（台、辆）</w:t>
            </w:r>
          </w:p>
        </w:tc>
        <w:tc>
          <w:tcPr>
            <w:tcW w:w="4933" w:type="dxa"/>
            <w:vAlign w:val="center"/>
          </w:tcPr>
          <w:p>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7</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93</w:t>
            </w:r>
            <w:r>
              <w:rPr>
                <w:rFonts w:hint="eastAsia" w:ascii="方正书宋_GBK" w:eastAsia="方正书宋_GBK"/>
                <w:lang w:val="en-US" w:eastAsia="zh-CN"/>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4933" w:type="dxa"/>
            <w:vAlign w:val="center"/>
          </w:tcPr>
          <w:p>
            <w:pPr>
              <w:spacing w:line="300" w:lineRule="exact"/>
              <w:jc w:val="center"/>
              <w:rPr>
                <w:rFonts w:ascii="方正书宋_GBK" w:hAnsi="Times New Roman" w:eastAsia="方正书宋_GBK"/>
                <w:sz w:val="24"/>
                <w:szCs w:val="24"/>
                <w:lang w:val="en-US" w:eastAsia="uk-UA" w:bidi="ar-SA"/>
              </w:rPr>
            </w:pPr>
          </w:p>
        </w:tc>
        <w:tc>
          <w:tcPr>
            <w:tcW w:w="4933" w:type="dxa"/>
            <w:vAlign w:val="center"/>
          </w:tcPr>
          <w:p>
            <w:pPr>
              <w:spacing w:line="300" w:lineRule="exact"/>
              <w:jc w:val="right"/>
              <w:rPr>
                <w:rFonts w:ascii="方正书宋_GBK" w:hAnsi="Times New Roman" w:eastAsia="方正书宋_GBK"/>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4</w:t>
            </w:r>
            <w:r>
              <w:rPr>
                <w:rFonts w:hint="eastAsia" w:ascii="方正书宋_GBK" w:eastAsia="方正书宋_GBK"/>
              </w:rPr>
              <w:t>、其他固定资产</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7500</w:t>
            </w:r>
          </w:p>
        </w:tc>
        <w:tc>
          <w:tcPr>
            <w:tcW w:w="4933" w:type="dxa"/>
            <w:vAlign w:val="center"/>
          </w:tcPr>
          <w:p>
            <w:pPr>
              <w:spacing w:line="300" w:lineRule="exact"/>
              <w:jc w:val="right"/>
              <w:rPr>
                <w:rFonts w:hint="default" w:ascii="方正书宋_GBK" w:hAnsi="Times New Roman" w:eastAsia="方正书宋_GBK"/>
                <w:sz w:val="24"/>
                <w:szCs w:val="24"/>
                <w:lang w:val="en-US" w:eastAsia="uk-UA" w:bidi="ar-SA"/>
              </w:rPr>
            </w:pPr>
            <w:r>
              <w:rPr>
                <w:rFonts w:hint="eastAsia" w:ascii="方正书宋_GBK" w:eastAsia="方正书宋_GBK"/>
                <w:lang w:val="en-US" w:eastAsia="zh-CN"/>
              </w:rPr>
              <w:t>1247.99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val="0"/>
        <w:kinsoku/>
        <w:wordWrap/>
        <w:overflowPunct/>
        <w:topLinePunct w:val="0"/>
        <w:autoSpaceDE/>
        <w:autoSpaceDN/>
        <w:bidi w:val="0"/>
        <w:adjustRightInd/>
        <w:snapToGrid/>
        <w:ind w:firstLine="560" w:firstLineChars="200"/>
        <w:textAlignment w:val="auto"/>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271C73"/>
    <w:rsid w:val="008C4773"/>
    <w:rsid w:val="114C5FF1"/>
    <w:rsid w:val="2C0B5436"/>
    <w:rsid w:val="2C271C73"/>
    <w:rsid w:val="304D6AAB"/>
    <w:rsid w:val="42CD30A6"/>
    <w:rsid w:val="49935043"/>
    <w:rsid w:val="4BFA3C3A"/>
    <w:rsid w:val="4CA9721C"/>
    <w:rsid w:val="689858B7"/>
    <w:rsid w:val="7336416D"/>
    <w:rsid w:val="7A2408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7343</Words>
  <Characters>8292</Characters>
  <Lines>0</Lines>
  <Paragraphs>0</Paragraphs>
  <TotalTime>39</TotalTime>
  <ScaleCrop>false</ScaleCrop>
  <LinksUpToDate>false</LinksUpToDate>
  <CharactersWithSpaces>8661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2023-07-24T01:01:00Z</dcterms:created>
  <dc:creator>Lenovo</dc:creator>
  <cp:lastModifiedBy>Lenovo</cp:lastModifiedBy>
  <dcterms:modified xsi:type="dcterms:W3CDTF">2024-12-10T08:25:35Z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0F268CCDDFAE48DFA949AF32B4D01647</vt:lpwstr>
  </property>
</Properties>
</file>