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59264" behindDoc="1" locked="0" layoutInCell="1" allowOverlap="1">
            <wp:simplePos x="0" y="0"/>
            <wp:positionH relativeFrom="margin">
              <wp:posOffset>-2959735</wp:posOffset>
            </wp:positionH>
            <wp:positionV relativeFrom="margin">
              <wp:posOffset>796290</wp:posOffset>
            </wp:positionV>
            <wp:extent cx="11083290" cy="7844790"/>
            <wp:effectExtent l="0" t="0" r="3810" b="3810"/>
            <wp:wrapNone/>
            <wp:docPr id="73" name="背景 耗崽"/>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true"/>
                    </pic:cNvPicPr>
                  </pic:nvPicPr>
                  <pic:blipFill>
                    <a:blip r:embed="rId13">
                      <a:extLst>
                        <a:ext uri="{28A0092B-C50C-407E-A947-70E740481C1C}">
                          <a14:useLocalDpi xmlns:a14="http://schemas.microsoft.com/office/drawing/2010/main" val="false"/>
                        </a:ext>
                      </a:extLst>
                    </a:blip>
                    <a:stretch>
                      <a:fillRect/>
                    </a:stretch>
                  </pic:blipFill>
                  <pic:spPr>
                    <a:xfrm rot="16200000">
                      <a:off x="0" y="0"/>
                      <a:ext cx="11083290" cy="7844790"/>
                    </a:xfrm>
                    <a:prstGeom prst="rect">
                      <a:avLst/>
                    </a:prstGeom>
                  </pic:spPr>
                </pic:pic>
              </a:graphicData>
            </a:graphic>
          </wp:anchor>
        </w:drawing>
      </w: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true"/>
                    </pic:cNvPicPr>
                  </pic:nvPicPr>
                  <pic:blipFill>
                    <a:blip r:embed="rId14"/>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5"/>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true"/>
                    </pic:cNvPicPr>
                  </pic:nvPicPr>
                  <pic:blipFill>
                    <a:blip r:embed="rId16"/>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false"/>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FBgAAAAAAAAAAAAAAAAAAAAAAAFBLAwQKAAAAAACHTuJAAAAAAAAAAAAAAAAABAAAAGRycy9Q&#10;SwMEFAAAAAgAh07iQOnUh9fdAAAADAEAAA8AAABkcnMvZG93bnJldi54bWxNj8FOwzAQRO9I/IO1&#10;SNxaJzhNQ4hToQo4VUi0SFVv23ibRI3tKHaT9u8xJziu9mnmTbG66o6NNLjWGgnxPAJGprKqNbWE&#10;7937LAPmPBqFnTUk4UYOVuX9XYG5spP5onHraxZCjMtRQuN9n3PuqoY0urntyYTfyQ4afTiHmqsB&#10;pxCuO/4URSnX2JrQ0GBP64aq8/aiJXxMOL2K+G3cnE/r22G3+NxvYpLy8SGOXoB5uvo/GH71gzqU&#10;weloL0Y51kmYJSITgZUgRBpGBOQ5WybAjhIWabIEXhb8/4jyB1BLAwQUAAAACACHTuJABWYNEJsD&#10;AAA3DAAADgAAAGRycy9lMm9Eb2MueG1szVbLbtw2FN0X6D8Q2tt6Ui94HLh5eFM0AZJ+AC1RIwGS&#10;SJDyzHjfRZf9gwLd5RuCfk7Q3+i9pCjPjBM7tYsks5BI8T7PvecOz57thp5suNKdGFdeeBp4hI+V&#10;qLtxvfJ+fffqJPeInthYs16MfOXdcO09O//xh7OtLHkkWtHXXBEwMupyK1deO02y9H1dtXxg+lRI&#10;PsJhI9TAJtiqtV8rtgXrQ+9HQZD6W6FqqUTFtYavL+yhd27sNw2vptdNo/lE+pUHsU3mqczzCp/+&#10;+Rkr14rJtqvmMNgjohhYN4LTxdQLNjFyrbo7poauUkKLZjqtxOCLpukqbnKAbMLgKJtLJa6lyWVd&#10;btdygQmgPcLp0WarXzZvFOnqlRd5ZGQDlOifD799/ON3EiE2W7kuQeRSybfyjZo/rO0O0901asA3&#10;JEJ2BtWbBVW+m0gFH4uAxmFBPVLBWZgkWRBmFveqheKg3klMg8QjcJ7E+XL4cjYQFlBpqx5lYYq6&#10;vnPtY4RLQFsJXaRvgdJPA+ptyyQ3+GtEYQYqDjJIZsbqz/cf//6LhIUFy4gtSOlSA2ifgOkkzsOj&#10;bB1YYR4DEIhUlFCDxJIqK6XS0yUXA8HFylPQ3abp2OZnPVlUnAh61aLv6ldd35uNWl897xXZMGRC&#10;mKUXP81AHoj1I9lCyWhEjeVRoL413Y+AOyJss8LVlahvABU2Vq0AUlWT8ubN8wn2Des1N17mwmBD&#10;fZ0KFUcVipL/WCHXkGlBY1Rl5VKiMA9dN1MzQfZKVF3bEqGCKwtMhdoWCL61blXtRliiHKwANSB1&#10;YDCXQh9xCeyDzOdFsySNEwgTCZSmthkf1KFBmhRAK9Ap8hToZ6t8r6NHiTuIjGUb1pw4NvC9g1my&#10;CfHCzHGJrZlRaN4YhlULcSe0iA1mg9jwd8LITXfBuz3tx32pLKF5FtmkUhhBMwROyL2lMbk4RsCM&#10;Y0cLa/JQekbqC+WOPVe90Nyax7zNvFuwQAj3uuyAvnqf5S/pxQXMEESF9bJllvthgL851VneODgw&#10;9Jg5gAF/baLnAPTBKIbBBXFgGDCxHx7FeRzbUXyX51mcfl80T9KsyHD0QAe6At5L132FIqeF+Zd6&#10;aDDQjFKglxkLX6him/0gpCfzHGJPQ7gLOJ4nT+D5YmsPOEdX97Yk35dEkrup6KTc20oDVOEt0e+X&#10;PcTI2fl/iD7/nX8bopsbGNxOzQyZb9J4/d3fm8Fwe98//x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nBgAAW0NvbnRlbnRfVHlwZXNdLnhtbFBL&#10;AQIUAAoAAAAAAIdO4kAAAAAAAAAAAAAAAAAGAAAAAAAAAAAAEAAAAAkFAABfcmVscy9QSwECFAAU&#10;AAAACACHTuJAihRmPNEAAACUAQAACwAAAAAAAAABACAAAAAtBQAAX3JlbHMvLnJlbHNQSwECFAAK&#10;AAAAAACHTuJAAAAAAAAAAAAAAAAABAAAAAAAAAAAABAAAAAWAAAAZHJzL1BLAQIUABQAAAAIAIdO&#10;4kDp1IfX3QAAAAwBAAAPAAAAAAAAAAEAIAAAADgAAABkcnMvZG93bnJldi54bWxQSwECFAAUAAAA&#10;CACHTuJABWYNEJsDAAA3DAAADgAAAAAAAAABACAAAABCAQAAZHJzL2Uyb0RvYy54bWxQSwUGAAAA&#10;AAYABgBZAQAATwcAAAAA&#10;">
                <o:lock v:ext="edit" aspectratio="f"/>
                <v:rect id="矩形 19" o:spid="_x0000_s1026" o:spt="1" style="position:absolute;left:-381;top:4387;height:2457;width:1834;v-text-anchor:middle;" fillcolor="#0176AB" filled="t" stroked="f" coordsize="21600,21600" o:gfxdata="UEsFBgAAAAAAAAAAAAAAAAAAAAAAAFBLAwQKAAAAAACHTuJAAAAAAAAAAAAAAAAABAAAAGRycy9Q&#10;SwMEFAAAAAgAh07iQN/4/e/AAAAA3QAAAA8AAABkcnMvZG93bnJldi54bWxFj0FrwkAUhO9C/8Py&#10;Cr3pbrRViW48WKQV7MGYg8dH9jVJm30bslu1/npXKPQ4zMw3zHJ1sa04Ue8bxxqSkQJBXDrTcKWh&#10;OGyGcxA+IBtsHZOGX/Kwyh4GS0yNO/OeTnmoRISwT1FDHUKXSunLmiz6keuIo/fpeoshyr6Spsdz&#10;hNtWjpWaSosNx4UaO1rXVH7nP1bDbjr+oPy1OIav9dsWC9xd+bnU+ukxUQsQgS7hP/zXfjcaJmr2&#10;Avc38QnI7AZ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3/j978AAAADdAAAADwAAAAAAAAABACAAAAA4AAAAZHJzL2Rvd25y&#10;ZXYueG1sUEsBAhQAFAAAAAgAh07iQDMvBZ47AAAAOQAAABAAAAAAAAAAAQAgAAAAJQEAAGRycy9z&#10;aGFwZXhtbC54bWxQSwUGAAAAAAYABgBbAQAAzwMAAAAA&#10;">
                  <v:fill on="t" focussize="0,0"/>
                  <v:stroke on="f"/>
                  <v:imagedata o:title=""/>
                  <o:lock v:ext="edit" aspectratio="f"/>
                </v:rect>
                <v:shape id="矩形 24" o:spid="_x0000_s1026" o:spt="100" style="position:absolute;left:-3504;top:6953;height:150;width:11815;" fillcolor="#E5AA57" filled="t" stroked="f" coordsize="7501732,94593" o:gfxdata="UEsFBgAAAAAAAAAAAAAAAAAAAAAAAFBLAwQKAAAAAACHTuJAAAAAAAAAAAAAAAAABAAAAGRycy9Q&#10;SwMEFAAAAAgAh07iQHx1fo7AAAAA3QAAAA8AAABkcnMvZG93bnJldi54bWxFj0FrAjEUhO9C/0N4&#10;hV5EE6tYuzVKKSjiRbQi9PbcPDdLNy/bTarrvzdCocdhZr5hpvPWVeJMTSg9axj0FQji3JuSCw37&#10;z0VvAiJEZIOVZ9JwpQDz2UNnipnxF97SeRcLkSAcMtRgY6wzKUNuyWHo+5o4eSffOIxJNoU0DV4S&#10;3FXyWamxdFhyWrBY04el/Hv36zQcunbTLlbHE9vlaPs+vq6/jupH66fHgXoDEamN/+G/9spoGKqX&#10;V7i/SU9Azm5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fHV+jsAAAADdAAAADwAAAAAAAAABACAAAAA4AAAAZHJzL2Rvd25y&#10;ZXYueG1sUEsBAhQAFAAAAAgAh07iQDMvBZ47AAAAOQAAABAAAAAAAAAAAQAgAAAAJQEAAGRycy9z&#10;aGFwZXhtbC54bWxQSwUGAAAAAAYABgBbAQAAzwM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FBgAAAAAAAAAAAAAAAAAAAAAAAFBLAwQKAAAAAACHTuJAAAAAAAAAAAAAAAAABAAAAGRycy9Q&#10;SwMEFAAAAAgAh07iQF9GhB25AAAA3QAAAA8AAABkcnMvZG93bnJldi54bWxFT02LwjAQvS/sfwiz&#10;4GXRRIVFqlHYFdFrq+B1aMa22kxKEm399+Yg7PHxvlebwbbiQT40jjVMJwoEcelMw5WG03E3XoAI&#10;Edlg65g0PCnAZv35scLMuJ5zehSxEimEQ4Ya6hi7TMpQ1mQxTFxHnLiL8xZjgr6SxmOfwm0rZ0r9&#10;SIsNp4YaO/qrqbwVd6sBv0+F7Yv8Wu620p+H3/x43Q9aj76magki0hD/xW/3wWiYq0Xan96kJyDX&#10;L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fRoQduQAAAN0AAAAPAAAAAAAAAAEAIAAAADgAAABkcnMvZG93bnJldi54bWxQ&#10;SwECFAAUAAAACACHTuJAMy8FnjsAAAA5AAAAEAAAAAAAAAABACAAAAAeAQAAZHJzL3NoYXBleG1s&#10;LnhtbFBLBQYAAAAABgAGAFsBAADIAwAAAAA=&#10;" path="m0,0l4676187,0,4676187,94594,57510,94594,0,0xe">
                  <v:path o:connectlocs="0,0;4679715,0;4679715,98599;57552,98599;0,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true"/>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true"/>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FBgAAAAAAAAAAAAAAAAAAAAAAAFBLAwQKAAAAAACHTuJAAAAAAAAAAAAAAAAABAAAAGRycy9Q&#10;SwMEFAAAAAgAh07iQJUHC8XbAAAACwEAAA8AAABkcnMvZG93bnJldi54bWxNj01rwkAQhu+F/odl&#10;Cr3p5kuraTZSpO1JClVBehuTMQlmZ0N2TfTfdz21txnm4Z3nzVZX3YqBetsYVhBOAxDEhSkbrhTs&#10;dx+TBQjrkEtsDZOCG1lY5Y8PGaalGfmbhq2rhA9hm6KC2rkuldIWNWm0U9MR+9vJ9BqdX/tKlj2O&#10;Ply3MgqCudTYsP9QY0frmorz9qIVfI44vsXh+7A5n9a3n93s67AJSannpzB4BeHo6v5guOt7dci9&#10;09FcuLSiVTBJksij92EZg/DEYhnPQBwVRMnLHGSeyf8d8l9QSwMEFAAAAAgAh07iQEBkH/IoAwAA&#10;/AgAAA4AAABkcnMvZTJvRG9jLnhtbM1Wy47TMBTdI/EPVvZMmmeTaNoRTJnZIBhp4APcxHlISRxs&#10;t+nsEbBCrNiAkFjAapbsWPA1dPgMru0knUcRYnh24Tq27/W9x8fnendvVZVoSRgvaD0xrJ2RgUgd&#10;06Sos4nx6OHBrcBAXOA6wSWtycQ4IdzYm968sds2EbFpTsuEMAROah61zcTIhWgi0+RxTirMd2hD&#10;aphMKauwgE+WmQnDLXivStMejXyzpSxpGI0J5zA605PGVPlPUxKLB2nKiUDlxIDYhGqZaueyNae7&#10;OMoYbvIi7sLA14iiwkUNmw6uZlhgtGDFFVdVETPKaSp2YlqZNE2LmKgcIBtrdCmbQ0YXjcoli9qs&#10;GWACaC/hdG238f3lEUNFAmdnoBpXcERnn558efkcWRKbtskiWHLImuPmiHUDmf6S6a5SVsl/SASt&#10;FKonA6pkJVAMg17ouU7oGSiGOSsIPMfyNO5xDocj7Sx7FAJR1LyjNsZRnN/tHITOeKyt7dAPpanZ&#10;72zKAId42gZIxDc48V/D6TjHDVHwcwlCh1MQ9kCtXz1bvzldv3uKHFuDpdZJpJBY3aGQmGAL0k9x&#10;GN+CmeU4NoBzIfceOtf17Q43xw0uZI6jhnFxSGiFZGdiMOC6oiBe3uNCg9QvkdvW9KAoSzkuYdLB&#10;yJ5YzVfqYHk0p8kJxN7CdZgY/PECM2IgJsp9qm6P9nJ7IWhaqA2kubbpvAL4mjPqSP4sX/3+GDq+&#10;+hrnn+LrhneOFTrSAY567Dess/zRWM8NhPUtC2gAZ2YHbme3ja+95b/kazhc7N/D1y2pb4HMtdU1&#10;HhL/n+n6F0TDHcj6+uP6xfuvn99Ce3b6AbmatUo49utOYvvr2avcoK++bQPtgXau63W1q8c+GI+g&#10;vkmJVRPfB74sailqOPqRTuCorFErKe6NpXpLUUhLLKBbNVAweJ0ZCJcZ1P1YMOWS07JIpMxI/5xl&#10;8/2SoSUG9QCNkzVAjec4IXrUG8FPIgDhdst1/7wfKWIzzHNtwk/4jAp9HatCwOOhLKqJEUhPvauy&#10;vqJyWqZ69VM6takdarUqsWr37jkga/j5b7Vq82iZ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WAAAAZHJzL1BLAQIUABQAAAAIAIdO4kCV&#10;BwvF2wAAAAsBAAAPAAAAAAAAAAEAIAAAADgAAABkcnMvZG93bnJldi54bWxQSwECFAAUAAAACACH&#10;TuJAQGQf8igDAAD8CAAADgAAAAAAAAABACAAAABAAQAAZHJzL2Uyb0RvYy54bWxQSwUGAAAAAAYA&#10;BgBZAQAA2gYAAAAA&#10;">
                <o:lock v:ext="edit" aspectratio="f"/>
                <v:shape id="文本框 32" o:spid="_x0000_s1026" o:spt="202" type="#_x0000_t202" style="position:absolute;left:13325;top:1831;height:1348;width:4462;" filled="f" stroked="f" coordsize="21600,21600" o:gfxdata="UEsFBgAAAAAAAAAAAAAAAAAAAAAAAFBLAwQKAAAAAACHTuJAAAAAAAAAAAAAAAAABAAAAGRycy9Q&#10;SwMEFAAAAAgAh07iQDqDuuy7AAAA2wAAAA8AAABkcnMvZG93bnJldi54bWxFj0+LwjAUxO+C3yE8&#10;YW+auKyi1ehBWfDk4l/w9miebbF5KU209dtvBMHjMDO/YebL1pbiQbUvHGsYDhQI4tSZgjMNx8Nv&#10;fwLCB2SDpWPS8CQPy0W3M8fEuIZ39NiHTEQI+wQ15CFUiZQ+zcmiH7iKOHpXV1sMUdaZNDU2EW5L&#10;+a3UWFosOC7kWNEqp/S2v1sNp+31cv5Rf9najqrGtUqynUqtv3pDNQMRqA2f8Lu9MRomU3h9iT9A&#10;Lv4B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qDuuy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FBgAAAAAAAAAAAAAAAAAAAAAAAFBLAwQKAAAAAACHTuJAAAAAAAAAAAAAAAAABAAAAGRycy9Q&#10;SwMEFAAAAAgAh07iQIQg1wy9AAAA2gAAAA8AAABkcnMvZG93bnJldi54bWxFj0FrwkAUhO8F/8Py&#10;BG91k0pFomsQscVDKFQF8fbIPpOQ7NuQ3Sbm37uFQo/DzHzDbNKHaURPnassK4jnEQji3OqKCwWX&#10;88frCoTzyBoby6RgJAfpdvKywUTbgb+pP/lCBAi7BBWU3reJlC4vyaCb25Y4eHfbGfRBdoXUHQ4B&#10;bhr5FkVLabDisFBiS/uS8vr0YxR8DjjsFvGhz+r7fryd37+uWUxKzaZxtAbh6eH/w3/to1awhN8r&#10;4QbI7RNQSwMEFAAAAAgAh07iQDMvBZ47AAAAOQAAABUAAABkcnMvZ3JvdXBzaGFwZXhtbC54bWyz&#10;sa/IzVEoSy0qzszPs1Uy1DNQUkjNS85PycxLt1UKDXHTtVBSKC5JzEtJzMnPS7VVqkwtVrK34+UC&#10;AFBLAwQKAAAAAACHTuJAAAAAAAAAAAAAAAAABgAAAF9yZWxzL1BLAwQUAAAACACHTuJACS23BNMA&#10;AACZAQAACwAAAF9yZWxzLy5yZWxzpZBBSwMxEIXvgv8hzN3NtgcRabY3oddawWtIZrPBTSbMxNX+&#10;e1NEcKU3D3OYecz3Hm+3/0yzWpAlUjaw6XpQmB35mIOBl9PT3QMoqTZ7O1NGA2cU2A+3N7sjzra2&#10;J5liEdUoWQxMtZZHrcVNmKx0VDA3ZSROtraVgy7WvdmAetv395p/M2BYMdXBG+CD34I6nUtz/sNO&#10;0TEJjbVzlDSNY3TXqDowvZfnyRZ8TXNjWQ5YDXiWb0kuUgvZtQF9PcPmnxk8feQjLmv3y5Fx+fHV&#10;q0KHL1BLAwQUAAAACACHTuJAVH3oJ/4AAADsAQAAEwAAAFtDb250ZW50X1R5cGVzXS54bWyVkctO&#10;wzAQRfdI/IPlLUocWCCEmnRBgB0gKB8wsieJRWJbHje0f8+4jw2iSF3aM/eeI3ux3EyjmDGS9a6W&#10;12UlBTrtjXV9LT9XT8WdFJTAGRi9w1pukeSyubxYrLYBSXDaUS2HlMK9UqQHnIBKH9DxpPNxgsTH&#10;2KsA+gt6VDdVdau0dwldKlLukM2ixQ7WYxKPG77em0QcSYqH/WJm1RJCGK2GxKZqduYXpTgQSk7u&#10;dmiwga5YQ6o/CXlyGnDIvfLTRGtQvEFMLzCxhjKRlPHfLuJc/l+SLScqfNdZjWUbqeXYO85Hq1Pt&#10;ffTrQAME5P5zGc85/JHDR4za/VXzA1BLAQIUABQAAAAIAIdO4kBUfegn/gAAAOwBAAATAAAAAAAA&#10;AAEAIAAAALACAABbQ29udGVudF9UeXBlc10ueG1sUEsBAhQACgAAAAAAh07iQAAAAAAAAAAAAAAA&#10;AAYAAAAAAAAAAAAQAAAAkAEAAF9yZWxzL1BLAQIUABQAAAAIAIdO4kAJLbcE0wAAAJkBAAALAAAA&#10;AAAAAAEAIAAAALQBAABfcmVscy8ucmVsc1BLAQIUAAoAAAAAAIdO4kAAAAAAAAAAAAAAAAAEAAAA&#10;AAAAAAAAEAAAABYAAABkcnMvUEsBAhQAFAAAAAgAh07iQIQg1wy9AAAA2gAAAA8AAAAAAAAAAQAg&#10;AAAAOAAAAGRycy9kb3ducmV2LnhtbFBLAQIUABQAAAAIAIdO4kAzLwWeOwAAADkAAAAVAAAAAAAA&#10;AAEAIAAAACIBAABkcnMvZ3JvdXBzaGFwZXhtbC54bWxQSwUGAAAAAAYABgBgAQAA3wMAAAAA&#10;">
                  <o:lock v:ext="edit" aspectratio="f"/>
                  <v:shape id="文本框 32" o:spid="_x0000_s1026" o:spt="202" type="#_x0000_t202" style="position:absolute;left:6119;top:2843;height:1421;width:9377;" filled="f" stroked="f" coordsize="21600,21600" o:gfxdata="UEsFBgAAAAAAAAAAAAAAAAAAAAAAAFBLAwQKAAAAAACHTuJAAAAAAAAAAAAAAAAABAAAAGRycy9Q&#10;SwMEFAAAAAgAh07iQEEsIDe7AAAA2wAAAA8AAABkcnMvZG93bnJldi54bWxFj0+LwjAUxO+C3yE8&#10;YW+adFkXrUYPyoInF/+Ct0fzbIvNS2mird9+Iwh7HGbmN8x82dlKPKjxpWMNyUiBIM6cKTnXcDz8&#10;DCcgfEA2WDkmDU/ysFz0e3NMjWt5R499yEWEsE9RQxFCnUrps4Is+pGriaN3dY3FEGWTS9NgG+G2&#10;kp9KfUuLJceFAmtaFZTd9ner4bS9Xs5f6jdf23Hduk5JtlOp9ccgUTMQgbrwH363N0bDNIHXl/gD&#10;5OI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EsIDe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FBgAAAAAAAAAAAAAAAAAAAAAAAFBLAwQKAAAAAACHTuJAAAAAAAAAAAAAAAAABAAAAGRycy9Q&#10;SwMEFAAAAAgAh07iQPtPjOe+AAAA2gAAAA8AAABkcnMvZG93bnJldi54bWxFj0FrwkAUhO9C/8Py&#10;Ct50Vy1SUlcpUsUeetAK9vjMPpO02bcxu03iv3cFweMwM98ws0VnS9FQ7QvHGkZDBYI4dabgTMP+&#10;ezV4BeEDssHSMWm4kIfF/Kk3w8S4lrfU7EImIoR9ghryEKpESp/mZNEPXUUcvZOrLYYo60yaGtsI&#10;t6UcKzWVFguOCzlWtMwp/dv9Ww3rz/breP59p6bs1HQ5uWw+Du2P1v3nkXoDEagLj/C9vTEaXuB2&#10;Jd4AOb8C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PtPjOe+AAAA2gAAAA8AAAAAAAAAAQAgAAAAOAAAAGRycy9kb3ducmV2&#10;LnhtbFBLAQIUABQAAAAIAIdO4kAzLwWeOwAAADkAAAAQAAAAAAAAAAEAIAAAACMBAABkcnMvc2hh&#10;cGV4bWwueG1sUEsFBgAAAAAGAAYAWwEAAM0DA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true"/>
                    </pic:cNvPicPr>
                  </pic:nvPicPr>
                  <pic:blipFill>
                    <a:blip r:embed="rId17"/>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true"/>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FBgAAAAAAAAAAAAAAAAAAAAAAAFBLAwQKAAAAAACHTuJAAAAAAAAAAAAAAAAABAAAAGRycy9Q&#10;SwMEFAAAAAgAh07iQFmpZa/YAAAACwEAAA8AAABkcnMvZG93bnJldi54bWxNj01PwzAMhu9I/IfI&#10;SNy2ZOs2rV3dHUBcQYwPabes9dqKxqmabC3/HnOCmy0/ev28+X5ynbrSEFrPCIu5AUVc+qrlGuH9&#10;7Wm2BRWi5cp2ngnhmwLsi9ub3GaVH/mVrodYKwnhkFmEJsY+0zqUDTkb5r4nltvZD85GWYdaV4Md&#10;Jdx1emnMRjvbsnxobE8PDZVfh4tD+Hg+Hz9X5qV+dOt+9JPR7FKNeH+3MDtQkab4B8OvvqhDIU4n&#10;f+EqqA5hlqSpoAjLdSIdhNjKBOqEkKySDegi1/87FD9QSwMEFAAAAAgAh07iQOLVg7+iAQAAFAMA&#10;AA4AAABkcnMvZTJvRG9jLnhtbK1SzW4TMRC+I/UdLN/JbpMW6CpORanKBUGl0gdwvHbW0tpjxk52&#10;8wLwBpy4cO9z5Tk6dtK0ghviMrbn55tvvvH8cnQ922iMFrzgp5OaM+0VtNavBL//evP6HWcxSd/K&#10;HrwWfKsjv1ycvJoPodFT6KBvNTIC8bEZguBdSqGpqqg67WScQNCeggbQyURPXFUtyoHQXV9N6/pN&#10;NQC2AUHpGMl7vQ/yRcE3Rqv0xZioE+sFJ26pWCx2mW21mMtmhTJ0Vh1oyH9g4aT11PQIdS2TZGu0&#10;f0E5qxAimDRR4CowxipdZqBpTus/prnrZNBlFhInhqNM8f/Bqs+bW2S2FfyCNuWlox3tfv7Y/XrY&#10;/f7OZrMs0BBiQ3l3gTLTeAWj4AnX+ikUyZ9HHw26fNJQjFJI7e1RYT0mpsh5fnZxVk8ppCh2/rae&#10;zsoKqufqgDF91OBYvgiOtMEirNx8ionIUOpTSm7m4cb2ffZnlnsq+ZbG5XigvoR2S8wHWrLg8dta&#10;ouYMU/8Byp/Yo7xfJzC2NMjl+5oDKklf+h6+Sd7ty3fJev7Mi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WAAAAZHJzL1BLAQIUABQAAAAI&#10;AIdO4kBZqWWv2AAAAAsBAAAPAAAAAAAAAAEAIAAAADgAAABkcnMvZG93bnJldi54bWxQSwECFAAU&#10;AAAACACHTuJA4tWDv6IBAAAUAwAADgAAAAAAAAABACAAAAA9AQAAZHJzL2Uyb0RvYy54bWxQSwUG&#10;AAAAAAYABgBZAQAAU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 w:hAnsi="楷体" w:eastAsia="楷体" w:cs="楷体"/>
          <w:color w:val="000000"/>
          <w:sz w:val="40"/>
          <w:szCs w:val="40"/>
          <w:lang w:val="en-US" w:eastAsia="zh-CN"/>
        </w:rPr>
        <w:t>382001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 w:hAnsi="楷体" w:eastAsia="楷体" w:cs="楷体"/>
          <w:color w:val="000000"/>
          <w:sz w:val="40"/>
          <w:szCs w:val="40"/>
        </w:rPr>
        <w:t>石家庄市地方金融监督管理局</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 w:hAnsi="楷体" w:eastAsia="楷体" w:cs="楷体"/>
          <w:color w:val="000000"/>
          <w:sz w:val="40"/>
          <w:szCs w:val="40"/>
        </w:rPr>
      </w:pPr>
      <w:r>
        <w:rPr>
          <w:rFonts w:hint="eastAsia" w:ascii="楷体" w:hAnsi="楷体" w:eastAsia="楷体" w:cs="楷体"/>
          <w:color w:val="000000"/>
          <w:sz w:val="40"/>
          <w:szCs w:val="40"/>
        </w:rPr>
        <w:t>二〇二四</w:t>
      </w:r>
      <w:r>
        <w:rPr>
          <w:rFonts w:hint="eastAsia" w:ascii="楷体" w:hAnsi="楷体" w:eastAsia="楷体" w:cs="楷体"/>
          <w:color w:val="000000"/>
          <w:sz w:val="40"/>
          <w:szCs w:val="40"/>
          <w:lang w:eastAsia="zh-CN"/>
        </w:rPr>
        <w:t>年九</w:t>
      </w:r>
      <w:r>
        <w:rPr>
          <w:rFonts w:hint="eastAsia" w:ascii="楷体" w:hAnsi="楷体" w:eastAsia="楷体" w:cs="楷体"/>
          <w:color w:val="000000"/>
          <w:sz w:val="40"/>
          <w:szCs w:val="40"/>
        </w:rPr>
        <w:t>月</w:t>
      </w:r>
    </w:p>
    <w:p>
      <w:pPr>
        <w:rPr>
          <w:rFonts w:ascii="黑体" w:hAnsi="黑体" w:eastAsia="黑体" w:cs="黑体"/>
          <w:sz w:val="56"/>
          <w:szCs w:val="72"/>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sz w:val="40"/>
          <w:szCs w:val="40"/>
        </w:rPr>
        <w:br w:type="page"/>
      </w:r>
      <w:bookmarkStart w:id="0" w:name="_GoBack"/>
      <w:bookmarkEnd w:id="0"/>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lang w:val="en-US" w:eastAsia="zh-CN"/>
        </w:rPr>
        <w:t xml:space="preserve">     </w:t>
      </w: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left"/>
        <w:textAlignment w:val="auto"/>
        <w:outlineLvl w:val="9"/>
        <w:rPr>
          <w:rFonts w:hint="eastAsia" w:ascii="仿宋" w:hAnsi="仿宋" w:eastAsia="仿宋" w:cs="仿宋"/>
          <w:sz w:val="32"/>
          <w:szCs w:val="32"/>
          <w:lang w:val="en-US"/>
        </w:rPr>
      </w:pPr>
      <w:r>
        <w:rPr>
          <w:rFonts w:hint="eastAsia" w:ascii="仿宋" w:hAnsi="仿宋" w:eastAsia="仿宋" w:cs="仿宋"/>
          <w:i w:val="0"/>
          <w:iCs w:val="0"/>
          <w:caps w:val="0"/>
          <w:color w:val="000000"/>
          <w:spacing w:val="0"/>
          <w:sz w:val="32"/>
          <w:szCs w:val="32"/>
          <w:highlight w:val="none"/>
          <w:shd w:val="clear" w:fill="FFFFFF"/>
        </w:rPr>
        <w:t> </w:t>
      </w:r>
      <w:r>
        <w:rPr>
          <w:rFonts w:hint="eastAsia" w:ascii="仿宋" w:hAnsi="仿宋" w:eastAsia="仿宋" w:cs="仿宋"/>
          <w:color w:val="auto"/>
          <w:kern w:val="2"/>
          <w:sz w:val="32"/>
          <w:szCs w:val="32"/>
          <w:lang w:val="en-US" w:eastAsia="zh-CN" w:bidi="ar"/>
        </w:rPr>
        <w:t>(一)统筹协调辖区内金融相关工作，牵头开展全市金融安全稳定和改革发展的规划、政策、问题等研究，负责组织起草有关金融方面的地方性法规、政府规章草案，拟订全市金融业发展规划和政策措施，提出加强金融监管和风险防控的建议。</w:t>
      </w:r>
    </w:p>
    <w:p>
      <w:pPr>
        <w:keepNext w:val="0"/>
        <w:keepLines w:val="0"/>
        <w:pageBreakBefore w:val="0"/>
        <w:widowControl w:val="0"/>
        <w:suppressLineNumbers w:val="0"/>
        <w:suppressAutoHyphens/>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仿宋" w:hAnsi="仿宋" w:eastAsia="仿宋" w:cs="仿宋"/>
          <w:sz w:val="32"/>
          <w:szCs w:val="32"/>
          <w:lang w:val="en-US"/>
        </w:rPr>
      </w:pPr>
      <w:r>
        <w:rPr>
          <w:rFonts w:hint="eastAsia" w:ascii="仿宋" w:hAnsi="仿宋" w:eastAsia="仿宋" w:cs="仿宋"/>
          <w:color w:val="auto"/>
          <w:kern w:val="2"/>
          <w:sz w:val="32"/>
          <w:szCs w:val="32"/>
          <w:lang w:val="en-US" w:eastAsia="zh-CN" w:bidi="ar"/>
        </w:rPr>
        <w:t>(二)协调组织全市金融风险防范和处置化解，推动各县（市、区）落实属地责任，配合上级金融管理部门做好重大金融风险处置工作。协调做好辖区内地方中小金融机构、农村金融机构、其他金融机构和私募基金管理机构的风险处置。配合上级金融管理部门打击非法金融活动，组织开展防范和处置非法集资工作，做好有关金融消费者权益保护工作。负责推动加强全市金融风险监测预警、分析研判和信息共享。</w:t>
      </w:r>
    </w:p>
    <w:p>
      <w:pPr>
        <w:keepNext w:val="0"/>
        <w:keepLines w:val="0"/>
        <w:pageBreakBefore w:val="0"/>
        <w:widowControl w:val="0"/>
        <w:suppressLineNumbers w:val="0"/>
        <w:suppressAutoHyphens/>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仿宋" w:hAnsi="仿宋" w:eastAsia="仿宋" w:cs="仿宋"/>
          <w:sz w:val="32"/>
          <w:szCs w:val="32"/>
          <w:lang w:val="en-US"/>
        </w:rPr>
      </w:pPr>
      <w:r>
        <w:rPr>
          <w:rFonts w:hint="eastAsia" w:ascii="仿宋" w:hAnsi="仿宋" w:eastAsia="仿宋" w:cs="仿宋"/>
          <w:color w:val="auto"/>
          <w:kern w:val="2"/>
          <w:sz w:val="32"/>
          <w:szCs w:val="32"/>
          <w:lang w:val="en-US" w:eastAsia="zh-CN" w:bidi="ar"/>
        </w:rPr>
        <w:t>(三)负责全市地方金融组织市场准入审核、监督管理和风险处置工作，协调配合做好互联网金融等金融业态的监督管理，配合做好网络借贷信息中介机构的备案登记工作。加强与上级金融管理部门的监管协作。</w:t>
      </w:r>
    </w:p>
    <w:p>
      <w:pPr>
        <w:keepNext w:val="0"/>
        <w:keepLines w:val="0"/>
        <w:pageBreakBefore w:val="0"/>
        <w:widowControl w:val="0"/>
        <w:suppressLineNumbers w:val="0"/>
        <w:suppressAutoHyphens/>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仿宋" w:hAnsi="仿宋" w:eastAsia="仿宋" w:cs="仿宋"/>
          <w:sz w:val="32"/>
          <w:szCs w:val="32"/>
          <w:lang w:val="en-US"/>
        </w:rPr>
      </w:pPr>
      <w:r>
        <w:rPr>
          <w:rFonts w:hint="eastAsia" w:ascii="仿宋" w:hAnsi="仿宋" w:eastAsia="仿宋" w:cs="仿宋"/>
          <w:color w:val="auto"/>
          <w:kern w:val="2"/>
          <w:sz w:val="32"/>
          <w:szCs w:val="32"/>
          <w:lang w:val="en-US" w:eastAsia="zh-CN" w:bidi="ar"/>
        </w:rPr>
        <w:t>(四)协调推进全市营造健康优质的金融环境，加强与上级金融管理部门、金融机构驻石分支机构的沟通联系，组织协调各类金融机构支持服务实体经济，推进区域性金融中心建设，协调推动全市金融改革和区域交流合作，为经济社会发展提供高质量金融服务。</w:t>
      </w:r>
    </w:p>
    <w:p>
      <w:pPr>
        <w:keepNext w:val="0"/>
        <w:keepLines w:val="0"/>
        <w:pageBreakBefore w:val="0"/>
        <w:widowControl w:val="0"/>
        <w:suppressLineNumbers w:val="0"/>
        <w:suppressAutoHyphens/>
        <w:kinsoku/>
        <w:wordWrap/>
        <w:overflowPunct/>
        <w:topLinePunct w:val="0"/>
        <w:autoSpaceDE/>
        <w:autoSpaceDN/>
        <w:bidi w:val="0"/>
        <w:adjustRightInd/>
        <w:snapToGrid/>
        <w:spacing w:beforeAutospacing="0" w:afterAutospacing="0" w:line="600" w:lineRule="exact"/>
        <w:ind w:left="0" w:leftChars="0" w:right="0" w:rightChars="0" w:firstLine="640" w:firstLineChars="200"/>
        <w:jc w:val="both"/>
        <w:textAlignment w:val="auto"/>
        <w:outlineLvl w:val="9"/>
        <w:rPr>
          <w:rFonts w:hint="eastAsia" w:ascii="仿宋" w:hAnsi="仿宋" w:eastAsia="仿宋" w:cs="仿宋"/>
          <w:sz w:val="32"/>
          <w:szCs w:val="32"/>
          <w:lang w:val="en-US"/>
        </w:rPr>
      </w:pPr>
      <w:r>
        <w:rPr>
          <w:rFonts w:hint="eastAsia" w:ascii="仿宋" w:hAnsi="仿宋" w:eastAsia="仿宋" w:cs="仿宋"/>
          <w:color w:val="auto"/>
          <w:kern w:val="2"/>
          <w:sz w:val="32"/>
          <w:szCs w:val="32"/>
          <w:lang w:val="en-US" w:eastAsia="zh-CN" w:bidi="ar"/>
        </w:rPr>
        <w:t>(五)协调开展全市金融领域重点工作落实情况督查，督促市有关部门和县（市、区）对发现的突出问题进行整改落实。负责对县（市、区）党委和政府的金融工作进行指导监督并提出问责建议。</w:t>
      </w: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color w:val="auto"/>
          <w:kern w:val="2"/>
          <w:sz w:val="32"/>
          <w:szCs w:val="32"/>
          <w:lang w:val="en-US" w:eastAsia="zh-CN" w:bidi="ar"/>
        </w:rPr>
        <w:t>(六)完成市委、市政府及市委金融委交办的其他任务。</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lang w:val="en-US" w:eastAsia="zh-CN"/>
        </w:rPr>
        <w:t xml:space="preserve">    </w:t>
      </w: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keepNext w:val="0"/>
              <w:keepLines w:val="0"/>
              <w:suppressLineNumbers w:val="0"/>
              <w:spacing w:before="0" w:beforeAutospacing="0" w:after="0" w:afterAutospacing="0" w:line="560" w:lineRule="exact"/>
              <w:ind w:left="0" w:right="0"/>
              <w:jc w:val="center"/>
              <w:rPr>
                <w:rFonts w:hint="default"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keepNext w:val="0"/>
              <w:keepLines w:val="0"/>
              <w:suppressLineNumbers w:val="0"/>
              <w:spacing w:before="0" w:beforeAutospacing="0" w:after="0" w:afterAutospacing="0" w:line="560" w:lineRule="exact"/>
              <w:ind w:left="0" w:right="0"/>
              <w:jc w:val="center"/>
              <w:rPr>
                <w:rFonts w:hint="default"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keepNext w:val="0"/>
              <w:keepLines w:val="0"/>
              <w:suppressLineNumbers w:val="0"/>
              <w:spacing w:before="0" w:beforeAutospacing="0" w:after="0" w:afterAutospacing="0" w:line="560" w:lineRule="exact"/>
              <w:ind w:left="0" w:right="0"/>
              <w:jc w:val="center"/>
              <w:rPr>
                <w:rFonts w:hint="default"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keepNext w:val="0"/>
              <w:keepLines w:val="0"/>
              <w:suppressLineNumbers w:val="0"/>
              <w:spacing w:before="0" w:beforeAutospacing="0" w:after="0" w:afterAutospacing="0" w:line="560" w:lineRule="exact"/>
              <w:ind w:left="0" w:right="0"/>
              <w:jc w:val="center"/>
              <w:rPr>
                <w:rFonts w:hint="default"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keepNext w:val="0"/>
              <w:keepLines w:val="0"/>
              <w:suppressLineNumbers w:val="0"/>
              <w:spacing w:before="0" w:beforeAutospacing="0" w:after="0" w:afterAutospacing="0" w:line="560" w:lineRule="exact"/>
              <w:ind w:left="0" w:right="0"/>
              <w:jc w:val="center"/>
              <w:rPr>
                <w:rFonts w:hint="default"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keepNext w:val="0"/>
              <w:keepLines w:val="0"/>
              <w:suppressLineNumbers w:val="0"/>
              <w:spacing w:before="0" w:beforeAutospacing="0" w:after="0" w:afterAutospacing="0" w:line="560" w:lineRule="exact"/>
              <w:ind w:left="0" w:right="0"/>
              <w:rPr>
                <w:rFonts w:hint="default" w:ascii="仿宋_GB2312" w:hAnsi="Calibri" w:eastAsia="仿宋_GB2312" w:cs="ArialUnicodeMS"/>
                <w:kern w:val="0"/>
                <w:sz w:val="28"/>
                <w:szCs w:val="28"/>
              </w:rPr>
            </w:pPr>
            <w:r>
              <w:rPr>
                <w:rFonts w:hint="eastAsia" w:ascii="仿宋" w:hAnsi="仿宋" w:eastAsia="仿宋" w:cs="仿宋"/>
                <w:kern w:val="0"/>
                <w:sz w:val="28"/>
                <w:szCs w:val="28"/>
                <w:lang w:eastAsia="zh-CN"/>
              </w:rPr>
              <w:t>石家庄市地方金融监督管理局</w:t>
            </w:r>
            <w:r>
              <w:rPr>
                <w:rFonts w:hint="eastAsia" w:ascii="仿宋" w:hAnsi="仿宋" w:eastAsia="仿宋" w:cs="仿宋"/>
                <w:kern w:val="0"/>
                <w:sz w:val="28"/>
                <w:szCs w:val="28"/>
              </w:rPr>
              <w:t>(本级)</w:t>
            </w:r>
          </w:p>
        </w:tc>
        <w:tc>
          <w:tcPr>
            <w:tcW w:w="2445" w:type="dxa"/>
          </w:tcPr>
          <w:p>
            <w:pPr>
              <w:keepNext w:val="0"/>
              <w:keepLines w:val="0"/>
              <w:suppressLineNumbers w:val="0"/>
              <w:spacing w:before="0" w:beforeAutospacing="0" w:after="0" w:afterAutospacing="0" w:line="560" w:lineRule="exact"/>
              <w:ind w:left="0" w:right="0"/>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行政部门</w:t>
            </w:r>
          </w:p>
        </w:tc>
        <w:tc>
          <w:tcPr>
            <w:tcW w:w="2665" w:type="dxa"/>
          </w:tcPr>
          <w:p>
            <w:pPr>
              <w:keepNext w:val="0"/>
              <w:keepLines w:val="0"/>
              <w:suppressLineNumbers w:val="0"/>
              <w:spacing w:before="0" w:beforeAutospacing="0" w:after="0" w:afterAutospacing="0" w:line="560" w:lineRule="exact"/>
              <w:ind w:left="0" w:right="0"/>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keepNext w:val="0"/>
              <w:keepLines w:val="0"/>
              <w:suppressLineNumbers w:val="0"/>
              <w:spacing w:before="0" w:beforeAutospacing="0" w:after="0" w:afterAutospacing="0" w:line="560" w:lineRule="exact"/>
              <w:ind w:left="0" w:right="0"/>
              <w:jc w:val="left"/>
              <w:rPr>
                <w:rFonts w:hint="default"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keepNext w:val="0"/>
              <w:keepLines w:val="0"/>
              <w:suppressLineNumbers w:val="0"/>
              <w:spacing w:before="0" w:beforeAutospacing="0" w:after="0" w:afterAutospacing="0" w:line="560" w:lineRule="exact"/>
              <w:ind w:left="0" w:right="0" w:firstLine="560" w:firstLineChars="200"/>
              <w:jc w:val="left"/>
              <w:rPr>
                <w:rFonts w:hint="default"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widowControl/>
        <w:spacing w:after="160" w:line="58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我部门无二级预算单位，因此，</w:t>
      </w:r>
      <w:r>
        <w:rPr>
          <w:rFonts w:hint="eastAsia" w:ascii="仿宋" w:hAnsi="仿宋" w:eastAsia="仿宋" w:cs="仿宋"/>
          <w:sz w:val="32"/>
          <w:szCs w:val="32"/>
          <w:highlight w:val="none"/>
          <w:lang w:eastAsia="zh-CN"/>
        </w:rPr>
        <w:t>石家庄市地方金融监督管理局</w:t>
      </w:r>
      <w:r>
        <w:rPr>
          <w:rFonts w:hint="eastAsia" w:ascii="仿宋" w:hAnsi="仿宋" w:eastAsia="仿宋" w:cs="仿宋"/>
          <w:sz w:val="32"/>
          <w:szCs w:val="32"/>
          <w:highlight w:val="none"/>
        </w:rPr>
        <w:t>2023年度部门决算即</w:t>
      </w:r>
      <w:r>
        <w:rPr>
          <w:rFonts w:hint="eastAsia" w:ascii="仿宋" w:hAnsi="仿宋" w:eastAsia="仿宋" w:cs="仿宋"/>
          <w:sz w:val="32"/>
          <w:szCs w:val="32"/>
          <w:highlight w:val="none"/>
          <w:lang w:eastAsia="zh-CN"/>
        </w:rPr>
        <w:t>石家庄市地方金融监督管理局</w:t>
      </w:r>
      <w:r>
        <w:rPr>
          <w:rFonts w:hint="eastAsia" w:ascii="仿宋" w:hAnsi="仿宋" w:eastAsia="仿宋" w:cs="仿宋"/>
          <w:sz w:val="32"/>
          <w:szCs w:val="32"/>
          <w:highlight w:val="none"/>
        </w:rPr>
        <w:t>本级2023年度决算。”</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黑体" w:hAnsi="宋体" w:eastAsia="黑体" w:cs="黑体"/>
          <w:i w:val="0"/>
          <w:iCs w:val="0"/>
          <w:caps w:val="0"/>
          <w:color w:val="000000"/>
          <w:spacing w:val="0"/>
          <w:sz w:val="72"/>
          <w:szCs w:val="72"/>
          <w:highlight w:val="none"/>
          <w:shd w:val="clear" w:fill="FFFFFF"/>
        </w:rPr>
        <w:sectPr>
          <w:headerReference r:id="rId11" w:type="default"/>
          <w:pgSz w:w="11906" w:h="16838"/>
          <w:pgMar w:top="2098" w:right="1474" w:bottom="1984" w:left="1587" w:header="851" w:footer="992" w:gutter="0"/>
          <w:cols w:space="0" w:num="1"/>
          <w:rtlGutter w:val="0"/>
          <w:docGrid w:type="lines" w:linePitch="327" w:charSpace="0"/>
        </w:sect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tbl>
      <w:tblPr>
        <w:tblStyle w:val="11"/>
        <w:tblW w:w="11659" w:type="dxa"/>
        <w:tblInd w:w="-181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1127"/>
        <w:gridCol w:w="108"/>
        <w:gridCol w:w="1317"/>
        <w:gridCol w:w="1628"/>
        <w:gridCol w:w="1547"/>
        <w:gridCol w:w="624"/>
        <w:gridCol w:w="1556"/>
        <w:gridCol w:w="4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361" w:hRule="atLeast"/>
        </w:trPr>
        <w:tc>
          <w:tcPr>
            <w:tcW w:w="11253" w:type="dxa"/>
            <w:gridSpan w:val="8"/>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357" w:hRule="atLeast"/>
        </w:trPr>
        <w:tc>
          <w:tcPr>
            <w:tcW w:w="11253" w:type="dxa"/>
            <w:gridSpan w:val="8"/>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351" w:hRule="atLeast"/>
        </w:trPr>
        <w:tc>
          <w:tcPr>
            <w:tcW w:w="4581" w:type="dxa"/>
            <w:gridSpan w:val="3"/>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石家庄市地方金融监督管理局(本级)</w:t>
            </w:r>
          </w:p>
        </w:tc>
        <w:tc>
          <w:tcPr>
            <w:tcW w:w="2945" w:type="dxa"/>
            <w:gridSpan w:val="2"/>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727" w:type="dxa"/>
            <w:gridSpan w:val="3"/>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355"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55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42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55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auto"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5" w:type="dxa"/>
            <w:gridSpan w:val="2"/>
            <w:tcBorders>
              <w:top w:val="nil"/>
              <w:left w:val="nil"/>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556" w:type="dxa"/>
            <w:tcBorders>
              <w:top w:val="nil"/>
              <w:left w:val="nil"/>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5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5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9,203.52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5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5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5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5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5" w:type="dxa"/>
            <w:gridSpan w:val="2"/>
            <w:tcBorders>
              <w:top w:val="single" w:color="auto"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556" w:type="dxa"/>
            <w:tcBorders>
              <w:top w:val="single" w:color="auto"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06"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11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55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石家庄市地方金融监督管理局(本级)  </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p>
        </w:tc>
        <w:tc>
          <w:tcPr>
            <w:tcW w:w="3405" w:type="dxa"/>
            <w:gridSpan w:val="4"/>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9,440.43</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9,440.43</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96.99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96.99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96.99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96.99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11.61</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11.61</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85.38</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85.38</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59.63</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59.63</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59.63</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59.63</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59.63</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59.63</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金融支出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9,203.52</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9,203.52</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21701</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金融部门行政支出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1,033.22</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1,033.22</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2170101</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820.56</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820.56</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2170102</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212.66</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212.66</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21702</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金融部门监管支出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2170299</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金融部门其他监管支出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21703</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金融发展支出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6,543.30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6,543.30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2170399</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其他金融发展支出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6,543.30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6,543.30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21799</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其他金融支出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2179999</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其他金融支出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1,600.00</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80.29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80.29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80.29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80.29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80.29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80.29</w:t>
            </w:r>
          </w:p>
        </w:tc>
        <w:tc>
          <w:tcPr>
            <w:tcW w:w="103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vAlign w:val="bottom"/>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石家庄市地方金融监督管理局(本级)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1,057.47</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8,382.96</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96.99</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96.99</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96.99</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96.99</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11.61</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11.61</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85.38</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85.38</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9,203.52</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820.56</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8,382.96</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21701</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金融部门行政支出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1,033.22</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820.56</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212.66</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2170101</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820.56</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820.56</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2170102</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212.66</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212.66</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21702</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金融部门监管支出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2170299</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金融部门其他监管支出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21703</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金融发展支出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6,543.30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6,543.30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2170399</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其他金融发展支出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6,543.30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6,543.30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21799</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其他金融支出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2179999</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其他金融支出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1,600.00</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石家庄市地方金融监督管理局(本级)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96.99</w:t>
            </w: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96.99</w:t>
            </w: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59.63</w:t>
            </w: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59.63</w:t>
            </w: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9,203.52</w:t>
            </w: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9,203.52</w:t>
            </w: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80.29</w:t>
            </w: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80.29</w:t>
            </w: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keepNext w:val="0"/>
              <w:keepLines w:val="0"/>
              <w:suppressLineNumbers w:val="0"/>
              <w:spacing w:before="0" w:beforeAutospacing="0" w:after="0" w:afterAutospacing="0"/>
              <w:ind w:left="0" w:right="0"/>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2098" w:type="dxa"/>
            <w:gridSpan w:val="2"/>
            <w:tcBorders>
              <w:top w:val="nil"/>
              <w:left w:val="nil"/>
              <w:bottom w:val="single" w:color="000000" w:sz="8"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1219" w:type="dxa"/>
            <w:tcBorders>
              <w:top w:val="nil"/>
              <w:left w:val="nil"/>
              <w:bottom w:val="single" w:color="000000" w:sz="8"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sz w:val="20"/>
                <w:szCs w:val="20"/>
                <w:highlight w:val="none"/>
              </w:rPr>
            </w:pPr>
          </w:p>
          <w:p>
            <w:pPr>
              <w:keepNext w:val="0"/>
              <w:keepLines w:val="0"/>
              <w:suppressLineNumbers w:val="0"/>
              <w:spacing w:before="0" w:beforeAutospacing="0" w:after="0" w:afterAutospacing="0"/>
              <w:ind w:left="0" w:right="0"/>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9,440.43</w:t>
            </w:r>
          </w:p>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石家庄市地方金融监督管理局(本级)</w:t>
            </w:r>
          </w:p>
        </w:tc>
        <w:tc>
          <w:tcPr>
            <w:tcW w:w="2994" w:type="dxa"/>
            <w:gridSpan w:val="2"/>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9,440.43</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1,057.47</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8,382.96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96.99</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96.99</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96.99</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96.99</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11.61</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11.61</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85.38</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85.38</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59.63</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9,203.52</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820.56</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8,382.96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21701</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金融部门行政支出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1,033.22</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820.56</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2170101</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820.56</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820.56</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2170102</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212.66</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21702</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金融部门监管支出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2170299</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金融部门其他监管支出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21703</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金融发展支出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6,543.30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2170399</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其他金融发展支出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6,543.30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6,543.30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21799</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其他金融支出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2179999</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其他金融支出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1,600.00</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225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80.29</w:t>
            </w:r>
          </w:p>
        </w:tc>
        <w:tc>
          <w:tcPr>
            <w:tcW w:w="225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w:t>
            </w:r>
            <w:r>
              <w:rPr>
                <w:rFonts w:hint="eastAsia" w:ascii="仿宋" w:hAnsi="仿宋" w:eastAsia="仿宋" w:cs="仿宋"/>
                <w:i w:val="0"/>
                <w:iCs w:val="0"/>
                <w:color w:val="000000"/>
                <w:kern w:val="0"/>
                <w:sz w:val="18"/>
                <w:szCs w:val="18"/>
                <w:highlight w:val="none"/>
                <w:u w:val="none"/>
                <w:lang w:val="en-US" w:eastAsia="zh-CN" w:bidi="ar"/>
              </w:rPr>
              <w:t xml:space="preserve">石家庄市地方金融监督管理局(本级)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pPr>
              <w:keepNext w:val="0"/>
              <w:keepLines w:val="0"/>
              <w:suppressLineNumbers w:val="0"/>
              <w:spacing w:before="0" w:beforeAutospacing="0" w:after="0" w:afterAutospacing="0"/>
              <w:ind w:left="0" w:right="0"/>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906.14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127.24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228.14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8.27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200.04</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4.00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221.91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28.75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85.38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32.11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33.62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26.01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14.90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80.29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5.60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39.90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919.32</w:t>
            </w:r>
          </w:p>
        </w:tc>
        <w:tc>
          <w:tcPr>
            <w:tcW w:w="6520" w:type="dxa"/>
            <w:gridSpan w:val="7"/>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138.15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vAlign w:val="center"/>
          </w:tcPr>
          <w:p>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石家庄市地方金融监督管理局(本级)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pPr>
              <w:keepNext w:val="0"/>
              <w:keepLines w:val="0"/>
              <w:suppressLineNumbers w:val="0"/>
              <w:spacing w:before="0" w:beforeAutospacing="0" w:after="0" w:afterAutospacing="0"/>
              <w:ind w:left="0" w:right="0"/>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石家庄市地方金融监督管理局(本级)</w:t>
            </w:r>
          </w:p>
        </w:tc>
        <w:tc>
          <w:tcPr>
            <w:tcW w:w="2680" w:type="dxa"/>
            <w:gridSpan w:val="4"/>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pPr>
              <w:keepNext w:val="0"/>
              <w:keepLines w:val="0"/>
              <w:suppressLineNumbers w:val="0"/>
              <w:spacing w:before="0" w:beforeAutospacing="0" w:after="0" w:afterAutospacing="0"/>
              <w:ind w:left="0" w:right="0"/>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vAlign w:val="center"/>
          </w:tcPr>
          <w:p>
            <w:pPr>
              <w:keepNext w:val="0"/>
              <w:keepLines w:val="0"/>
              <w:suppressLineNumbers w:val="0"/>
              <w:spacing w:before="0" w:beforeAutospacing="0" w:after="0" w:afterAutospacing="0"/>
              <w:ind w:left="0" w:right="0"/>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vAlign w:val="bottom"/>
          </w:tcPr>
          <w:p>
            <w:pPr>
              <w:keepNext w:val="0"/>
              <w:keepLines w:val="0"/>
              <w:widowControl/>
              <w:suppressLineNumbers w:val="0"/>
              <w:spacing w:before="0" w:beforeAutospacing="0" w:after="0" w:afterAutospacing="0"/>
              <w:ind w:left="0" w:right="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w:t>
            </w:r>
            <w:r>
              <w:rPr>
                <w:rFonts w:hint="eastAsia" w:ascii="仿宋" w:hAnsi="仿宋" w:eastAsia="仿宋" w:cs="仿宋"/>
                <w:i w:val="0"/>
                <w:iCs w:val="0"/>
                <w:color w:val="000000"/>
                <w:kern w:val="0"/>
                <w:sz w:val="18"/>
                <w:szCs w:val="18"/>
                <w:highlight w:val="none"/>
                <w:u w:val="none"/>
                <w:lang w:val="en-US" w:eastAsia="zh-CN" w:bidi="ar"/>
              </w:rPr>
              <w:t>石家庄市地方金融监督管理局(本级)</w:t>
            </w:r>
          </w:p>
        </w:tc>
        <w:tc>
          <w:tcPr>
            <w:tcW w:w="2166" w:type="dxa"/>
            <w:gridSpan w:val="3"/>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pPr>
              <w:keepNext w:val="0"/>
              <w:keepLines w:val="0"/>
              <w:widowControl/>
              <w:suppressLineNumbers w:val="0"/>
              <w:spacing w:before="0" w:beforeAutospacing="0" w:after="0" w:afterAutospacing="0"/>
              <w:ind w:left="0" w:right="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9.48</w:t>
            </w:r>
          </w:p>
        </w:tc>
        <w:tc>
          <w:tcPr>
            <w:tcW w:w="122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9.00</w:t>
            </w:r>
          </w:p>
        </w:tc>
        <w:tc>
          <w:tcPr>
            <w:tcW w:w="94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9.00</w:t>
            </w:r>
          </w:p>
        </w:tc>
        <w:tc>
          <w:tcPr>
            <w:tcW w:w="77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0.48</w:t>
            </w:r>
          </w:p>
        </w:tc>
        <w:tc>
          <w:tcPr>
            <w:tcW w:w="850" w:type="dxa"/>
            <w:gridSpan w:val="2"/>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3.16</w:t>
            </w:r>
          </w:p>
        </w:tc>
        <w:tc>
          <w:tcPr>
            <w:tcW w:w="1133"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3.16</w:t>
            </w:r>
          </w:p>
        </w:tc>
        <w:tc>
          <w:tcPr>
            <w:tcW w:w="102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3.16</w:t>
            </w:r>
          </w:p>
        </w:tc>
        <w:tc>
          <w:tcPr>
            <w:tcW w:w="1187" w:type="dxa"/>
            <w:tcBorders>
              <w:top w:val="nil"/>
              <w:left w:val="nil"/>
              <w:bottom w:val="single" w:color="000000" w:sz="4" w:space="0"/>
              <w:right w:val="single" w:color="000000" w:sz="4" w:space="0"/>
            </w:tcBorders>
            <w:vAlign w:val="center"/>
          </w:tcPr>
          <w:p>
            <w:pPr>
              <w:keepNext w:val="0"/>
              <w:keepLines w:val="0"/>
              <w:suppressLineNumbers w:val="0"/>
              <w:spacing w:before="0" w:beforeAutospacing="0" w:after="0" w:afterAutospacing="0"/>
              <w:ind w:left="0" w:right="0"/>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w:t>
      </w:r>
      <w:r>
        <w:rPr>
          <w:rFonts w:hint="eastAsia" w:ascii="黑体" w:hAnsi="宋体" w:eastAsia="黑体" w:cs="黑体"/>
          <w:i w:val="0"/>
          <w:iCs w:val="0"/>
          <w:caps w:val="0"/>
          <w:color w:val="000000"/>
          <w:spacing w:val="-20"/>
          <w:sz w:val="72"/>
          <w:szCs w:val="72"/>
          <w:highlight w:val="none"/>
          <w:shd w:val="clear" w:fill="FFFFFF"/>
          <w:lang w:val="en-US" w:eastAsia="zh-CN"/>
        </w:rPr>
        <w:t xml:space="preserve"> </w:t>
      </w:r>
      <w:r>
        <w:rPr>
          <w:rFonts w:hint="eastAsia" w:ascii="黑体" w:hAnsi="宋体" w:eastAsia="黑体" w:cs="黑体"/>
          <w:i w:val="0"/>
          <w:iCs w:val="0"/>
          <w:caps w:val="0"/>
          <w:color w:val="000000"/>
          <w:spacing w:val="-20"/>
          <w:sz w:val="72"/>
          <w:szCs w:val="72"/>
          <w:highlight w:val="none"/>
          <w:shd w:val="clear" w:fill="FFFFFF"/>
        </w:rPr>
        <w:t>说</w:t>
      </w:r>
      <w:r>
        <w:rPr>
          <w:rFonts w:hint="eastAsia" w:ascii="黑体" w:hAnsi="宋体" w:eastAsia="黑体" w:cs="黑体"/>
          <w:i w:val="0"/>
          <w:iCs w:val="0"/>
          <w:caps w:val="0"/>
          <w:color w:val="000000"/>
          <w:spacing w:val="-20"/>
          <w:sz w:val="72"/>
          <w:szCs w:val="72"/>
          <w:highlight w:val="none"/>
          <w:shd w:val="clear" w:fill="FFFFFF"/>
          <w:lang w:val="en-US" w:eastAsia="zh-CN"/>
        </w:rPr>
        <w:t xml:space="preserve">  </w:t>
      </w:r>
      <w:r>
        <w:rPr>
          <w:rFonts w:hint="eastAsia" w:ascii="黑体" w:hAnsi="宋体" w:eastAsia="黑体" w:cs="黑体"/>
          <w:i w:val="0"/>
          <w:iCs w:val="0"/>
          <w:caps w:val="0"/>
          <w:color w:val="000000"/>
          <w:spacing w:val="-20"/>
          <w:sz w:val="72"/>
          <w:szCs w:val="72"/>
          <w:highlight w:val="none"/>
          <w:shd w:val="clear" w:fill="FFFFFF"/>
        </w:rPr>
        <w:t>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both"/>
        <w:textAlignment w:val="auto"/>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keepNext w:val="0"/>
        <w:keepLines w:val="0"/>
        <w:pageBreakBefore w:val="0"/>
        <w:kinsoku/>
        <w:wordWrap/>
        <w:overflowPunct/>
        <w:topLinePunct w:val="0"/>
        <w:autoSpaceDE w:val="0"/>
        <w:autoSpaceDN w:val="0"/>
        <w:bidi w:val="0"/>
        <w:adjustRightInd w:val="0"/>
        <w:spacing w:line="580" w:lineRule="exact"/>
        <w:ind w:left="0" w:leftChars="0" w:right="0" w:rightChars="0" w:firstLine="640" w:firstLineChars="200"/>
        <w:jc w:val="left"/>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9,440.43</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增加3,181.59万元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增长50.83%，</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奖补资金增加、当年项目增加</w:t>
      </w:r>
      <w:r>
        <w:rPr>
          <w:rFonts w:hint="default" w:ascii="Times New Roman" w:hAnsi="Times New Roman" w:eastAsia="仿宋_GB2312" w:cs="Times New Roman"/>
          <w:kern w:val="2"/>
          <w:sz w:val="32"/>
          <w:szCs w:val="32"/>
          <w:lang w:val="en-US" w:eastAsia="zh-CN" w:bidi="ar-SA"/>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480" w:firstLineChars="200"/>
        <w:jc w:val="center"/>
        <w:textAlignment w:val="auto"/>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both"/>
        <w:textAlignment w:val="auto"/>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both"/>
        <w:textAlignment w:val="auto"/>
        <w:outlineLvl w:val="1"/>
        <w:rPr>
          <w:rFonts w:hint="eastAsia"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9,440.43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9,440.43</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both"/>
        <w:textAlignment w:val="auto"/>
        <w:outlineLvl w:val="1"/>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both"/>
        <w:textAlignment w:val="auto"/>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keepNext w:val="0"/>
        <w:keepLines w:val="0"/>
        <w:pageBreakBefore w:val="0"/>
        <w:kinsoku/>
        <w:wordWrap/>
        <w:overflowPunct/>
        <w:topLinePunct w:val="0"/>
        <w:autoSpaceDE w:val="0"/>
        <w:autoSpaceDN w:val="0"/>
        <w:bidi w:val="0"/>
        <w:adjustRightInd w:val="0"/>
        <w:spacing w:line="580" w:lineRule="exact"/>
        <w:ind w:left="0" w:leftChars="0" w:right="0" w:rightChars="0" w:firstLine="640" w:firstLineChars="200"/>
        <w:jc w:val="left"/>
        <w:textAlignment w:val="auto"/>
        <w:rPr>
          <w:rFonts w:hint="eastAsia"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9,440.43万元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1,057.47万元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占11.2%；</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8,382.96万元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占88.8%；</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keepNext w:val="0"/>
        <w:keepLines w:val="0"/>
        <w:pageBreakBefore w:val="0"/>
        <w:kinsoku/>
        <w:wordWrap/>
        <w:overflowPunct/>
        <w:topLinePunct w:val="0"/>
        <w:autoSpaceDE w:val="0"/>
        <w:autoSpaceDN w:val="0"/>
        <w:bidi w:val="0"/>
        <w:adjustRightInd w:val="0"/>
        <w:spacing w:line="580" w:lineRule="exact"/>
        <w:ind w:left="0" w:leftChars="0" w:right="0" w:rightChars="0" w:firstLine="640" w:firstLineChars="200"/>
        <w:jc w:val="left"/>
        <w:textAlignment w:val="auto"/>
        <w:rPr>
          <w:rFonts w:hint="default" w:ascii="Times New Roman" w:hAnsi="Times New Roman" w:eastAsia="仿宋_GB2312" w:cs="Times New Roman"/>
          <w:kern w:val="2"/>
          <w:sz w:val="32"/>
          <w:szCs w:val="32"/>
          <w:lang w:val="en-US" w:eastAsia="zh-CN"/>
        </w:rPr>
      </w:pPr>
    </w:p>
    <w:p>
      <w:pPr>
        <w:keepNext w:val="0"/>
        <w:keepLines w:val="0"/>
        <w:pageBreakBefore w:val="0"/>
        <w:kinsoku/>
        <w:wordWrap/>
        <w:overflowPunct/>
        <w:topLinePunct w:val="0"/>
        <w:autoSpaceDE w:val="0"/>
        <w:autoSpaceDN w:val="0"/>
        <w:bidi w:val="0"/>
        <w:adjustRightInd w:val="0"/>
        <w:ind w:left="0" w:leftChars="0" w:right="0" w:rightChars="0" w:firstLine="640" w:firstLineChars="200"/>
        <w:jc w:val="center"/>
        <w:textAlignment w:val="auto"/>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4799330" cy="3065780"/>
            <wp:effectExtent l="4445" t="5080" r="12065" b="762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both"/>
        <w:textAlignment w:val="auto"/>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2" w:firstLineChars="200"/>
        <w:jc w:val="both"/>
        <w:textAlignment w:val="auto"/>
        <w:outlineLvl w:val="1"/>
        <w:rPr>
          <w:rFonts w:hint="eastAsia" w:ascii="楷体" w:hAnsi="楷体" w:eastAsia="楷体" w:cs="楷体"/>
          <w:b/>
          <w:bCs/>
          <w:kern w:val="2"/>
          <w:sz w:val="32"/>
          <w:szCs w:val="32"/>
          <w:lang w:val="en-US" w:eastAsia="zh-CN" w:bidi="ar-SA"/>
        </w:rPr>
      </w:pPr>
      <w:r>
        <w:rPr>
          <w:rFonts w:hint="eastAsia" w:ascii="楷体" w:hAnsi="楷体" w:eastAsia="楷体" w:cs="楷体"/>
          <w:b/>
          <w:bCs/>
          <w:kern w:val="2"/>
          <w:sz w:val="32"/>
          <w:szCs w:val="32"/>
          <w:lang w:val="en-US" w:eastAsia="zh-CN" w:bidi="ar-SA"/>
        </w:rPr>
        <w:t>（一）财政拨款收支与2022年度决算对比情况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left"/>
        <w:textAlignment w:val="auto"/>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年度财政拨款本年收入9,440.43</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增加3,346.61万元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增长54.92%，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kern w:val="2"/>
          <w:sz w:val="32"/>
          <w:szCs w:val="32"/>
          <w:lang w:eastAsia="zh-CN"/>
        </w:rPr>
        <w:t>奖补资金增加、当年项目增加</w:t>
      </w:r>
      <w:r>
        <w:rPr>
          <w:rFonts w:hint="default" w:ascii="Times New Roman" w:hAnsi="Times New Roman" w:eastAsia="仿宋_GB2312" w:cs="Times New Roman"/>
          <w:color w:val="auto"/>
          <w:kern w:val="2"/>
          <w:sz w:val="32"/>
          <w:szCs w:val="32"/>
          <w:lang w:val="zh-CN" w:eastAsia="zh-CN" w:bidi="ar-SA"/>
        </w:rPr>
        <w:t>；本年支出 9,440.43</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增加3,213.02万元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增长51.59%，</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kern w:val="2"/>
          <w:sz w:val="32"/>
          <w:szCs w:val="32"/>
          <w:lang w:eastAsia="zh-CN"/>
        </w:rPr>
        <w:t>奖补资金增加、当年项目增加</w:t>
      </w:r>
      <w:r>
        <w:rPr>
          <w:rFonts w:hint="default" w:ascii="Times New Roman" w:hAnsi="Times New Roman" w:eastAsia="仿宋_GB2312" w:cs="Times New Roman"/>
          <w:color w:val="auto"/>
          <w:kern w:val="2"/>
          <w:sz w:val="32"/>
          <w:szCs w:val="32"/>
          <w:lang w:val="zh-CN" w:eastAsia="zh-CN" w:bidi="ar-SA"/>
        </w:rPr>
        <w:t>。具体情况如下：</w:t>
      </w:r>
    </w:p>
    <w:p>
      <w:pPr>
        <w:keepNext w:val="0"/>
        <w:keepLines w:val="0"/>
        <w:pageBreakBefore w:val="0"/>
        <w:kinsoku/>
        <w:wordWrap/>
        <w:overflowPunct/>
        <w:topLinePunct w:val="0"/>
        <w:autoSpaceDE w:val="0"/>
        <w:autoSpaceDN w:val="0"/>
        <w:bidi w:val="0"/>
        <w:adjustRightInd w:val="0"/>
        <w:spacing w:line="580" w:lineRule="exact"/>
        <w:ind w:left="0" w:leftChars="0" w:right="0" w:rightChars="0" w:firstLine="640" w:firstLineChars="200"/>
        <w:jc w:val="left"/>
        <w:textAlignment w:val="auto"/>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一般公共预算财政拨款本年收入9,440.43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增加3,346.61万元，增长54.92%，</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eastAsia="zh-CN"/>
        </w:rPr>
        <w:t>奖补资金增加、当年项目增加</w:t>
      </w:r>
      <w:r>
        <w:rPr>
          <w:rFonts w:hint="default" w:ascii="Times New Roman" w:hAnsi="Times New Roman" w:eastAsia="仿宋_GB2312" w:cs="Times New Roman"/>
          <w:kern w:val="2"/>
          <w:sz w:val="32"/>
          <w:szCs w:val="32"/>
          <w:lang w:val="zh-CN"/>
        </w:rPr>
        <w:t>；本年支出 9,440.43</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增加3,213.02万元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增长51.59%，</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eastAsia="zh-CN"/>
        </w:rPr>
        <w:t>奖补资金增加、当年项目增加</w:t>
      </w:r>
      <w:r>
        <w:rPr>
          <w:rFonts w:hint="default" w:ascii="Times New Roman" w:hAnsi="Times New Roman" w:eastAsia="仿宋_GB2312" w:cs="Times New Roman"/>
          <w:kern w:val="2"/>
          <w:sz w:val="32"/>
          <w:szCs w:val="32"/>
          <w:lang w:val="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left"/>
        <w:textAlignment w:val="auto"/>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keepNext w:val="0"/>
        <w:keepLines w:val="0"/>
        <w:pageBreakBefore w:val="0"/>
        <w:kinsoku/>
        <w:wordWrap/>
        <w:overflowPunct/>
        <w:topLinePunct w:val="0"/>
        <w:bidi w:val="0"/>
        <w:snapToGrid w:val="0"/>
        <w:spacing w:line="580" w:lineRule="exact"/>
        <w:ind w:left="0" w:leftChars="0" w:right="0" w:rightChars="0" w:firstLine="642" w:firstLineChars="200"/>
        <w:textAlignment w:val="auto"/>
        <w:rPr>
          <w:rFonts w:hint="eastAsia" w:ascii="楷体" w:hAnsi="楷体" w:eastAsia="楷体" w:cs="楷体"/>
          <w:b/>
          <w:bCs/>
          <w:kern w:val="2"/>
          <w:sz w:val="32"/>
          <w:szCs w:val="32"/>
        </w:rPr>
      </w:pPr>
      <w:r>
        <w:rPr>
          <w:rFonts w:hint="eastAsia" w:ascii="楷体" w:hAnsi="楷体" w:eastAsia="楷体" w:cs="楷体"/>
          <w:b/>
          <w:bCs/>
          <w:kern w:val="2"/>
          <w:sz w:val="32"/>
          <w:szCs w:val="32"/>
        </w:rPr>
        <w:t>（二）财政拨款收支与年初预算数对比情况</w:t>
      </w:r>
    </w:p>
    <w:p>
      <w:pPr>
        <w:keepNext w:val="0"/>
        <w:keepLines w:val="0"/>
        <w:pageBreakBefore w:val="0"/>
        <w:kinsoku/>
        <w:wordWrap/>
        <w:overflowPunct/>
        <w:topLinePunct w:val="0"/>
        <w:autoSpaceDE w:val="0"/>
        <w:autoSpaceDN w:val="0"/>
        <w:bidi w:val="0"/>
        <w:adjustRightInd w:val="0"/>
        <w:spacing w:line="580" w:lineRule="exact"/>
        <w:ind w:left="0" w:leftChars="0" w:right="0" w:rightChars="0" w:firstLine="640" w:firstLineChars="200"/>
        <w:jc w:val="left"/>
        <w:textAlignment w:val="auto"/>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年度财政拨款本年收入9,440.43万元，完成年初预算的101.07%，比年初预算</w:t>
      </w:r>
      <w:r>
        <w:rPr>
          <w:rFonts w:hint="eastAsia" w:ascii="Times New Roman" w:hAnsi="Times New Roman" w:eastAsia="仿宋_GB2312" w:cs="Times New Roman"/>
          <w:sz w:val="30"/>
          <w:szCs w:val="30"/>
          <w:highlight w:val="none"/>
          <w:lang w:val="zh-CN"/>
        </w:rPr>
        <w:t>增加99.69万元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Times New Roman" w:hAnsi="Times New Roman" w:eastAsia="仿宋_GB2312" w:cs="Times New Roman"/>
          <w:color w:val="auto"/>
          <w:kern w:val="2"/>
          <w:sz w:val="32"/>
          <w:szCs w:val="32"/>
          <w:lang w:val="zh-CN" w:eastAsia="zh-CN" w:bidi="ar-SA"/>
        </w:rPr>
        <w:t>项目增加</w:t>
      </w:r>
      <w:r>
        <w:rPr>
          <w:rFonts w:hint="default" w:ascii="Times New Roman" w:hAnsi="Times New Roman" w:eastAsia="仿宋_GB2312" w:cs="Times New Roman"/>
          <w:color w:val="auto"/>
          <w:kern w:val="2"/>
          <w:sz w:val="32"/>
          <w:szCs w:val="32"/>
          <w:lang w:val="zh-CN" w:eastAsia="zh-CN" w:bidi="ar-SA"/>
        </w:rPr>
        <w:t>；本年支出9,440.43万元，完成年初预算的101.07%，比年初预算</w:t>
      </w:r>
      <w:r>
        <w:rPr>
          <w:rFonts w:hint="eastAsia" w:ascii="Times New Roman" w:hAnsi="Times New Roman" w:eastAsia="仿宋_GB2312" w:cs="Times New Roman"/>
          <w:sz w:val="30"/>
          <w:szCs w:val="30"/>
          <w:highlight w:val="none"/>
          <w:lang w:val="zh-CN"/>
        </w:rPr>
        <w:t>增加99.69万元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Times New Roman" w:hAnsi="Times New Roman" w:eastAsia="仿宋_GB2312" w:cs="Times New Roman"/>
          <w:kern w:val="2"/>
          <w:sz w:val="32"/>
          <w:szCs w:val="32"/>
          <w:lang w:val="zh-CN"/>
        </w:rPr>
        <w:t>项目增加</w:t>
      </w:r>
      <w:r>
        <w:rPr>
          <w:rFonts w:hint="default" w:ascii="Times New Roman" w:hAnsi="Times New Roman" w:eastAsia="仿宋_GB2312" w:cs="Times New Roman"/>
          <w:kern w:val="2"/>
          <w:sz w:val="32"/>
          <w:szCs w:val="32"/>
          <w:lang w:val="zh-CN"/>
        </w:rPr>
        <w:t>。具体情况如下：</w:t>
      </w:r>
    </w:p>
    <w:p>
      <w:pPr>
        <w:keepNext w:val="0"/>
        <w:keepLines w:val="0"/>
        <w:pageBreakBefore w:val="0"/>
        <w:kinsoku/>
        <w:wordWrap/>
        <w:overflowPunct/>
        <w:topLinePunct w:val="0"/>
        <w:autoSpaceDE w:val="0"/>
        <w:autoSpaceDN w:val="0"/>
        <w:bidi w:val="0"/>
        <w:adjustRightInd w:val="0"/>
        <w:spacing w:line="580" w:lineRule="exact"/>
        <w:ind w:left="0" w:leftChars="0" w:right="0" w:rightChars="0" w:firstLine="640" w:firstLineChars="200"/>
        <w:jc w:val="left"/>
        <w:textAlignment w:val="auto"/>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收入9,440.43万元，完成年初预算的 101.07%，比年初预算</w:t>
      </w:r>
      <w:r>
        <w:rPr>
          <w:rFonts w:hint="eastAsia" w:ascii="Times New Roman" w:hAnsi="Times New Roman" w:eastAsia="仿宋_GB2312" w:cs="Times New Roman"/>
          <w:sz w:val="30"/>
          <w:szCs w:val="30"/>
          <w:highlight w:val="none"/>
          <w:lang w:val="zh-CN"/>
        </w:rPr>
        <w:t>增加99.69万元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项目增加</w:t>
      </w:r>
      <w:r>
        <w:rPr>
          <w:rFonts w:hint="default" w:ascii="Times New Roman" w:hAnsi="Times New Roman" w:eastAsia="仿宋_GB2312" w:cs="Times New Roman"/>
          <w:kern w:val="2"/>
          <w:sz w:val="32"/>
          <w:szCs w:val="32"/>
          <w:lang w:val="zh-CN"/>
        </w:rPr>
        <w:t>；本年支出9,440.43万元，完成年初预算的101.07%，比年初预算</w:t>
      </w:r>
      <w:r>
        <w:rPr>
          <w:rFonts w:hint="eastAsia" w:ascii="Times New Roman" w:hAnsi="Times New Roman" w:eastAsia="仿宋_GB2312" w:cs="Times New Roman"/>
          <w:sz w:val="30"/>
          <w:szCs w:val="30"/>
          <w:highlight w:val="none"/>
          <w:lang w:val="zh-CN"/>
        </w:rPr>
        <w:t>增加99.69万元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zh-CN"/>
        </w:rPr>
        <w:t>项目增加</w:t>
      </w:r>
      <w:r>
        <w:rPr>
          <w:rFonts w:hint="default" w:ascii="Times New Roman" w:hAnsi="Times New Roman" w:eastAsia="仿宋_GB2312" w:cs="Times New Roman"/>
          <w:kern w:val="2"/>
          <w:sz w:val="32"/>
          <w:szCs w:val="32"/>
          <w:lang w:val="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480" w:firstLineChars="200"/>
        <w:jc w:val="left"/>
        <w:textAlignment w:val="auto"/>
        <w:rPr>
          <w:rFonts w:hint="default" w:ascii="Times New Roman" w:hAnsi="Times New Roman" w:eastAsia="Arial" w:cs="Times New Roman"/>
          <w:highlight w:val="none"/>
        </w:rPr>
      </w:pP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left"/>
        <w:textAlignment w:val="auto"/>
        <w:rPr>
          <w:rFonts w:hint="default" w:ascii="Times New Roman" w:hAnsi="Times New Roman" w:eastAsia="楷体_GB2312" w:cs="Times New Roman"/>
          <w:b/>
          <w:bCs/>
          <w:kern w:val="2"/>
          <w:sz w:val="32"/>
          <w:szCs w:val="32"/>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Pr>
          <w:rFonts w:hint="eastAsia" w:ascii="Times New Roman" w:hAnsi="Times New Roman" w:eastAsia="仿宋_GB2312"/>
          <w:sz w:val="32"/>
          <w:szCs w:val="32"/>
          <w:highlight w:val="none"/>
          <w:lang w:val="en-US" w:eastAsia="zh-CN"/>
        </w:rPr>
        <w:t xml:space="preserve">   </w:t>
      </w: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left="0" w:leftChars="0" w:right="0" w:rightChars="0" w:firstLine="64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kern w:val="2"/>
          <w:sz w:val="32"/>
          <w:szCs w:val="32"/>
          <w:lang w:val="zh-CN"/>
        </w:rPr>
        <w:t>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年度财政拨款支出9,440.43万元，主要用于以下方面：</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leftChars="0" w:right="0" w:rightChars="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一般公共服务（类）支出0万元，占0%；</w:t>
      </w:r>
      <w:r>
        <w:rPr>
          <w:rFonts w:hint="default" w:ascii="Times New Roman" w:hAnsi="Times New Roman" w:eastAsia="仿宋_GB2312" w:cs="Times New Roman"/>
          <w:color w:val="auto"/>
          <w:kern w:val="2"/>
          <w:sz w:val="32"/>
          <w:szCs w:val="32"/>
          <w:lang w:val="en-US" w:eastAsia="zh-CN" w:bidi="ar-SA"/>
        </w:rPr>
        <w:t>外交</w:t>
      </w:r>
      <w:r>
        <w:rPr>
          <w:rFonts w:hint="default" w:ascii="Times New Roman" w:hAnsi="Times New Roman" w:eastAsia="仿宋_GB2312" w:cs="Times New Roman"/>
          <w:color w:val="auto"/>
          <w:kern w:val="2"/>
          <w:sz w:val="32"/>
          <w:szCs w:val="32"/>
          <w:lang w:val="zh-CN" w:eastAsia="zh-CN" w:bidi="ar-SA"/>
        </w:rPr>
        <w:t>（类）支出0万元，占0%；国防（类）支出0万元，占0%；公共安全类（类）支出0万元，占0%；教育（类）支出0万元，占0%；科学技术（类）支出0万元，占0%；文化旅游体育与传媒（类）支出0万元，占0%；社会保障和就业 （类）支出96.99万元，占1.03%；卫生健康（类）支出59.63万元，占0.63%；节能环保（类）支出0万元，占0%；城乡社区（类）支出0万元，占0%；农林水（类）支出0万元，占0%；交通运输（类）支出0万元，占0%；资源勘探信息等（类）支出0万元，占0%；商业服务业等（类）支出0万元，占0%；金融（类）支出9,203.52万元，占0%；援助其他地区（类）支出0万元，占0%；自然资源海洋气象等（类）支出0万元，占0%；住房保障（类）支出80.29万元，占0.85%；粮油物资储备（类）支出0万元，占0%；国有资本经营预算支出0万元，占0%；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还本</w:t>
      </w:r>
      <w:r>
        <w:rPr>
          <w:rFonts w:hint="default" w:ascii="Times New Roman" w:hAnsi="Times New Roman" w:eastAsia="仿宋_GB2312" w:cs="Times New Roman"/>
          <w:color w:val="auto"/>
          <w:kern w:val="2"/>
          <w:sz w:val="32"/>
          <w:szCs w:val="32"/>
          <w:lang w:val="zh-CN" w:eastAsia="zh-CN" w:bidi="ar-SA"/>
        </w:rPr>
        <w:t>（类）支出0万元，占0%；债务付息（类）支出0万元，占0%；抗疫特别国债安排的支出0万元，占0%。</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leftChars="0" w:right="0" w:rightChars="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pStyle w:val="1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Chars="200" w:right="0" w:rightChars="0"/>
        <w:jc w:val="both"/>
        <w:textAlignment w:val="auto"/>
        <w:outlineLvl w:val="2"/>
        <w:rPr>
          <w:rFonts w:hint="eastAsia" w:ascii="楷体" w:hAnsi="楷体" w:eastAsia="楷体" w:cs="楷体"/>
          <w:i w:val="0"/>
          <w:iCs w:val="0"/>
          <w:caps w:val="0"/>
          <w:color w:val="333333"/>
          <w:spacing w:val="0"/>
          <w:sz w:val="32"/>
          <w:szCs w:val="32"/>
          <w:highlight w:val="none"/>
          <w:shd w:val="clear" w:fill="FFFFFF"/>
          <w:lang w:val="en-US" w:eastAsia="zh-CN"/>
        </w:rPr>
      </w:pPr>
      <w:r>
        <w:rPr>
          <w:rFonts w:hint="eastAsia" w:ascii="楷体" w:hAnsi="楷体" w:eastAsia="楷体" w:cs="楷体"/>
          <w:b/>
          <w:bCs/>
          <w:kern w:val="2"/>
          <w:sz w:val="32"/>
          <w:szCs w:val="32"/>
          <w:lang w:val="en-US" w:eastAsia="zh-CN" w:bidi="ar-SA"/>
        </w:rPr>
        <w:t>（四）一般公共预算基本支出决算情况说明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leftChars="0" w:right="0" w:rightChars="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年度财政拨款基本支出1,057.47万元，其中：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leftChars="0" w:right="0" w:rightChars="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人员经费919.32万元，主要包括基本工资、津贴补贴、奖金、绩效工资、机关事业部门基本养老保险缴费、职工基本医疗保险缴费、公务员医疗补助缴费、</w:t>
      </w:r>
      <w:r>
        <w:rPr>
          <w:rFonts w:hint="eastAsia" w:ascii="Times New Roman" w:hAnsi="Times New Roman" w:eastAsia="仿宋_GB2312" w:cs="Times New Roman"/>
          <w:color w:val="auto"/>
          <w:kern w:val="2"/>
          <w:sz w:val="32"/>
          <w:szCs w:val="32"/>
          <w:lang w:val="zh-CN" w:eastAsia="zh-CN" w:bidi="ar-SA"/>
        </w:rPr>
        <w:t>其他社会保障缴费、</w:t>
      </w:r>
      <w:r>
        <w:rPr>
          <w:rFonts w:hint="default" w:ascii="Times New Roman" w:hAnsi="Times New Roman" w:eastAsia="仿宋_GB2312" w:cs="Times New Roman"/>
          <w:color w:val="auto"/>
          <w:kern w:val="2"/>
          <w:sz w:val="32"/>
          <w:szCs w:val="32"/>
          <w:lang w:val="zh-CN" w:eastAsia="zh-CN" w:bidi="ar-SA"/>
        </w:rPr>
        <w:t>住房公积金、退休费</w:t>
      </w:r>
      <w:r>
        <w:rPr>
          <w:rFonts w:hint="eastAsia" w:ascii="Times New Roman" w:hAnsi="Times New Roman" w:eastAsia="仿宋_GB2312" w:cs="Times New Roman"/>
          <w:color w:val="auto"/>
          <w:kern w:val="2"/>
          <w:sz w:val="32"/>
          <w:szCs w:val="32"/>
          <w:lang w:val="zh-CN" w:eastAsia="zh-CN" w:bidi="ar-SA"/>
        </w:rPr>
        <w:t>、奖励金</w:t>
      </w:r>
      <w:r>
        <w:rPr>
          <w:rFonts w:hint="default" w:ascii="Times New Roman" w:hAnsi="Times New Roman" w:eastAsia="仿宋_GB2312" w:cs="Times New Roman"/>
          <w:color w:val="auto"/>
          <w:kern w:val="2"/>
          <w:sz w:val="32"/>
          <w:szCs w:val="32"/>
          <w:lang w:val="zh-CN" w:eastAsia="zh-CN" w:bidi="ar-SA"/>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leftChars="0" w:right="0" w:rightChars="0" w:firstLine="640" w:firstLineChars="200"/>
        <w:jc w:val="left"/>
        <w:textAlignment w:val="auto"/>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2"/>
          <w:sz w:val="32"/>
          <w:szCs w:val="32"/>
          <w:lang w:val="zh-CN" w:eastAsia="zh-CN" w:bidi="ar-SA"/>
        </w:rPr>
        <w:t>公用经费138.15万元，主要包括办公费、印刷费、邮电费、差旅费、租赁费、会议费、培训费、</w:t>
      </w:r>
      <w:r>
        <w:rPr>
          <w:rFonts w:hint="eastAsia" w:ascii="Times New Roman" w:hAnsi="Times New Roman" w:eastAsia="仿宋_GB2312" w:cs="Times New Roman"/>
          <w:color w:val="auto"/>
          <w:kern w:val="2"/>
          <w:sz w:val="32"/>
          <w:szCs w:val="32"/>
          <w:lang w:val="zh-CN" w:eastAsia="zh-CN" w:bidi="ar-SA"/>
        </w:rPr>
        <w:t>委托业务费、工会经费、福利费、公务用车运行维护费、其他交通费用、其他商品和服务支出、</w:t>
      </w:r>
      <w:r>
        <w:rPr>
          <w:rFonts w:hint="default" w:ascii="Times New Roman" w:hAnsi="Times New Roman" w:eastAsia="仿宋_GB2312" w:cs="Times New Roman"/>
          <w:color w:val="auto"/>
          <w:kern w:val="2"/>
          <w:sz w:val="32"/>
          <w:szCs w:val="32"/>
          <w:lang w:val="zh-CN" w:eastAsia="zh-CN" w:bidi="ar-SA"/>
        </w:rPr>
        <w:t>办公设备购置。</w:t>
      </w:r>
    </w:p>
    <w:p>
      <w:pPr>
        <w:pStyle w:val="10"/>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both"/>
        <w:textAlignment w:val="auto"/>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财政拨款“三公” 经费支出决算情况说明</w:t>
      </w:r>
    </w:p>
    <w:p>
      <w:pPr>
        <w:pStyle w:val="1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rightChars="0"/>
        <w:jc w:val="both"/>
        <w:textAlignment w:val="auto"/>
        <w:outlineLvl w:val="1"/>
        <w:rPr>
          <w:rFonts w:hint="eastAsia" w:ascii="楷体" w:hAnsi="楷体" w:eastAsia="楷体" w:cs="楷体"/>
          <w:b/>
          <w:bCs/>
          <w:kern w:val="2"/>
          <w:sz w:val="32"/>
          <w:szCs w:val="32"/>
          <w:lang w:val="en-US" w:eastAsia="zh-CN" w:bidi="ar-SA"/>
        </w:rPr>
      </w:pPr>
      <w:r>
        <w:rPr>
          <w:rFonts w:hint="eastAsia" w:ascii="楷体" w:hAnsi="楷体" w:eastAsia="楷体" w:cs="楷体"/>
          <w:b/>
          <w:bCs/>
          <w:kern w:val="2"/>
          <w:sz w:val="32"/>
          <w:szCs w:val="32"/>
          <w:lang w:val="en-US" w:eastAsia="zh-CN" w:bidi="ar-SA"/>
        </w:rPr>
        <w:t xml:space="preserve">  （一）“三公”经费财政拨款支出决算总体情况说明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left"/>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年度“三公”经费财政拨款支出预算为9.48万元，支出决算为3.16万元，完成预算的33.33%，较预算减少6.32万元，降低66.67%，主要是厉行节约，减少“三公”开支；较2022年度决算减少2.47万元</w:t>
      </w:r>
      <w:r>
        <w:rPr>
          <w:rFonts w:hint="eastAsia" w:ascii="仿宋" w:hAnsi="仿宋" w:eastAsia="仿宋" w:cs="仿宋"/>
          <w:sz w:val="32"/>
          <w:szCs w:val="32"/>
          <w:highlight w:val="none"/>
        </w:rPr>
        <w:t>，</w:t>
      </w:r>
      <w:r>
        <w:rPr>
          <w:rFonts w:hint="eastAsia" w:ascii="仿宋" w:hAnsi="仿宋" w:eastAsia="仿宋" w:cs="仿宋"/>
          <w:color w:val="auto"/>
          <w:kern w:val="2"/>
          <w:sz w:val="32"/>
          <w:szCs w:val="32"/>
          <w:lang w:val="zh-CN" w:eastAsia="zh-CN" w:bidi="ar-SA"/>
        </w:rPr>
        <w:t>降低43.89%，主要是厉行节约，减少“三公”开支。</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rightChars="0"/>
        <w:jc w:val="left"/>
        <w:textAlignment w:val="auto"/>
        <w:rPr>
          <w:rFonts w:hint="eastAsia" w:ascii="楷体" w:hAnsi="楷体" w:eastAsia="楷体" w:cs="楷体"/>
          <w:b/>
          <w:bCs/>
          <w:kern w:val="2"/>
          <w:sz w:val="32"/>
          <w:szCs w:val="32"/>
        </w:rPr>
      </w:pPr>
      <w:r>
        <w:rPr>
          <w:rFonts w:hint="eastAsia" w:ascii="楷体" w:hAnsi="楷体" w:eastAsia="楷体" w:cs="楷体"/>
          <w:b/>
          <w:bCs/>
          <w:kern w:val="2"/>
          <w:sz w:val="32"/>
          <w:szCs w:val="32"/>
          <w:lang w:val="en-US" w:eastAsia="zh-CN"/>
        </w:rPr>
        <w:t xml:space="preserve">  </w:t>
      </w:r>
      <w:r>
        <w:rPr>
          <w:rFonts w:hint="eastAsia" w:ascii="楷体" w:hAnsi="楷体" w:eastAsia="楷体" w:cs="楷体"/>
          <w:b/>
          <w:bCs/>
          <w:kern w:val="2"/>
          <w:sz w:val="32"/>
          <w:szCs w:val="32"/>
        </w:rPr>
        <w:t>（二）“三公”经费财政拨款支出决算具体情况说明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2" w:firstLineChars="200"/>
        <w:jc w:val="left"/>
        <w:textAlignment w:val="auto"/>
        <w:rPr>
          <w:rFonts w:hint="default" w:ascii="Times New Roman" w:hAnsi="Times New Roman" w:eastAsia="仿宋_GB2312" w:cs="Times New Roman"/>
          <w:color w:val="auto"/>
          <w:kern w:val="2"/>
          <w:sz w:val="32"/>
          <w:szCs w:val="32"/>
          <w:lang w:val="en-US" w:eastAsia="zh-CN" w:bidi="ar-SA"/>
        </w:rPr>
      </w:pPr>
      <w:r>
        <w:rPr>
          <w:rFonts w:hint="eastAsia" w:ascii="仿宋" w:hAnsi="仿宋" w:eastAsia="仿宋" w:cs="仿宋"/>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en-US" w:eastAsia="zh-CN" w:bidi="ar-SA"/>
        </w:rPr>
        <w:t>无增减变化</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持平，无增减变化</w:t>
      </w:r>
      <w:r>
        <w:rPr>
          <w:rFonts w:hint="default"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en-US" w:eastAsia="zh-CN" w:bidi="ar-SA"/>
        </w:rPr>
        <w:t>无</w:t>
      </w:r>
      <w:r>
        <w:rPr>
          <w:rFonts w:hint="default" w:ascii="Times New Roman" w:hAnsi="Times New Roman" w:eastAsia="仿宋_GB2312" w:cs="Times New Roman"/>
          <w:color w:val="auto"/>
          <w:kern w:val="2"/>
          <w:sz w:val="32"/>
          <w:szCs w:val="32"/>
          <w:lang w:val="en-US" w:eastAsia="zh-CN" w:bidi="ar-SA"/>
        </w:rPr>
        <w:t>因公出国（境）团组</w:t>
      </w:r>
      <w:r>
        <w:rPr>
          <w:rFonts w:hint="eastAsia" w:ascii="Times New Roman" w:hAnsi="Times New Roman" w:eastAsia="仿宋_GB2312" w:cs="Times New Roman"/>
          <w:color w:val="auto"/>
          <w:kern w:val="2"/>
          <w:sz w:val="32"/>
          <w:szCs w:val="32"/>
          <w:lang w:val="en-US" w:eastAsia="zh-CN" w:bidi="ar-SA"/>
        </w:rPr>
        <w:t>，未</w:t>
      </w:r>
      <w:r>
        <w:rPr>
          <w:rFonts w:hint="default" w:ascii="Times New Roman" w:hAnsi="Times New Roman" w:eastAsia="仿宋_GB2312" w:cs="Times New Roman"/>
          <w:color w:val="auto"/>
          <w:kern w:val="2"/>
          <w:sz w:val="32"/>
          <w:szCs w:val="32"/>
          <w:lang w:val="en-US" w:eastAsia="zh-CN" w:bidi="ar-SA"/>
        </w:rPr>
        <w:t>参加其他单位组织的因公出国（境）团组</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left="0" w:leftChars="0" w:right="0" w:rightChars="0" w:firstLine="642" w:firstLineChars="200"/>
        <w:jc w:val="left"/>
        <w:textAlignment w:val="auto"/>
        <w:rPr>
          <w:rFonts w:hint="default" w:ascii="Times New Roman" w:hAnsi="Times New Roman" w:eastAsia="Arial" w:cs="Times New Roman"/>
          <w:highlight w:val="none"/>
        </w:rPr>
      </w:pPr>
      <w:r>
        <w:rPr>
          <w:rFonts w:hint="eastAsia" w:ascii="仿宋" w:hAnsi="仿宋" w:eastAsia="仿宋" w:cs="仿宋"/>
          <w:b/>
          <w:bCs/>
          <w:kern w:val="2"/>
          <w:sz w:val="32"/>
          <w:szCs w:val="32"/>
          <w:lang w:val="en-US" w:eastAsia="zh-CN" w:bidi="ar-SA"/>
        </w:rPr>
        <w:t>2.</w:t>
      </w:r>
      <w:r>
        <w:rPr>
          <w:rFonts w:hint="eastAsia" w:ascii="仿宋" w:hAnsi="仿宋" w:eastAsia="仿宋" w:cs="仿宋"/>
          <w:b/>
          <w:bCs/>
          <w:sz w:val="32"/>
          <w:szCs w:val="32"/>
        </w:rPr>
        <w:t>公务用车购置及运行维护费支出情况。</w:t>
      </w:r>
      <w:r>
        <w:rPr>
          <w:rFonts w:hint="eastAsia" w:ascii="仿宋" w:hAnsi="仿宋" w:eastAsia="仿宋" w:cs="仿宋"/>
          <w:color w:val="auto"/>
          <w:kern w:val="2"/>
          <w:sz w:val="32"/>
          <w:szCs w:val="32"/>
          <w:lang w:val="zh-CN" w:eastAsia="zh-CN" w:bidi="ar-SA"/>
        </w:rPr>
        <w:t>本单位202</w:t>
      </w:r>
      <w:r>
        <w:rPr>
          <w:rFonts w:hint="eastAsia" w:ascii="仿宋" w:hAnsi="仿宋" w:eastAsia="仿宋" w:cs="仿宋"/>
          <w:color w:val="auto"/>
          <w:kern w:val="2"/>
          <w:sz w:val="32"/>
          <w:szCs w:val="32"/>
          <w:lang w:val="en-US" w:eastAsia="zh-CN" w:bidi="ar-SA"/>
        </w:rPr>
        <w:t>3</w:t>
      </w:r>
      <w:r>
        <w:rPr>
          <w:rFonts w:hint="eastAsia" w:ascii="仿宋" w:hAnsi="仿宋" w:eastAsia="仿宋" w:cs="仿宋"/>
          <w:color w:val="auto"/>
          <w:kern w:val="2"/>
          <w:sz w:val="32"/>
          <w:szCs w:val="32"/>
          <w:lang w:val="zh-CN" w:eastAsia="zh-CN" w:bidi="ar-SA"/>
        </w:rPr>
        <w:t>年度公务用车购置及运行维护费预算为9万元，支出决算 3.16万元，完成预算的35.1%,较预算减少5.84万元，降低64.9%，主要是厉行节约，减少“三公”开支；较上年减少2.47万元，降低43.89%，主要是厉行节约，减少“三公”开支。其中：</w:t>
      </w:r>
    </w:p>
    <w:p>
      <w:pPr>
        <w:keepNext w:val="0"/>
        <w:keepLines w:val="0"/>
        <w:pageBreakBefore w:val="0"/>
        <w:kinsoku/>
        <w:wordWrap/>
        <w:overflowPunct/>
        <w:topLinePunct w:val="0"/>
        <w:bidi w:val="0"/>
        <w:adjustRightInd w:val="0"/>
        <w:snapToGrid w:val="0"/>
        <w:spacing w:line="580" w:lineRule="exact"/>
        <w:ind w:left="0" w:leftChars="0" w:right="0" w:rightChars="0" w:firstLine="642" w:firstLineChars="200"/>
        <w:textAlignment w:val="auto"/>
        <w:rPr>
          <w:rFonts w:hint="default" w:ascii="Times New Roman" w:hAnsi="Times New Roman" w:eastAsia="仿宋_GB2312" w:cs="Times New Roman"/>
          <w:color w:val="auto"/>
          <w:kern w:val="2"/>
          <w:sz w:val="32"/>
          <w:szCs w:val="32"/>
          <w:lang w:val="zh-CN" w:eastAsia="zh-CN" w:bidi="ar-SA"/>
        </w:rPr>
      </w:pPr>
      <w:r>
        <w:rPr>
          <w:rFonts w:hint="eastAsia" w:ascii="仿宋" w:hAnsi="仿宋" w:eastAsia="仿宋" w:cs="仿宋"/>
          <w:b/>
          <w:sz w:val="32"/>
          <w:szCs w:val="32"/>
        </w:rPr>
        <w:t>公务用车购置费支出</w:t>
      </w:r>
      <w:r>
        <w:rPr>
          <w:rFonts w:hint="eastAsia" w:ascii="仿宋" w:hAnsi="仿宋" w:eastAsia="仿宋" w:cs="仿宋"/>
          <w:b/>
          <w:bCs/>
          <w:sz w:val="32"/>
          <w:szCs w:val="32"/>
          <w:lang w:val="en-US" w:eastAsia="zh-CN"/>
        </w:rPr>
        <w:t>0</w:t>
      </w:r>
      <w:r>
        <w:rPr>
          <w:rFonts w:hint="eastAsia" w:ascii="仿宋" w:hAnsi="仿宋" w:eastAsia="仿宋" w:cs="仿宋"/>
          <w:b/>
          <w:bCs/>
          <w:sz w:val="32"/>
          <w:szCs w:val="32"/>
        </w:rPr>
        <w:t>万元</w:t>
      </w:r>
      <w:r>
        <w:rPr>
          <w:rFonts w:hint="eastAsia" w:ascii="仿宋" w:hAnsi="仿宋" w:eastAsia="仿宋" w:cs="仿宋"/>
          <w:b/>
          <w:sz w:val="32"/>
          <w:szCs w:val="32"/>
        </w:rPr>
        <w:t>：</w:t>
      </w:r>
      <w:r>
        <w:rPr>
          <w:rFonts w:hint="default" w:ascii="Times New Roman" w:hAnsi="Times New Roman" w:eastAsia="仿宋_GB2312" w:cs="Times New Roman"/>
          <w:color w:val="auto"/>
          <w:kern w:val="2"/>
          <w:sz w:val="32"/>
          <w:szCs w:val="32"/>
          <w:lang w:val="zh-CN" w:eastAsia="zh-CN" w:bidi="ar-SA"/>
        </w:rPr>
        <w:t>本单位</w:t>
      </w:r>
      <w:r>
        <w:rPr>
          <w:rFonts w:hint="eastAsia" w:ascii="Times New Roman" w:hAnsi="Times New Roman" w:eastAsia="仿宋_GB2312" w:cs="Times New Roman"/>
          <w:color w:val="auto"/>
          <w:kern w:val="2"/>
          <w:sz w:val="32"/>
          <w:szCs w:val="32"/>
          <w:lang w:val="zh-CN" w:eastAsia="zh-CN" w:bidi="ar-SA"/>
        </w:rPr>
        <w:t>未</w:t>
      </w:r>
      <w:r>
        <w:rPr>
          <w:rFonts w:hint="default" w:ascii="Times New Roman" w:hAnsi="Times New Roman" w:eastAsia="仿宋_GB2312" w:cs="Times New Roman"/>
          <w:color w:val="auto"/>
          <w:kern w:val="2"/>
          <w:sz w:val="32"/>
          <w:szCs w:val="32"/>
          <w:lang w:val="zh-CN" w:eastAsia="zh-CN" w:bidi="ar-SA"/>
        </w:rPr>
        <w:t>发生“公务用车购置”经费支出 。公务用车购置费支出较预算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无增减变化；</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无增减变化</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2"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仿宋" w:hAnsi="仿宋" w:eastAsia="仿宋" w:cs="仿宋"/>
          <w:b/>
          <w:sz w:val="32"/>
          <w:szCs w:val="32"/>
        </w:rPr>
        <w:t>公务用车运行维护费支出</w:t>
      </w:r>
      <w:r>
        <w:rPr>
          <w:rFonts w:hint="eastAsia" w:ascii="仿宋" w:hAnsi="仿宋" w:eastAsia="仿宋" w:cs="仿宋"/>
          <w:b/>
          <w:sz w:val="32"/>
          <w:szCs w:val="32"/>
          <w:lang w:val="en-US" w:eastAsia="zh-CN"/>
        </w:rPr>
        <w:t>3.16</w:t>
      </w:r>
      <w:r>
        <w:rPr>
          <w:rFonts w:hint="eastAsia" w:ascii="仿宋" w:hAnsi="仿宋" w:eastAsia="仿宋" w:cs="仿宋"/>
          <w:b/>
          <w:bCs/>
          <w:sz w:val="32"/>
          <w:szCs w:val="32"/>
        </w:rPr>
        <w:t>万元</w:t>
      </w:r>
      <w:r>
        <w:rPr>
          <w:rFonts w:hint="eastAsia" w:ascii="仿宋" w:hAnsi="仿宋" w:eastAsia="仿宋" w:cs="仿宋"/>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年度单位公务用车保有量1辆，发生运行维护费支出3.16万元。公车运行维护费支出较预算</w:t>
      </w:r>
      <w:r>
        <w:rPr>
          <w:rFonts w:hint="eastAsia" w:ascii="Times New Roman" w:hAnsi="Times New Roman" w:eastAsia="仿宋_GB2312" w:cs="Times New Roman"/>
          <w:color w:val="auto"/>
          <w:kern w:val="2"/>
          <w:sz w:val="32"/>
          <w:szCs w:val="32"/>
          <w:lang w:val="zh-CN" w:eastAsia="zh-CN" w:bidi="ar-SA"/>
        </w:rPr>
        <w:t>减少5.84万元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降低64.9%，</w:t>
      </w:r>
      <w:r>
        <w:rPr>
          <w:rFonts w:hint="default" w:ascii="Times New Roman" w:hAnsi="Times New Roman" w:eastAsia="仿宋_GB2312" w:cs="Times New Roman"/>
          <w:color w:val="auto"/>
          <w:kern w:val="2"/>
          <w:sz w:val="32"/>
          <w:szCs w:val="32"/>
          <w:lang w:val="zh-CN" w:eastAsia="zh-CN" w:bidi="ar-SA"/>
        </w:rPr>
        <w:t>主要是厉行节约，减少“三公”开支；较上年</w:t>
      </w:r>
      <w:r>
        <w:rPr>
          <w:rFonts w:hint="eastAsia" w:ascii="Times New Roman" w:hAnsi="Times New Roman" w:eastAsia="仿宋_GB2312" w:cs="Times New Roman"/>
          <w:color w:val="auto"/>
          <w:kern w:val="2"/>
          <w:sz w:val="32"/>
          <w:szCs w:val="32"/>
          <w:lang w:val="zh-CN" w:eastAsia="zh-CN" w:bidi="ar-SA"/>
        </w:rPr>
        <w:t>减少2.47万元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降低43.89%，</w:t>
      </w:r>
      <w:r>
        <w:rPr>
          <w:rFonts w:hint="default" w:ascii="Times New Roman" w:hAnsi="Times New Roman" w:eastAsia="仿宋_GB2312" w:cs="Times New Roman"/>
          <w:color w:val="auto"/>
          <w:kern w:val="2"/>
          <w:sz w:val="32"/>
          <w:szCs w:val="32"/>
          <w:lang w:val="zh-CN" w:eastAsia="zh-CN" w:bidi="ar-SA"/>
        </w:rPr>
        <w:t>主要是厉行节约，减少“三公”开支。</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2" w:firstLineChars="200"/>
        <w:jc w:val="left"/>
        <w:textAlignment w:val="auto"/>
        <w:rPr>
          <w:rFonts w:hint="default" w:ascii="Times New Roman" w:hAnsi="Times New Roman" w:eastAsia="仿宋_GB2312" w:cs="Times New Roman"/>
          <w:color w:val="auto"/>
          <w:kern w:val="0"/>
          <w:sz w:val="32"/>
          <w:szCs w:val="32"/>
          <w:highlight w:val="yellow"/>
          <w:lang w:val="en-US" w:eastAsia="zh-CN" w:bidi="ar-SA"/>
        </w:rPr>
      </w:pPr>
      <w:r>
        <w:rPr>
          <w:rFonts w:hint="eastAsia" w:ascii="仿宋" w:hAnsi="仿宋" w:eastAsia="仿宋" w:cs="仿宋"/>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年度公务接待费支出预算为0.48万元，支出决算0万元，完成预算的0%。公务接待费支出较预算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减少0.48万元，降低100%，</w:t>
      </w:r>
      <w:r>
        <w:rPr>
          <w:rFonts w:hint="default" w:ascii="Times New Roman" w:hAnsi="Times New Roman" w:eastAsia="仿宋_GB2312" w:cs="Times New Roman"/>
          <w:color w:val="auto"/>
          <w:kern w:val="2"/>
          <w:sz w:val="32"/>
          <w:szCs w:val="32"/>
          <w:lang w:val="zh-CN" w:eastAsia="zh-CN" w:bidi="ar-SA"/>
        </w:rPr>
        <w:t>主要是厉行节约，减少“三公”开支；较上年度</w:t>
      </w:r>
      <w:r>
        <w:rPr>
          <w:rFonts w:hint="eastAsia" w:ascii="Times New Roman" w:hAnsi="Times New Roman" w:eastAsia="仿宋_GB2312" w:cs="Times New Roman"/>
          <w:color w:val="auto"/>
          <w:kern w:val="2"/>
          <w:sz w:val="32"/>
          <w:szCs w:val="32"/>
          <w:lang w:val="zh-CN" w:eastAsia="zh-CN" w:bidi="ar-SA"/>
        </w:rPr>
        <w:t>减少0.48万元，降低100%，</w:t>
      </w:r>
      <w:r>
        <w:rPr>
          <w:rFonts w:hint="default" w:ascii="Times New Roman" w:hAnsi="Times New Roman" w:eastAsia="仿宋_GB2312" w:cs="Times New Roman"/>
          <w:color w:val="auto"/>
          <w:kern w:val="2"/>
          <w:sz w:val="32"/>
          <w:szCs w:val="32"/>
          <w:lang w:val="zh-CN" w:eastAsia="zh-CN" w:bidi="ar-SA"/>
        </w:rPr>
        <w:t>主要是厉行节约，减少“三公”开支。本年度</w:t>
      </w:r>
      <w:r>
        <w:rPr>
          <w:rFonts w:hint="eastAsia" w:ascii="Times New Roman" w:hAnsi="Times New Roman" w:eastAsia="仿宋_GB2312" w:cs="Times New Roman"/>
          <w:color w:val="auto"/>
          <w:kern w:val="2"/>
          <w:sz w:val="32"/>
          <w:szCs w:val="32"/>
          <w:lang w:val="zh-CN" w:eastAsia="zh-CN" w:bidi="ar-SA"/>
        </w:rPr>
        <w:t>未</w:t>
      </w:r>
      <w:r>
        <w:rPr>
          <w:rFonts w:hint="default" w:ascii="Times New Roman" w:hAnsi="Times New Roman" w:eastAsia="仿宋_GB2312" w:cs="Times New Roman"/>
          <w:color w:val="auto"/>
          <w:kern w:val="2"/>
          <w:sz w:val="32"/>
          <w:szCs w:val="32"/>
          <w:lang w:val="zh-CN" w:eastAsia="zh-CN" w:bidi="ar-SA"/>
        </w:rPr>
        <w:t>发生公务接待</w:t>
      </w:r>
      <w:r>
        <w:rPr>
          <w:rFonts w:hint="eastAsia" w:ascii="Times New Roman" w:hAnsi="Times New Roman" w:eastAsia="仿宋_GB2312" w:cs="Times New Roman"/>
          <w:color w:val="auto"/>
          <w:kern w:val="2"/>
          <w:sz w:val="32"/>
          <w:szCs w:val="32"/>
          <w:lang w:val="zh-CN" w:eastAsia="zh-CN" w:bidi="ar-SA"/>
        </w:rPr>
        <w:t>，较上年持平</w:t>
      </w:r>
      <w:r>
        <w:rPr>
          <w:rFonts w:hint="default" w:ascii="Times New Roman" w:hAnsi="Times New Roman" w:eastAsia="仿宋_GB2312" w:cs="Times New Roman"/>
          <w:color w:val="auto"/>
          <w:kern w:val="2"/>
          <w:sz w:val="32"/>
          <w:szCs w:val="32"/>
          <w:lang w:val="zh-CN" w:eastAsia="zh-CN" w:bidi="ar-SA"/>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60" w:firstLineChars="200"/>
        <w:jc w:val="both"/>
        <w:textAlignment w:val="auto"/>
        <w:outlineLvl w:val="1"/>
        <w:rPr>
          <w:rFonts w:hint="default" w:ascii="Times New Roman" w:hAnsi="Times New Roman" w:eastAsia="黑体" w:cs="Times New Roman"/>
          <w:sz w:val="32"/>
          <w:szCs w:val="32"/>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both"/>
        <w:textAlignment w:val="auto"/>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年度机关运行经费支出138.15万元，较2022年度</w:t>
      </w:r>
      <w:r>
        <w:rPr>
          <w:rFonts w:hint="eastAsia" w:ascii="Times New Roman" w:hAnsi="Times New Roman" w:eastAsia="仿宋_GB2312" w:cs="Times New Roman"/>
          <w:color w:val="auto"/>
          <w:kern w:val="2"/>
          <w:sz w:val="32"/>
          <w:szCs w:val="32"/>
          <w:lang w:val="zh-CN" w:eastAsia="zh-CN" w:bidi="ar-SA"/>
        </w:rPr>
        <w:t>增加28.26万元，增长25.72%，</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zh-CN" w:eastAsia="zh-CN" w:bidi="ar-SA"/>
        </w:rPr>
        <w:t>工作业务量增大，未更好服务各项工作任务需求，包括印刷费、邮电费、差旅费、租赁费、会议费、培训费、办公设备购置等费用随之增加。</w:t>
      </w:r>
    </w:p>
    <w:p>
      <w:pPr>
        <w:keepNext w:val="0"/>
        <w:keepLines w:val="0"/>
        <w:pageBreakBefore w:val="0"/>
        <w:kinsoku/>
        <w:wordWrap/>
        <w:overflowPunct/>
        <w:topLinePunct w:val="0"/>
        <w:bidi w:val="0"/>
        <w:adjustRightInd w:val="0"/>
        <w:snapToGrid w:val="0"/>
        <w:spacing w:line="580" w:lineRule="exact"/>
        <w:ind w:left="0" w:leftChars="0" w:right="0" w:rightChars="0" w:firstLine="660" w:firstLineChars="200"/>
        <w:textAlignment w:val="auto"/>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380" w:firstLineChars="200"/>
        <w:jc w:val="left"/>
        <w:textAlignment w:val="auto"/>
        <w:rPr>
          <w:rFonts w:hint="default" w:ascii="Times New Roman" w:hAnsi="Times New Roman" w:eastAsia="仿宋_GB2312" w:cs="Times New Roman"/>
          <w:sz w:val="32"/>
          <w:szCs w:val="32"/>
          <w:highlight w:val="none"/>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color w:val="auto"/>
          <w:kern w:val="2"/>
          <w:sz w:val="32"/>
          <w:szCs w:val="32"/>
          <w:highlight w:val="none"/>
          <w:lang w:val="zh-CN" w:eastAsia="zh-CN" w:bidi="ar-SA"/>
        </w:rPr>
        <w:t>本单位202</w:t>
      </w:r>
      <w:r>
        <w:rPr>
          <w:rFonts w:hint="default" w:ascii="Times New Roman" w:hAnsi="Times New Roman" w:eastAsia="仿宋_GB2312" w:cs="Times New Roman"/>
          <w:color w:val="auto"/>
          <w:kern w:val="2"/>
          <w:sz w:val="32"/>
          <w:szCs w:val="32"/>
          <w:highlight w:val="none"/>
          <w:lang w:val="en-US" w:eastAsia="zh-CN" w:bidi="ar-SA"/>
        </w:rPr>
        <w:t>3</w:t>
      </w:r>
      <w:r>
        <w:rPr>
          <w:rFonts w:hint="default" w:ascii="Times New Roman" w:hAnsi="Times New Roman" w:eastAsia="仿宋_GB2312" w:cs="Times New Roman"/>
          <w:color w:val="auto"/>
          <w:kern w:val="2"/>
          <w:sz w:val="32"/>
          <w:szCs w:val="32"/>
          <w:highlight w:val="none"/>
          <w:lang w:val="zh-CN" w:eastAsia="zh-CN" w:bidi="ar-SA"/>
        </w:rPr>
        <w:t>年度政府采购支出总额</w:t>
      </w:r>
      <w:r>
        <w:rPr>
          <w:rFonts w:hint="eastAsia" w:ascii="Times New Roman" w:hAnsi="Times New Roman" w:eastAsia="仿宋_GB2312" w:cs="Times New Roman"/>
          <w:color w:val="auto"/>
          <w:kern w:val="2"/>
          <w:sz w:val="32"/>
          <w:szCs w:val="32"/>
          <w:highlight w:val="none"/>
          <w:lang w:val="en-US" w:eastAsia="zh-CN" w:bidi="ar-SA"/>
        </w:rPr>
        <w:t>10.909</w:t>
      </w:r>
      <w:r>
        <w:rPr>
          <w:rFonts w:hint="default" w:ascii="Times New Roman" w:hAnsi="Times New Roman" w:eastAsia="仿宋_GB2312" w:cs="Times New Roman"/>
          <w:color w:val="auto"/>
          <w:kern w:val="2"/>
          <w:sz w:val="32"/>
          <w:szCs w:val="32"/>
          <w:highlight w:val="none"/>
          <w:lang w:val="zh-CN" w:eastAsia="zh-CN" w:bidi="ar-SA"/>
        </w:rPr>
        <w:t>万元，从采购类型来看，政府采购货物支出</w:t>
      </w:r>
      <w:r>
        <w:rPr>
          <w:rFonts w:hint="eastAsia" w:ascii="Times New Roman" w:hAnsi="Times New Roman" w:eastAsia="仿宋_GB2312" w:cs="Times New Roman"/>
          <w:color w:val="auto"/>
          <w:kern w:val="2"/>
          <w:sz w:val="32"/>
          <w:szCs w:val="32"/>
          <w:highlight w:val="none"/>
          <w:lang w:val="en-US" w:eastAsia="zh-CN" w:bidi="ar-SA"/>
        </w:rPr>
        <w:t>10.909</w:t>
      </w:r>
      <w:r>
        <w:rPr>
          <w:rFonts w:hint="default" w:ascii="Times New Roman" w:hAnsi="Times New Roman" w:eastAsia="仿宋_GB2312" w:cs="Times New Roman"/>
          <w:color w:val="auto"/>
          <w:kern w:val="2"/>
          <w:sz w:val="32"/>
          <w:szCs w:val="32"/>
          <w:highlight w:val="none"/>
          <w:lang w:val="zh-CN" w:eastAsia="zh-CN" w:bidi="ar-SA"/>
        </w:rPr>
        <w:t>万元、政府采购工程支出0万元、政府采购服务支出0万元。授予中小企业</w:t>
      </w:r>
      <w:r>
        <w:rPr>
          <w:rFonts w:hint="default" w:ascii="Times New Roman" w:hAnsi="Times New Roman" w:eastAsia="仿宋_GB2312" w:cs="Times New Roman"/>
          <w:color w:val="auto"/>
          <w:kern w:val="2"/>
          <w:sz w:val="32"/>
          <w:szCs w:val="32"/>
          <w:highlight w:val="none"/>
          <w:lang w:val="en-US" w:eastAsia="zh-CN" w:bidi="ar-SA"/>
        </w:rPr>
        <w:t>合同金额</w:t>
      </w:r>
      <w:r>
        <w:rPr>
          <w:rFonts w:hint="eastAsia" w:ascii="Times New Roman" w:hAnsi="Times New Roman" w:eastAsia="仿宋_GB2312" w:cs="Times New Roman"/>
          <w:color w:val="auto"/>
          <w:kern w:val="2"/>
          <w:sz w:val="32"/>
          <w:szCs w:val="32"/>
          <w:highlight w:val="none"/>
          <w:lang w:val="en-US" w:eastAsia="zh-CN" w:bidi="ar-SA"/>
        </w:rPr>
        <w:t>1.159</w:t>
      </w:r>
      <w:r>
        <w:rPr>
          <w:rFonts w:hint="default" w:ascii="Times New Roman" w:hAnsi="Times New Roman" w:eastAsia="仿宋_GB2312" w:cs="Times New Roman"/>
          <w:color w:val="auto"/>
          <w:kern w:val="2"/>
          <w:sz w:val="32"/>
          <w:szCs w:val="32"/>
          <w:highlight w:val="none"/>
          <w:lang w:val="zh-CN" w:eastAsia="zh-CN" w:bidi="ar-SA"/>
        </w:rPr>
        <w:t>万元，占政府采购支出总额的</w:t>
      </w:r>
      <w:r>
        <w:rPr>
          <w:rFonts w:hint="eastAsia" w:ascii="Times New Roman" w:hAnsi="Times New Roman" w:eastAsia="仿宋_GB2312" w:cs="Times New Roman"/>
          <w:color w:val="auto"/>
          <w:kern w:val="2"/>
          <w:sz w:val="32"/>
          <w:szCs w:val="32"/>
          <w:highlight w:val="none"/>
          <w:lang w:val="en-US" w:eastAsia="zh-CN" w:bidi="ar-SA"/>
        </w:rPr>
        <w:t>10.62</w:t>
      </w:r>
      <w:r>
        <w:rPr>
          <w:rFonts w:hint="default" w:ascii="Times New Roman" w:hAnsi="Times New Roman" w:eastAsia="仿宋_GB2312" w:cs="Times New Roman"/>
          <w:color w:val="auto"/>
          <w:kern w:val="2"/>
          <w:sz w:val="32"/>
          <w:szCs w:val="32"/>
          <w:highlight w:val="none"/>
          <w:lang w:val="zh-CN" w:eastAsia="zh-CN" w:bidi="ar-SA"/>
        </w:rPr>
        <w:t>%，其中授予小微企业合同金额</w:t>
      </w:r>
      <w:r>
        <w:rPr>
          <w:rFonts w:hint="eastAsia" w:ascii="Times New Roman" w:hAnsi="Times New Roman" w:eastAsia="仿宋_GB2312" w:cs="Times New Roman"/>
          <w:color w:val="auto"/>
          <w:kern w:val="2"/>
          <w:sz w:val="32"/>
          <w:szCs w:val="32"/>
          <w:highlight w:val="none"/>
          <w:lang w:val="en-US" w:eastAsia="zh-CN" w:bidi="ar-SA"/>
        </w:rPr>
        <w:t>1.159</w:t>
      </w:r>
      <w:r>
        <w:rPr>
          <w:rFonts w:hint="default" w:ascii="Times New Roman" w:hAnsi="Times New Roman" w:eastAsia="仿宋_GB2312" w:cs="Times New Roman"/>
          <w:color w:val="auto"/>
          <w:kern w:val="2"/>
          <w:sz w:val="32"/>
          <w:szCs w:val="32"/>
          <w:highlight w:val="none"/>
          <w:lang w:val="zh-CN" w:eastAsia="zh-CN" w:bidi="ar-SA"/>
        </w:rPr>
        <w:t>万元，占政府采购支出总额</w:t>
      </w:r>
      <w:r>
        <w:rPr>
          <w:rFonts w:hint="eastAsia" w:ascii="Times New Roman" w:hAnsi="Times New Roman" w:eastAsia="仿宋_GB2312" w:cs="Times New Roman"/>
          <w:color w:val="auto"/>
          <w:kern w:val="2"/>
          <w:sz w:val="32"/>
          <w:szCs w:val="32"/>
          <w:highlight w:val="none"/>
          <w:lang w:val="en-US" w:eastAsia="zh-CN" w:bidi="ar-SA"/>
        </w:rPr>
        <w:t>10.62</w:t>
      </w:r>
      <w:r>
        <w:rPr>
          <w:rFonts w:hint="default" w:ascii="Times New Roman" w:hAnsi="Times New Roman" w:eastAsia="仿宋_GB2312" w:cs="Times New Roman"/>
          <w:color w:val="auto"/>
          <w:kern w:val="2"/>
          <w:sz w:val="32"/>
          <w:szCs w:val="32"/>
          <w:highlight w:val="none"/>
          <w:lang w:val="zh-CN" w:eastAsia="zh-CN" w:bidi="ar-SA"/>
        </w:rPr>
        <w:t>%。</w:t>
      </w:r>
    </w:p>
    <w:p>
      <w:pPr>
        <w:keepNext w:val="0"/>
        <w:keepLines w:val="0"/>
        <w:pageBreakBefore w:val="0"/>
        <w:kinsoku/>
        <w:wordWrap/>
        <w:overflowPunct/>
        <w:topLinePunct w:val="0"/>
        <w:bidi w:val="0"/>
        <w:snapToGrid w:val="0"/>
        <w:spacing w:line="580" w:lineRule="exact"/>
        <w:ind w:left="0" w:leftChars="0" w:right="0" w:rightChars="0"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年12月31日，本单位共有车辆1辆，比上年</w:t>
      </w:r>
      <w:r>
        <w:rPr>
          <w:rFonts w:hint="eastAsia" w:ascii="Times New Roman" w:hAnsi="Times New Roman" w:eastAsia="仿宋_GB2312" w:cs="Times New Roman"/>
          <w:color w:val="auto"/>
          <w:kern w:val="2"/>
          <w:sz w:val="32"/>
          <w:szCs w:val="32"/>
          <w:lang w:val="zh-CN" w:eastAsia="zh-CN" w:bidi="ar-SA"/>
        </w:rPr>
        <w:t>减少</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，主要是归还了因工作需要借用的车辆</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用车0辆，机要通信用车1辆，应急保障用车0辆，执法执勤用车0辆，特种专业技术用车0辆，离退休干部用车0辆，其他用车0辆。</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leftChars="0" w:right="0" w:rightChars="0" w:firstLine="640" w:firstLineChars="200"/>
        <w:jc w:val="both"/>
        <w:textAlignment w:val="auto"/>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keepNext w:val="0"/>
        <w:keepLines w:val="0"/>
        <w:pageBreakBefore w:val="0"/>
        <w:kinsoku/>
        <w:wordWrap/>
        <w:overflowPunct/>
        <w:topLinePunct w:val="0"/>
        <w:bidi w:val="0"/>
        <w:adjustRightInd w:val="0"/>
        <w:snapToGrid w:val="0"/>
        <w:spacing w:line="580" w:lineRule="exact"/>
        <w:ind w:left="0" w:leftChars="0" w:right="0" w:rightChars="0" w:firstLine="642"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（一）预算绩效管理工作开展情况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leftChars="0" w:right="0" w:rightChars="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w:t>
      </w:r>
      <w:r>
        <w:rPr>
          <w:rFonts w:hint="eastAsia" w:ascii="Times New Roman" w:hAnsi="Times New Roman" w:eastAsia="仿宋_GB2312" w:cs="Times New Roman"/>
          <w:color w:val="auto"/>
          <w:kern w:val="2"/>
          <w:sz w:val="32"/>
          <w:szCs w:val="32"/>
          <w:lang w:val="zh-CN" w:eastAsia="zh-CN" w:bidi="ar-SA"/>
        </w:rPr>
        <w:t>共涉及</w:t>
      </w:r>
      <w:r>
        <w:rPr>
          <w:rFonts w:hint="eastAsia" w:ascii="Times New Roman" w:hAnsi="Times New Roman" w:eastAsia="仿宋_GB2312" w:cs="Times New Roman"/>
          <w:color w:val="auto"/>
          <w:kern w:val="2"/>
          <w:sz w:val="32"/>
          <w:szCs w:val="32"/>
          <w:lang w:val="en-US" w:eastAsia="zh-CN" w:bidi="ar-SA"/>
        </w:rPr>
        <w:t>16</w:t>
      </w:r>
      <w:r>
        <w:rPr>
          <w:rFonts w:hint="default" w:ascii="Times New Roman" w:hAnsi="Times New Roman" w:eastAsia="仿宋_GB2312" w:cs="Times New Roman"/>
          <w:color w:val="auto"/>
          <w:kern w:val="2"/>
          <w:sz w:val="32"/>
          <w:szCs w:val="32"/>
          <w:lang w:val="zh-CN" w:eastAsia="zh-CN" w:bidi="ar-SA"/>
        </w:rPr>
        <w:t>个项目，共涉及资金</w:t>
      </w:r>
      <w:r>
        <w:rPr>
          <w:rFonts w:hint="eastAsia" w:ascii="Times New Roman" w:hAnsi="Times New Roman" w:eastAsia="仿宋_GB2312" w:cs="Times New Roman"/>
          <w:color w:val="auto"/>
          <w:kern w:val="2"/>
          <w:sz w:val="32"/>
          <w:szCs w:val="32"/>
          <w:lang w:val="en-US" w:eastAsia="zh-CN" w:bidi="ar-SA"/>
        </w:rPr>
        <w:t>8409.77</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leftChars="0" w:right="0" w:rightChars="0" w:firstLine="640" w:firstLineChars="200"/>
        <w:jc w:val="left"/>
        <w:textAlignment w:val="auto"/>
        <w:rPr>
          <w:rFonts w:hint="default" w:ascii="Times New Roman" w:hAnsi="Times New Roman" w:eastAsia="Arial" w:cs="Times New Roman"/>
          <w:highlight w:val="none"/>
        </w:rPr>
      </w:pPr>
      <w:r>
        <w:rPr>
          <w:rFonts w:hint="eastAsia" w:ascii="仿宋" w:hAnsi="仿宋" w:eastAsia="仿宋" w:cs="仿宋"/>
          <w:color w:val="auto"/>
          <w:kern w:val="2"/>
          <w:sz w:val="32"/>
          <w:szCs w:val="32"/>
          <w:lang w:val="zh-CN" w:eastAsia="zh-CN" w:bidi="ar-SA"/>
        </w:rPr>
        <w:t>组织对《石家庄市财政引导金融支持实体经济发展的十条措施》（简称“金十条”政策奖励）专项经费项目开展了重点评价，涉及一般公共预算支出</w:t>
      </w:r>
      <w:r>
        <w:rPr>
          <w:rFonts w:hint="eastAsia" w:ascii="仿宋" w:hAnsi="仿宋" w:eastAsia="仿宋" w:cs="仿宋"/>
          <w:color w:val="auto"/>
          <w:kern w:val="2"/>
          <w:sz w:val="32"/>
          <w:szCs w:val="32"/>
          <w:lang w:val="en-US" w:eastAsia="zh-CN" w:bidi="ar-SA"/>
        </w:rPr>
        <w:t>5823.57</w:t>
      </w:r>
      <w:r>
        <w:rPr>
          <w:rFonts w:hint="eastAsia" w:ascii="仿宋" w:hAnsi="仿宋" w:eastAsia="仿宋" w:cs="仿宋"/>
          <w:color w:val="auto"/>
          <w:kern w:val="2"/>
          <w:sz w:val="32"/>
          <w:szCs w:val="32"/>
          <w:lang w:val="zh-CN" w:eastAsia="zh-CN" w:bidi="ar-SA"/>
        </w:rPr>
        <w:t>万元。从评价情况来看，该项目落实了中央和省、市决策部署，充分了发挥财政金融政策调控作用，激发了金融机构积极性，分担了金融机构风险，改善了我市中小微企业融资困难的环境，为经济社会发展提供了有力支撑。</w:t>
      </w:r>
    </w:p>
    <w:p>
      <w:pPr>
        <w:keepNext w:val="0"/>
        <w:keepLines w:val="0"/>
        <w:pageBreakBefore w:val="0"/>
        <w:kinsoku/>
        <w:wordWrap/>
        <w:overflowPunct/>
        <w:topLinePunct w:val="0"/>
        <w:bidi w:val="0"/>
        <w:adjustRightInd w:val="0"/>
        <w:snapToGrid w:val="0"/>
        <w:spacing w:line="580" w:lineRule="exact"/>
        <w:ind w:left="0" w:leftChars="0" w:right="0" w:rightChars="0" w:firstLine="642"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rPr>
        <w:t>（二）部门决算中项目绩效自评结果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leftChars="0" w:right="0" w:rightChars="0" w:firstLine="640" w:firstLineChars="200"/>
        <w:jc w:val="left"/>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本部门在今年部门决算公开中反映《石家庄市财政引导金融支持实体经济发展的十条措施》（简称“金十条”政策奖励）专项经费项目绩效自评结果。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leftChars="0" w:right="0" w:rightChars="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“金十条”政策奖励项目绩效自评情况：根据年初设定的绩效目标，项目绩效自评得分为</w:t>
      </w:r>
      <w:r>
        <w:rPr>
          <w:rFonts w:hint="eastAsia" w:ascii="仿宋" w:hAnsi="仿宋" w:eastAsia="仿宋" w:cs="仿宋"/>
          <w:color w:val="auto"/>
          <w:kern w:val="2"/>
          <w:sz w:val="32"/>
          <w:szCs w:val="32"/>
          <w:lang w:val="en-US" w:eastAsia="zh-CN" w:bidi="ar-SA"/>
        </w:rPr>
        <w:t>98.3</w:t>
      </w:r>
      <w:r>
        <w:rPr>
          <w:rFonts w:hint="eastAsia" w:ascii="仿宋" w:hAnsi="仿宋" w:eastAsia="仿宋" w:cs="仿宋"/>
          <w:color w:val="auto"/>
          <w:kern w:val="2"/>
          <w:sz w:val="32"/>
          <w:szCs w:val="32"/>
          <w:lang w:val="zh-CN" w:eastAsia="zh-CN" w:bidi="ar-SA"/>
        </w:rPr>
        <w:t>分（绩效自评表附后）。全年预算数为</w:t>
      </w:r>
      <w:r>
        <w:rPr>
          <w:rFonts w:hint="eastAsia" w:ascii="仿宋" w:hAnsi="仿宋" w:eastAsia="仿宋" w:cs="仿宋"/>
          <w:color w:val="auto"/>
          <w:kern w:val="2"/>
          <w:sz w:val="32"/>
          <w:szCs w:val="32"/>
          <w:lang w:val="en-US" w:eastAsia="zh-CN" w:bidi="ar-SA"/>
        </w:rPr>
        <w:t>6150万元，</w:t>
      </w:r>
      <w:r>
        <w:rPr>
          <w:rFonts w:hint="eastAsia" w:ascii="仿宋" w:hAnsi="仿宋" w:eastAsia="仿宋" w:cs="仿宋"/>
          <w:color w:val="auto"/>
          <w:kern w:val="2"/>
          <w:sz w:val="32"/>
          <w:szCs w:val="32"/>
          <w:lang w:val="zh-CN" w:eastAsia="zh-CN" w:bidi="ar-SA"/>
        </w:rPr>
        <w:t>执行数为</w:t>
      </w:r>
      <w:r>
        <w:rPr>
          <w:rFonts w:hint="eastAsia" w:ascii="仿宋" w:hAnsi="仿宋" w:eastAsia="仿宋" w:cs="仿宋"/>
          <w:color w:val="auto"/>
          <w:kern w:val="2"/>
          <w:sz w:val="32"/>
          <w:szCs w:val="32"/>
          <w:lang w:val="en-US" w:eastAsia="zh-CN" w:bidi="ar-SA"/>
        </w:rPr>
        <w:t>5823.57</w:t>
      </w:r>
      <w:r>
        <w:rPr>
          <w:rFonts w:hint="eastAsia" w:ascii="仿宋" w:hAnsi="仿宋" w:eastAsia="仿宋" w:cs="仿宋"/>
          <w:color w:val="auto"/>
          <w:kern w:val="2"/>
          <w:sz w:val="32"/>
          <w:szCs w:val="32"/>
          <w:lang w:val="zh-CN" w:eastAsia="zh-CN" w:bidi="ar-SA"/>
        </w:rPr>
        <w:t>万元，完成预算的</w:t>
      </w:r>
      <w:r>
        <w:rPr>
          <w:rFonts w:hint="eastAsia" w:ascii="仿宋" w:hAnsi="仿宋" w:eastAsia="仿宋" w:cs="仿宋"/>
          <w:color w:val="auto"/>
          <w:kern w:val="2"/>
          <w:sz w:val="32"/>
          <w:szCs w:val="32"/>
          <w:lang w:val="en-US" w:eastAsia="zh-CN" w:bidi="ar-SA"/>
        </w:rPr>
        <w:t>94.69</w:t>
      </w:r>
      <w:r>
        <w:rPr>
          <w:rFonts w:hint="eastAsia" w:ascii="仿宋" w:hAnsi="仿宋" w:eastAsia="仿宋" w:cs="仿宋"/>
          <w:color w:val="auto"/>
          <w:kern w:val="2"/>
          <w:sz w:val="32"/>
          <w:szCs w:val="32"/>
          <w:lang w:val="zh-CN" w:eastAsia="zh-CN" w:bidi="ar-SA"/>
        </w:rPr>
        <w:t>%。项目绩效目标完成情况：实际奖补企业</w:t>
      </w:r>
      <w:r>
        <w:rPr>
          <w:rFonts w:hint="eastAsia" w:ascii="仿宋" w:hAnsi="仿宋" w:eastAsia="仿宋" w:cs="仿宋"/>
          <w:color w:val="auto"/>
          <w:kern w:val="2"/>
          <w:sz w:val="32"/>
          <w:szCs w:val="32"/>
          <w:lang w:val="en-US" w:eastAsia="zh-CN" w:bidi="ar-SA"/>
        </w:rPr>
        <w:t>81家，奖补资金5823.57万元，</w:t>
      </w:r>
      <w:r>
        <w:rPr>
          <w:rFonts w:hint="eastAsia" w:ascii="仿宋" w:hAnsi="仿宋" w:eastAsia="仿宋" w:cs="仿宋"/>
          <w:color w:val="auto"/>
          <w:kern w:val="2"/>
          <w:sz w:val="32"/>
          <w:szCs w:val="32"/>
          <w:lang w:val="zh-CN" w:eastAsia="zh-CN" w:bidi="ar-SA"/>
        </w:rPr>
        <w:t>落实了中央和省、市决策部署，充分了发挥财政金融政策调控作用，激发了金融机构积极性，分担了金融机构风险，改善了我市中小微企业融资困难的环境，为经济社会发展提供了有力支撑。</w:t>
      </w:r>
    </w:p>
    <w:tbl>
      <w:tblPr>
        <w:tblStyle w:val="11"/>
        <w:tblW w:w="871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98"/>
        <w:gridCol w:w="940"/>
        <w:gridCol w:w="976"/>
        <w:gridCol w:w="1145"/>
        <w:gridCol w:w="1145"/>
        <w:gridCol w:w="1149"/>
        <w:gridCol w:w="1227"/>
        <w:gridCol w:w="11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29" w:hRule="atLeast"/>
        </w:trPr>
        <w:tc>
          <w:tcPr>
            <w:tcW w:w="8719" w:type="dxa"/>
            <w:gridSpan w:val="8"/>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0" w:hRule="atLeast"/>
        </w:trPr>
        <w:tc>
          <w:tcPr>
            <w:tcW w:w="8719" w:type="dxa"/>
            <w:gridSpan w:val="8"/>
            <w:shd w:val="clear" w:color="auto" w:fill="auto"/>
            <w:vAlign w:val="bottom"/>
          </w:tcPr>
          <w:p>
            <w:pPr>
              <w:keepNext w:val="0"/>
              <w:keepLines w:val="0"/>
              <w:widowControl/>
              <w:suppressLineNumbers w:val="0"/>
              <w:spacing w:before="0" w:beforeAutospacing="0" w:after="0" w:afterAutospacing="0"/>
              <w:ind w:left="0" w:right="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9" w:hRule="atLeast"/>
        </w:trPr>
        <w:tc>
          <w:tcPr>
            <w:tcW w:w="998" w:type="dxa"/>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填报单位：市委金融办</w:t>
            </w:r>
          </w:p>
        </w:tc>
        <w:tc>
          <w:tcPr>
            <w:tcW w:w="940" w:type="dxa"/>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76" w:type="dxa"/>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45" w:type="dxa"/>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45" w:type="dxa"/>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515" w:type="dxa"/>
            <w:gridSpan w:val="3"/>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93" w:hRule="atLeast"/>
        </w:trPr>
        <w:tc>
          <w:tcPr>
            <w:tcW w:w="998"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hint="default"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1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“金十条”政策奖励</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51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市委金融办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9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37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6150</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5823.57</w:t>
            </w:r>
          </w:p>
        </w:tc>
        <w:tc>
          <w:tcPr>
            <w:tcW w:w="11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6150</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6150</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5823.57</w:t>
            </w:r>
          </w:p>
        </w:tc>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left"/>
              <w:rPr>
                <w:rFonts w:hint="default" w:ascii="Calibri" w:hAnsi="Calibri" w:eastAsia="宋体" w:cs="Calibri"/>
                <w:i w:val="0"/>
                <w:color w:val="000000"/>
                <w:sz w:val="20"/>
                <w:szCs w:val="20"/>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0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5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35" w:hRule="atLeast"/>
        </w:trPr>
        <w:tc>
          <w:tcPr>
            <w:tcW w:w="9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06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落实金融政策，引导金融支持实体经济发展。</w:t>
            </w:r>
          </w:p>
        </w:tc>
        <w:tc>
          <w:tcPr>
            <w:tcW w:w="352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落实金融政策，引导金融支持实体经济发展，提振企业积极性。</w:t>
            </w:r>
          </w:p>
        </w:tc>
        <w:tc>
          <w:tcPr>
            <w:tcW w:w="11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35" w:hRule="atLeast"/>
        </w:trPr>
        <w:tc>
          <w:tcPr>
            <w:tcW w:w="9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0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5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50" w:hRule="atLeast"/>
        </w:trPr>
        <w:tc>
          <w:tcPr>
            <w:tcW w:w="9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0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5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hint="default"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76"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奖励企业数量</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 家</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81家</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奖励资金到位率</w:t>
            </w:r>
          </w:p>
        </w:tc>
        <w:tc>
          <w:tcPr>
            <w:tcW w:w="1149" w:type="dxa"/>
            <w:tcBorders>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FZShuSong-Z01" w:hAnsi="FZShuSong-Z01" w:eastAsia="FZShuSong-Z01" w:cs="FZShuSong-Z01"/>
                <w:i w:val="0"/>
                <w:color w:val="000000"/>
                <w:sz w:val="20"/>
                <w:szCs w:val="20"/>
                <w:u w:val="none"/>
              </w:rPr>
            </w:pPr>
            <w:r>
              <w:rPr>
                <w:rFonts w:hint="eastAsia" w:hAnsi="黑体" w:eastAsia="黑体" w:cs="黑体" w:asciiTheme="minorAscii"/>
                <w:i w:val="0"/>
                <w:color w:val="000000"/>
                <w:kern w:val="0"/>
                <w:sz w:val="20"/>
                <w:szCs w:val="20"/>
                <w:u w:val="none"/>
                <w:lang w:val="en-US" w:eastAsia="zh-CN" w:bidi="ar"/>
              </w:rPr>
              <w:t>≥100%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奖励资金拨付及时率</w:t>
            </w:r>
          </w:p>
        </w:tc>
        <w:tc>
          <w:tcPr>
            <w:tcW w:w="1149" w:type="dxa"/>
            <w:tcBorders>
              <w:top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FZShuSong-Z01" w:hAnsi="FZShuSong-Z01" w:eastAsia="FZShuSong-Z01" w:cs="FZShuSong-Z01"/>
                <w:i w:val="0"/>
                <w:color w:val="000000"/>
                <w:sz w:val="21"/>
                <w:szCs w:val="21"/>
                <w:u w:val="none"/>
              </w:rPr>
            </w:pPr>
            <w:r>
              <w:rPr>
                <w:rFonts w:hint="default" w:hAnsi="FZShuSong-Z01" w:eastAsia="FZShuSong-Z01" w:cs="FZShuSong-Z01" w:asciiTheme="minorAscii"/>
                <w:b w:val="0"/>
                <w:bCs w:val="0"/>
                <w:i w:val="0"/>
                <w:color w:val="000000"/>
                <w:kern w:val="0"/>
                <w:sz w:val="21"/>
                <w:szCs w:val="21"/>
                <w:u w:val="none"/>
                <w:lang w:val="en-US" w:eastAsia="zh-CN" w:bidi="ar"/>
              </w:rPr>
              <w:t>≥100%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vMerge w:val="continue"/>
            <w:tcBorders>
              <w:top w:val="single" w:color="000000" w:sz="4" w:space="0"/>
              <w:left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奖励资金成本控制</w:t>
            </w:r>
          </w:p>
        </w:tc>
        <w:tc>
          <w:tcPr>
            <w:tcW w:w="1149" w:type="dxa"/>
            <w:tcBorders>
              <w:top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 xml:space="preserve">≤6500 </w:t>
            </w:r>
            <w:r>
              <w:rPr>
                <w:rFonts w:hint="eastAsia" w:ascii="宋体" w:hAnsi="宋体" w:eastAsia="宋体" w:cs="宋体"/>
                <w:i w:val="0"/>
                <w:color w:val="000000"/>
                <w:kern w:val="0"/>
                <w:sz w:val="20"/>
                <w:szCs w:val="20"/>
                <w:u w:val="none"/>
                <w:lang w:val="en-US" w:eastAsia="zh-CN" w:bidi="ar"/>
              </w:rPr>
              <w:t>万元</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5823.57</w:t>
            </w:r>
            <w:r>
              <w:rPr>
                <w:rFonts w:hint="eastAsia" w:ascii="宋体" w:hAnsi="宋体" w:eastAsia="宋体" w:cs="宋体"/>
                <w:i w:val="0"/>
                <w:color w:val="000000"/>
                <w:kern w:val="0"/>
                <w:sz w:val="20"/>
                <w:szCs w:val="20"/>
                <w:u w:val="none"/>
                <w:lang w:val="en-US" w:eastAsia="zh-CN" w:bidi="ar"/>
              </w:rPr>
              <w:t>万元</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98" w:hRule="atLeast"/>
        </w:trPr>
        <w:tc>
          <w:tcPr>
            <w:tcW w:w="998"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76" w:type="dxa"/>
            <w:tcBorders>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资金执行情况与预算资金安排情况的比率</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94%</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39" w:hRule="atLeast"/>
        </w:trPr>
        <w:tc>
          <w:tcPr>
            <w:tcW w:w="998"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vMerge w:val="restart"/>
            <w:tcBorders>
              <w:left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976"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引导金融支持实体经济发展</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引导金融支持实体经济发展。</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促进实体经济发展。</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295" w:hRule="atLeast"/>
        </w:trPr>
        <w:tc>
          <w:tcPr>
            <w:tcW w:w="998"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vMerge w:val="continue"/>
            <w:tcBorders>
              <w:left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76"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持续引导金融支持中小微企业发展</w:t>
            </w:r>
          </w:p>
        </w:tc>
        <w:tc>
          <w:tcPr>
            <w:tcW w:w="11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持续引导金融支持中小微企业发展</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持续引导金融支持中小微企业发展，提振企业积极性。</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39" w:hRule="atLeast"/>
        </w:trPr>
        <w:tc>
          <w:tcPr>
            <w:tcW w:w="998"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76"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2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企业满意度</w:t>
            </w:r>
          </w:p>
        </w:tc>
        <w:tc>
          <w:tcPr>
            <w:tcW w:w="1149" w:type="dxa"/>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1" w:hRule="atLeast"/>
        </w:trPr>
        <w:tc>
          <w:tcPr>
            <w:tcW w:w="998" w:type="dxa"/>
            <w:vMerge w:val="continue"/>
            <w:tcBorders>
              <w:top w:val="single" w:color="000000" w:sz="4" w:space="0"/>
              <w:left w:val="single" w:color="000000" w:sz="4" w:space="0"/>
              <w:bottom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58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249" w:hRule="atLeast"/>
        </w:trPr>
        <w:tc>
          <w:tcPr>
            <w:tcW w:w="998"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hint="default"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772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严格控制成本使用，通过制定规章制度，坚持厉行节约，未发生浪费行为.</w:t>
            </w:r>
          </w:p>
        </w:tc>
      </w:tr>
    </w:tbl>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right="0" w:rightChars="0" w:firstLine="642" w:firstLineChars="200"/>
        <w:jc w:val="both"/>
        <w:textAlignment w:val="auto"/>
        <w:outlineLvl w:val="9"/>
        <w:rPr>
          <w:rFonts w:hint="eastAsia" w:ascii="楷体" w:hAnsi="楷体" w:eastAsia="楷体" w:cs="楷体"/>
          <w:b/>
          <w:bCs/>
          <w:sz w:val="32"/>
          <w:szCs w:val="32"/>
        </w:rPr>
      </w:pPr>
      <w:r>
        <w:rPr>
          <w:rFonts w:hint="eastAsia" w:ascii="楷体" w:hAnsi="楷体" w:eastAsia="楷体" w:cs="楷体"/>
          <w:b/>
          <w:bCs/>
          <w:sz w:val="32"/>
          <w:szCs w:val="32"/>
          <w:lang w:eastAsia="zh-CN"/>
        </w:rPr>
        <w:t>（三）</w:t>
      </w:r>
      <w:r>
        <w:rPr>
          <w:rFonts w:hint="eastAsia" w:ascii="楷体" w:hAnsi="楷体" w:eastAsia="楷体" w:cs="楷体"/>
          <w:b/>
          <w:bCs/>
          <w:sz w:val="32"/>
          <w:szCs w:val="32"/>
        </w:rPr>
        <w:t>部门评价项目绩效评价结果</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本部门本年无财政评价项目。</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w:t>
      </w:r>
      <w:r>
        <w:rPr>
          <w:rFonts w:hint="eastAsia" w:ascii="Times New Roman" w:hAnsi="Times New Roman" w:eastAsia="仿宋_GB2312" w:cs="Times New Roman"/>
          <w:sz w:val="32"/>
          <w:szCs w:val="32"/>
          <w:lang w:val="en-US" w:eastAsia="zh-CN"/>
        </w:rPr>
        <w:t>2023</w:t>
      </w:r>
      <w:r>
        <w:rPr>
          <w:rFonts w:hint="default" w:ascii="Times New Roman" w:hAnsi="Times New Roman" w:eastAsia="仿宋_GB2312" w:cs="Times New Roman"/>
          <w:sz w:val="32"/>
          <w:szCs w:val="32"/>
        </w:rPr>
        <w:t>年度政府性基金预算财政拨款、国有资本经营预算财政拨款无收支及结转结余情况，故政府性基金预算财政拨款收入支出决算表、国有资本经营预算财政拨款支出决算表以空表列示。</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keepNext w:val="0"/>
        <w:keepLines w:val="0"/>
        <w:pageBreakBefore w:val="0"/>
        <w:widowControl w:val="0"/>
        <w:kinsoku/>
        <w:wordWrap/>
        <w:overflowPunct/>
        <w:topLinePunct w:val="0"/>
        <w:autoSpaceDE/>
        <w:autoSpaceDN/>
        <w:bidi w:val="0"/>
        <w:ind w:left="0" w:leftChars="0"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rPr>
          <w:rFonts w:hint="default" w:ascii="Times New Roman" w:hAnsi="Times New Roman" w:eastAsia="仿宋_GB2312" w:cs="Times New Roman"/>
          <w:sz w:val="32"/>
          <w:szCs w:val="32"/>
        </w:rPr>
      </w:pPr>
    </w:p>
    <w:p>
      <w:pPr>
        <w:numPr>
          <w:ilvl w:val="0"/>
          <w:numId w:val="0"/>
        </w:numPr>
        <w:spacing w:line="580" w:lineRule="exact"/>
        <w:ind w:firstLine="642"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2"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2"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2"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2"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2"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2"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2"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2"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2"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2"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2"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2"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2"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2"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2"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2"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2"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2"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531" w:right="1984" w:bottom="1531" w:left="2098" w:header="851" w:footer="992" w:gutter="0"/>
      <w:cols w:space="0" w:num="1"/>
      <w:rtlGutter w:val="0"/>
      <w:docGrid w:type="lines" w:linePitch="32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Calibri Light">
    <w:altName w:val="DejaVu Sans"/>
    <w:panose1 w:val="020F0302020204030204"/>
    <w:charset w:val="00"/>
    <w:family w:val="auto"/>
    <w:pitch w:val="default"/>
    <w:sig w:usb0="00000000" w:usb1="00000000" w:usb2="00000000" w:usb3="00000000" w:csb0="2000019F" w:csb1="00000000"/>
  </w:font>
  <w:font w:name="华文中宋">
    <w:altName w:val="汉仪中宋简"/>
    <w:panose1 w:val="02010600040101010101"/>
    <w:charset w:val="86"/>
    <w:family w:val="auto"/>
    <w:pitch w:val="default"/>
    <w:sig w:usb0="00000000" w:usb1="00000000" w:usb2="00000000" w:usb3="00000000" w:csb0="0004009F" w:csb1="DFD70000"/>
  </w:font>
  <w:font w:name="方正魏碑简体">
    <w:altName w:val="国标仿宋"/>
    <w:panose1 w:val="00000000000000000000"/>
    <w:charset w:val="86"/>
    <w:family w:val="auto"/>
    <w:pitch w:val="default"/>
    <w:sig w:usb0="00000000" w:usb1="00000000" w:usb2="0000001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楷体_GB2312">
    <w:altName w:val="方正楷体_GBK"/>
    <w:panose1 w:val="02010609030101010101"/>
    <w:charset w:val="86"/>
    <w:family w:val="auto"/>
    <w:pitch w:val="default"/>
    <w:sig w:usb0="00000000" w:usb1="00000000" w:usb2="00000000" w:usb3="00000000" w:csb0="00000000" w:csb1="00000000"/>
  </w:font>
  <w:font w:name="楷体">
    <w:altName w:val="方正楷体_GBK"/>
    <w:panose1 w:val="02010609060101010101"/>
    <w:charset w:val="86"/>
    <w:family w:val="auto"/>
    <w:pitch w:val="default"/>
    <w:sig w:usb0="00000000" w:usb1="00000000" w:usb2="00000016" w:usb3="00000000" w:csb0="00040001" w:csb1="00000000"/>
  </w:font>
  <w:font w:name="仿宋_GB2312">
    <w:altName w:val="方正仿宋_GBK"/>
    <w:panose1 w:val="02010609030101010101"/>
    <w:charset w:val="86"/>
    <w:family w:val="auto"/>
    <w:pitch w:val="default"/>
    <w:sig w:usb0="00000000" w:usb1="00000000" w:usb2="00000000" w:usb3="00000000" w:csb0="00000000" w:csb1="00000000"/>
  </w:font>
  <w:font w:name="ArialUnicodeMS">
    <w:altName w:val="Nimbus Roman No9 L"/>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00" w:usb3="00000000" w:csb0="00000000" w:csb1="00000000"/>
  </w:font>
  <w:font w:name="方正小标宋_GBK">
    <w:panose1 w:val="02000000000000000000"/>
    <w:charset w:val="86"/>
    <w:family w:val="auto"/>
    <w:pitch w:val="default"/>
    <w:sig w:usb0="00000001" w:usb1="08000000" w:usb2="00000000" w:usb3="00000000" w:csb0="00040000" w:csb1="00000000"/>
  </w:font>
  <w:font w:name="FZShuSong-Z01">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国标仿宋">
    <w:panose1 w:val="02000500000000000000"/>
    <w:charset w:val="86"/>
    <w:family w:val="auto"/>
    <w:pitch w:val="default"/>
    <w:sig w:usb0="A00002BF" w:usb1="38C77CFA" w:usb2="00000016" w:usb3="00000000" w:csb0="00060007"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66F4BD82"/>
    <w:multiLevelType w:val="singleLevel"/>
    <w:tmpl w:val="66F4BD82"/>
    <w:lvl w:ilvl="0" w:tentative="0">
      <w:start w:val="5"/>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embedTrueTypeFonts/>
  <w:saveSubsetFonts/>
  <w:bordersDoNotSurroundHeader w:val="false"/>
  <w:bordersDoNotSurroundFooter w:val="false"/>
  <w:documentProtection w:enforcement="0"/>
  <w:defaultTabStop w:val="420"/>
  <w:drawingGridVerticalSpacing w:val="164"/>
  <w:displayHorizontalDrawingGridEvery w:val="1"/>
  <w:displayVerticalDrawingGridEvery w:val="2"/>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AsImhkaWQiOiJiMzk2N2EzZjUyYWViODRjZjJhMDZjM2YyYjk4MTExMiIsInVzZXJDb3VudCI6MX0="/>
  </w:docVars>
  <w:rsids>
    <w:rsidRoot w:val="00000000"/>
    <w:rsid w:val="00086151"/>
    <w:rsid w:val="00236F8C"/>
    <w:rsid w:val="008E12CF"/>
    <w:rsid w:val="0096690D"/>
    <w:rsid w:val="00B8032F"/>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B659C3"/>
    <w:rsid w:val="06FC7C2A"/>
    <w:rsid w:val="071E363B"/>
    <w:rsid w:val="07533AFE"/>
    <w:rsid w:val="07B3657A"/>
    <w:rsid w:val="07C857D0"/>
    <w:rsid w:val="08AB5AAF"/>
    <w:rsid w:val="09012C64"/>
    <w:rsid w:val="093B2E99"/>
    <w:rsid w:val="095D7943"/>
    <w:rsid w:val="09C006C6"/>
    <w:rsid w:val="0A10621F"/>
    <w:rsid w:val="0A1F6100"/>
    <w:rsid w:val="0A464C4F"/>
    <w:rsid w:val="0A6729A3"/>
    <w:rsid w:val="0A694877"/>
    <w:rsid w:val="0A7743B0"/>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B5F38"/>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942535"/>
    <w:rsid w:val="26D50E55"/>
    <w:rsid w:val="270763D6"/>
    <w:rsid w:val="271A539C"/>
    <w:rsid w:val="274972D4"/>
    <w:rsid w:val="275048F0"/>
    <w:rsid w:val="275C72A5"/>
    <w:rsid w:val="27AA3D97"/>
    <w:rsid w:val="28405AA6"/>
    <w:rsid w:val="289057C5"/>
    <w:rsid w:val="28A67C7A"/>
    <w:rsid w:val="28D1057E"/>
    <w:rsid w:val="28EA3248"/>
    <w:rsid w:val="28F879DA"/>
    <w:rsid w:val="293E330C"/>
    <w:rsid w:val="294630F8"/>
    <w:rsid w:val="294B7731"/>
    <w:rsid w:val="296A5FF1"/>
    <w:rsid w:val="297B5611"/>
    <w:rsid w:val="29D21FF2"/>
    <w:rsid w:val="29DD413C"/>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2B7A6D"/>
    <w:rsid w:val="2D4618D2"/>
    <w:rsid w:val="2D5F021B"/>
    <w:rsid w:val="2D6E1286"/>
    <w:rsid w:val="2D70583E"/>
    <w:rsid w:val="2D99655D"/>
    <w:rsid w:val="2E1B4BB8"/>
    <w:rsid w:val="2E256CB6"/>
    <w:rsid w:val="2E3224D3"/>
    <w:rsid w:val="2E5F27E4"/>
    <w:rsid w:val="2E9871B6"/>
    <w:rsid w:val="2EBD223E"/>
    <w:rsid w:val="2EC10AD1"/>
    <w:rsid w:val="2ECB6A5A"/>
    <w:rsid w:val="2EFC0112"/>
    <w:rsid w:val="2EFE0689"/>
    <w:rsid w:val="2F2B730D"/>
    <w:rsid w:val="2F42598B"/>
    <w:rsid w:val="2F8169E4"/>
    <w:rsid w:val="2F861B9C"/>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3356AB"/>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DEE3ABC"/>
    <w:rsid w:val="3E0439A0"/>
    <w:rsid w:val="3E1057AF"/>
    <w:rsid w:val="3E6C0DFA"/>
    <w:rsid w:val="3E740322"/>
    <w:rsid w:val="3E7F4380"/>
    <w:rsid w:val="3E8D171B"/>
    <w:rsid w:val="3E8E5574"/>
    <w:rsid w:val="3EA5630D"/>
    <w:rsid w:val="3EAD42EE"/>
    <w:rsid w:val="3EBA731B"/>
    <w:rsid w:val="3EFB5800"/>
    <w:rsid w:val="3F3B4E59"/>
    <w:rsid w:val="3F4D1B74"/>
    <w:rsid w:val="3F6E677C"/>
    <w:rsid w:val="3F712F46"/>
    <w:rsid w:val="3FBC0EF7"/>
    <w:rsid w:val="3FCD2AB9"/>
    <w:rsid w:val="3FD17600"/>
    <w:rsid w:val="4050218A"/>
    <w:rsid w:val="405C7868"/>
    <w:rsid w:val="408B24EB"/>
    <w:rsid w:val="415337B2"/>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AE0131"/>
    <w:rsid w:val="43BF774E"/>
    <w:rsid w:val="43CD062F"/>
    <w:rsid w:val="43E214F9"/>
    <w:rsid w:val="43F06264"/>
    <w:rsid w:val="43FE1568"/>
    <w:rsid w:val="44404C8E"/>
    <w:rsid w:val="447537F1"/>
    <w:rsid w:val="44795B2A"/>
    <w:rsid w:val="44870D07"/>
    <w:rsid w:val="45513D03"/>
    <w:rsid w:val="45541E1C"/>
    <w:rsid w:val="45C65C5B"/>
    <w:rsid w:val="45F657C2"/>
    <w:rsid w:val="460713D2"/>
    <w:rsid w:val="461F0A8B"/>
    <w:rsid w:val="4648721E"/>
    <w:rsid w:val="46663E71"/>
    <w:rsid w:val="466A37AC"/>
    <w:rsid w:val="46BA32DA"/>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05AAC"/>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15C64"/>
    <w:rsid w:val="51E425A1"/>
    <w:rsid w:val="51E84FDE"/>
    <w:rsid w:val="5267570A"/>
    <w:rsid w:val="52707792"/>
    <w:rsid w:val="52A12CDC"/>
    <w:rsid w:val="52D43C3B"/>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8C16BD"/>
    <w:rsid w:val="559D47CE"/>
    <w:rsid w:val="55BE1959"/>
    <w:rsid w:val="56232437"/>
    <w:rsid w:val="56541A75"/>
    <w:rsid w:val="568832FC"/>
    <w:rsid w:val="568C4181"/>
    <w:rsid w:val="56AC2FF1"/>
    <w:rsid w:val="570725A9"/>
    <w:rsid w:val="5714693E"/>
    <w:rsid w:val="571D0C9C"/>
    <w:rsid w:val="573A16CE"/>
    <w:rsid w:val="577F71A8"/>
    <w:rsid w:val="579C7F80"/>
    <w:rsid w:val="57B30D7C"/>
    <w:rsid w:val="57E65977"/>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26213B"/>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5D3ADC"/>
    <w:rsid w:val="5D9217C2"/>
    <w:rsid w:val="5DAD06BF"/>
    <w:rsid w:val="5DE23CB3"/>
    <w:rsid w:val="5DE97EEC"/>
    <w:rsid w:val="5DEF45DA"/>
    <w:rsid w:val="5DF43138"/>
    <w:rsid w:val="5DFA5EB0"/>
    <w:rsid w:val="5E0B583E"/>
    <w:rsid w:val="5E201A7B"/>
    <w:rsid w:val="5EB66F08"/>
    <w:rsid w:val="5EBD0484"/>
    <w:rsid w:val="5F2C5C7C"/>
    <w:rsid w:val="5FC5273F"/>
    <w:rsid w:val="60152F7B"/>
    <w:rsid w:val="60806DF2"/>
    <w:rsid w:val="6094315B"/>
    <w:rsid w:val="61072DA5"/>
    <w:rsid w:val="611C0817"/>
    <w:rsid w:val="61224A52"/>
    <w:rsid w:val="61520CCB"/>
    <w:rsid w:val="61532B9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9536A0"/>
    <w:rsid w:val="6DBF2759"/>
    <w:rsid w:val="6DC96F36"/>
    <w:rsid w:val="6DFA3EBF"/>
    <w:rsid w:val="6E3E63D2"/>
    <w:rsid w:val="6E5F7BE6"/>
    <w:rsid w:val="6E6918C6"/>
    <w:rsid w:val="6E8E495B"/>
    <w:rsid w:val="6EEB4AC4"/>
    <w:rsid w:val="6F212DD6"/>
    <w:rsid w:val="6F3B5912"/>
    <w:rsid w:val="6F3D39F1"/>
    <w:rsid w:val="6F4E68FE"/>
    <w:rsid w:val="6FA14A81"/>
    <w:rsid w:val="6FA3261F"/>
    <w:rsid w:val="6FBA5815"/>
    <w:rsid w:val="700D6539"/>
    <w:rsid w:val="7017761E"/>
    <w:rsid w:val="704203E3"/>
    <w:rsid w:val="7058046B"/>
    <w:rsid w:val="707F2079"/>
    <w:rsid w:val="70922734"/>
    <w:rsid w:val="70B7687B"/>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B85CE7"/>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12337"/>
    <w:rsid w:val="79A91196"/>
    <w:rsid w:val="7A0B32D3"/>
    <w:rsid w:val="7AC13CD3"/>
    <w:rsid w:val="7AD40B60"/>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EF0423C"/>
    <w:rsid w:val="7F087006"/>
    <w:rsid w:val="7F833169"/>
    <w:rsid w:val="7FA837EF"/>
    <w:rsid w:val="7FC36955"/>
    <w:rsid w:val="7FE903A0"/>
    <w:rsid w:val="7FF97946"/>
    <w:rsid w:val="7FFE7888"/>
    <w:rsid w:val="ED7B8E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unhideWhenUsed/>
    <w:qFormat/>
    <w:uiPriority w:val="1"/>
  </w:style>
  <w:style w:type="table" w:default="1" w:styleId="11">
    <w:name w:val="Normal Table"/>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6">
    <w:name w:val="annotation text"/>
    <w:basedOn w:val="1"/>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chart" Target="charts/chart6.xml"/><Relationship Id="rId22" Type="http://schemas.openxmlformats.org/officeDocument/2006/relationships/chart" Target="charts/chart5.xml"/><Relationship Id="rId21" Type="http://schemas.openxmlformats.org/officeDocument/2006/relationships/chart" Target="charts/chart4.xml"/><Relationship Id="rId20" Type="http://schemas.openxmlformats.org/officeDocument/2006/relationships/chart" Target="charts/chart3.xml"/><Relationship Id="rId2" Type="http://schemas.openxmlformats.org/officeDocument/2006/relationships/settings" Target="settings.xml"/><Relationship Id="rId19" Type="http://schemas.openxmlformats.org/officeDocument/2006/relationships/chart" Target="charts/chart2.xml"/><Relationship Id="rId18" Type="http://schemas.openxmlformats.org/officeDocument/2006/relationships/chart" Target="charts/chart1.xml"/><Relationship Id="rId17" Type="http://schemas.openxmlformats.org/officeDocument/2006/relationships/image" Target="media/image5.png"/><Relationship Id="rId16" Type="http://schemas.openxmlformats.org/officeDocument/2006/relationships/image" Target="media/image4.jpe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false"/>
      <c:spPr>
        <a:noFill/>
        <a:ln>
          <a:noFill/>
        </a:ln>
        <a:effectLst/>
      </c:spPr>
    </c:title>
    <c:autoTitleDeleted val="false"/>
    <c:plotArea>
      <c:layout/>
      <c:barChart>
        <c:barDir val="col"/>
        <c:grouping val="clustered"/>
        <c:varyColors val="false"/>
        <c:ser>
          <c:idx val="0"/>
          <c:order val="0"/>
          <c:tx>
            <c:strRef>
              <c:f>Sheet1!$B$1</c:f>
              <c:strCache>
                <c:ptCount val="1"/>
                <c:pt idx="0">
                  <c:v>收支总计</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6258.84</c:v>
                </c:pt>
                <c:pt idx="1">
                  <c:v>9440.43</c:v>
                </c:pt>
              </c:numCache>
            </c:numRef>
          </c:val>
        </c:ser>
        <c:dLbls>
          <c:showLegendKey val="false"/>
          <c:showVal val="true"/>
          <c:showCatName val="false"/>
          <c:showSerName val="false"/>
          <c:showPercent val="false"/>
          <c:showBubbleSize val="false"/>
        </c:dLbls>
        <c:gapWidth val="246"/>
        <c:overlap val="-28"/>
        <c:axId val="817088452"/>
        <c:axId val="587069473"/>
      </c:barChart>
      <c:catAx>
        <c:axId val="817088452"/>
        <c:scaling>
          <c:orientation val="minMax"/>
        </c:scaling>
        <c:delete val="false"/>
        <c:axPos val="b"/>
        <c:numFmt formatCode="General" sourceLinked="false"/>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true"/>
        <c:lblAlgn val="ctr"/>
        <c:lblOffset val="100"/>
        <c:noMultiLvlLbl val="false"/>
      </c:catAx>
      <c:valAx>
        <c:axId val="587069473"/>
        <c:scaling>
          <c:orientation val="minMax"/>
        </c:scaling>
        <c:delete val="false"/>
        <c:axPos val="l"/>
        <c:majorGridlines>
          <c:spPr>
            <a:ln w="9525" cap="flat" cmpd="sng" algn="ctr">
              <a:solidFill>
                <a:schemeClr val="lt1">
                  <a:lumMod val="90200"/>
                </a:schemeClr>
              </a:solidFill>
              <a:round/>
            </a:ln>
            <a:effectLst/>
          </c:spPr>
        </c:majorGridlines>
        <c:numFmt formatCode="General" sourceLinked="true"/>
        <c:majorTickMark val="none"/>
        <c:minorTickMark val="none"/>
        <c:tickLblPos val="nextTo"/>
        <c:spPr>
          <a:noFill/>
          <a:ln>
            <a:noFill/>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false"/>
      <c:spPr>
        <a:noFill/>
        <a:ln>
          <a:noFill/>
        </a:ln>
        <a:effectLst/>
      </c:spPr>
    </c:title>
    <c:autoTitleDeleted val="false"/>
    <c:plotArea>
      <c:layout/>
      <c:pieChart>
        <c:varyColors val="true"/>
        <c:ser>
          <c:idx val="0"/>
          <c:order val="0"/>
          <c:tx>
            <c:strRef>
              <c:f>Sheet1!$B$1</c:f>
              <c:strCache>
                <c:ptCount val="1"/>
                <c:pt idx="0">
                  <c:v>金额</c:v>
                </c:pt>
              </c:strCache>
            </c:strRef>
          </c:tx>
          <c:spPr/>
          <c:explosion val="0"/>
          <c:dPt>
            <c:idx val="0"/>
            <c:bubble3D val="false"/>
            <c:spPr>
              <a:solidFill>
                <a:schemeClr val="accent1"/>
              </a:solidFill>
              <a:ln>
                <a:solidFill>
                  <a:schemeClr val="bg1"/>
                </a:solidFill>
              </a:ln>
              <a:effectLst/>
            </c:spPr>
          </c:dPt>
          <c:dPt>
            <c:idx val="1"/>
            <c:bubble3D val="false"/>
            <c:spPr>
              <a:solidFill>
                <a:schemeClr val="accent2"/>
              </a:solidFill>
              <a:ln>
                <a:solidFill>
                  <a:schemeClr val="bg1"/>
                </a:solidFill>
              </a:ln>
              <a:effectLst/>
            </c:spPr>
          </c:dPt>
          <c:dPt>
            <c:idx val="2"/>
            <c:bubble3D val="false"/>
            <c:spPr>
              <a:solidFill>
                <a:schemeClr val="accent3"/>
              </a:solidFill>
              <a:ln>
                <a:solidFill>
                  <a:schemeClr val="bg1"/>
                </a:solidFill>
              </a:ln>
              <a:effectLst/>
            </c:spPr>
          </c:dPt>
          <c:dPt>
            <c:idx val="3"/>
            <c:bubble3D val="false"/>
            <c:spPr>
              <a:solidFill>
                <a:schemeClr val="accent4"/>
              </a:solidFill>
              <a:ln>
                <a:solidFill>
                  <a:schemeClr val="bg1"/>
                </a:solidFill>
              </a:ln>
              <a:effectLst/>
            </c:spPr>
          </c:dPt>
          <c:dPt>
            <c:idx val="4"/>
            <c:bubble3D val="false"/>
            <c:spPr>
              <a:solidFill>
                <a:schemeClr val="accent5"/>
              </a:solidFill>
              <a:ln>
                <a:solidFill>
                  <a:schemeClr val="bg1"/>
                </a:solidFill>
              </a:ln>
              <a:effectLst/>
            </c:spPr>
          </c:dPt>
          <c:dPt>
            <c:idx val="5"/>
            <c:bubble3D val="false"/>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true"/>
            <c:showVal val="false"/>
            <c:showCatName val="true"/>
            <c:showSerName val="false"/>
            <c:showPercent val="true"/>
            <c:showBubbleSize val="false"/>
            <c:separator>
</c:separator>
            <c:showLeaderLines val="tru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94404334.31</c:v>
                </c:pt>
                <c:pt idx="1">
                  <c:v>0</c:v>
                </c:pt>
                <c:pt idx="2">
                  <c:v>0</c:v>
                </c:pt>
                <c:pt idx="3">
                  <c:v>0</c:v>
                </c:pt>
                <c:pt idx="4">
                  <c:v>0</c:v>
                </c:pt>
                <c:pt idx="5">
                  <c:v>0</c:v>
                </c:pt>
              </c:numCache>
            </c:numRef>
          </c:val>
        </c:ser>
        <c:dLbls>
          <c:showLegendKey val="false"/>
          <c:showVal val="true"/>
          <c:showCatName val="false"/>
          <c:showSerName val="false"/>
          <c:showPercent val="false"/>
          <c:showBubbleSize val="false"/>
          <c:showLeaderLines val="true"/>
        </c:dLbls>
        <c:firstSliceAng val="0"/>
      </c:pieChart>
      <c:spPr>
        <a:noFill/>
        <a:ln>
          <a:noFill/>
        </a:ln>
        <a:effectLst/>
      </c:spPr>
    </c:plotArea>
    <c:legend>
      <c:legendPos val="r"/>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false"/>
      <c:spPr>
        <a:noFill/>
        <a:ln>
          <a:noFill/>
        </a:ln>
        <a:effectLst/>
      </c:spPr>
    </c:title>
    <c:autoTitleDeleted val="false"/>
    <c:plotArea>
      <c:layout/>
      <c:pieChart>
        <c:varyColors val="true"/>
        <c:ser>
          <c:idx val="0"/>
          <c:order val="0"/>
          <c:tx>
            <c:strRef>
              <c:f>Sheet1!$B$1</c:f>
              <c:strCache>
                <c:ptCount val="1"/>
                <c:pt idx="0">
                  <c:v>金额</c:v>
                </c:pt>
              </c:strCache>
            </c:strRef>
          </c:tx>
          <c:spPr/>
          <c:explosion val="0"/>
          <c:dPt>
            <c:idx val="0"/>
            <c:bubble3D val="false"/>
            <c:spPr>
              <a:solidFill>
                <a:schemeClr val="accent1"/>
              </a:solidFill>
              <a:ln>
                <a:solidFill>
                  <a:schemeClr val="bg1"/>
                </a:solidFill>
              </a:ln>
              <a:effectLst/>
            </c:spPr>
          </c:dPt>
          <c:dPt>
            <c:idx val="1"/>
            <c:bubble3D val="false"/>
            <c:spPr>
              <a:solidFill>
                <a:schemeClr val="accent2"/>
              </a:solidFill>
              <a:ln>
                <a:solidFill>
                  <a:schemeClr val="bg1"/>
                </a:solidFill>
              </a:ln>
              <a:effectLst/>
            </c:spPr>
          </c:dPt>
          <c:dPt>
            <c:idx val="2"/>
            <c:bubble3D val="false"/>
            <c:spPr>
              <a:solidFill>
                <a:schemeClr val="accent3"/>
              </a:solidFill>
              <a:ln>
                <a:solidFill>
                  <a:schemeClr val="bg1"/>
                </a:solidFill>
              </a:ln>
              <a:effectLst/>
            </c:spPr>
          </c:dPt>
          <c:dPt>
            <c:idx val="3"/>
            <c:bubble3D val="false"/>
            <c:spPr>
              <a:solidFill>
                <a:schemeClr val="accent4"/>
              </a:solidFill>
              <a:ln>
                <a:solidFill>
                  <a:schemeClr val="bg1"/>
                </a:solidFill>
              </a:ln>
              <a:effectLst/>
            </c:spPr>
          </c:dPt>
          <c:dPt>
            <c:idx val="4"/>
            <c:bubble3D val="false"/>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true"/>
            <c:showVal val="false"/>
            <c:showCatName val="true"/>
            <c:showSerName val="false"/>
            <c:showPercent val="true"/>
            <c:showBubbleSize val="false"/>
            <c:separator>
</c:separator>
            <c:showLeaderLines val="tru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10574693.31</c:v>
                </c:pt>
                <c:pt idx="1">
                  <c:v>83829641</c:v>
                </c:pt>
                <c:pt idx="2">
                  <c:v>0</c:v>
                </c:pt>
                <c:pt idx="3">
                  <c:v>0</c:v>
                </c:pt>
                <c:pt idx="4">
                  <c:v>0</c:v>
                </c:pt>
              </c:numCache>
            </c:numRef>
          </c:val>
        </c:ser>
        <c:dLbls>
          <c:showLegendKey val="false"/>
          <c:showVal val="true"/>
          <c:showCatName val="false"/>
          <c:showSerName val="false"/>
          <c:showPercent val="false"/>
          <c:showBubbleSize val="false"/>
          <c:showLeaderLines val="true"/>
        </c:dLbls>
        <c:firstSliceAng val="0"/>
      </c:pieChart>
      <c:spPr>
        <a:noFill/>
        <a:ln>
          <a:noFill/>
        </a:ln>
        <a:effectLst/>
      </c:spPr>
    </c:plotArea>
    <c:legend>
      <c:legendPos val="r"/>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false"/>
      <c:spPr>
        <a:noFill/>
        <a:ln>
          <a:noFill/>
        </a:ln>
        <a:effectLst/>
      </c:spPr>
    </c:title>
    <c:autoTitleDeleted val="false"/>
    <c:plotArea>
      <c:layout/>
      <c:barChart>
        <c:barDir val="col"/>
        <c:grouping val="clustered"/>
        <c:varyColors val="false"/>
        <c:ser>
          <c:idx val="0"/>
          <c:order val="0"/>
          <c:tx>
            <c:strRef>
              <c:f>Sheet1!$B$1</c:f>
              <c:strCache>
                <c:ptCount val="1"/>
                <c:pt idx="0">
                  <c:v>2022年</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6093.82</c:v>
                </c:pt>
                <c:pt idx="1">
                  <c:v>6227.41</c:v>
                </c:pt>
                <c:pt idx="2">
                  <c:v>6093.82</c:v>
                </c:pt>
                <c:pt idx="3">
                  <c:v>6227.41</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9440.43</c:v>
                </c:pt>
                <c:pt idx="1">
                  <c:v>9440.43</c:v>
                </c:pt>
                <c:pt idx="2">
                  <c:v>9440.43</c:v>
                </c:pt>
                <c:pt idx="3">
                  <c:v>9440.43</c:v>
                </c:pt>
                <c:pt idx="4">
                  <c:v>0</c:v>
                </c:pt>
                <c:pt idx="5">
                  <c:v>0</c:v>
                </c:pt>
                <c:pt idx="6">
                  <c:v>0</c:v>
                </c:pt>
                <c:pt idx="7">
                  <c:v>0</c:v>
                </c:pt>
              </c:numCache>
            </c:numRef>
          </c:val>
        </c:ser>
        <c:dLbls>
          <c:showLegendKey val="false"/>
          <c:showVal val="true"/>
          <c:showCatName val="false"/>
          <c:showSerName val="false"/>
          <c:showPercent val="false"/>
          <c:showBubbleSize val="false"/>
        </c:dLbls>
        <c:gapWidth val="246"/>
        <c:overlap val="-28"/>
        <c:axId val="40225855"/>
        <c:axId val="660958640"/>
      </c:barChart>
      <c:catAx>
        <c:axId val="40225855"/>
        <c:scaling>
          <c:orientation val="minMax"/>
        </c:scaling>
        <c:delete val="false"/>
        <c:axPos val="b"/>
        <c:numFmt formatCode="General" sourceLinked="false"/>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true"/>
        <c:lblAlgn val="ctr"/>
        <c:lblOffset val="100"/>
        <c:noMultiLvlLbl val="false"/>
      </c:catAx>
      <c:valAx>
        <c:axId val="660958640"/>
        <c:scaling>
          <c:orientation val="minMax"/>
        </c:scaling>
        <c:delete val="false"/>
        <c:axPos val="l"/>
        <c:majorGridlines>
          <c:spPr>
            <a:ln w="9525" cap="flat" cmpd="sng" algn="ctr">
              <a:solidFill>
                <a:schemeClr val="lt1">
                  <a:lumMod val="90200"/>
                </a:schemeClr>
              </a:solidFill>
              <a:round/>
            </a:ln>
            <a:effectLst/>
          </c:spPr>
        </c:majorGridlines>
        <c:numFmt formatCode="General" sourceLinked="true"/>
        <c:majorTickMark val="out"/>
        <c:minorTickMark val="none"/>
        <c:tickLblPos val="nextTo"/>
        <c:spPr>
          <a:noFill/>
          <a:ln>
            <a:noFill/>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true"/>
        <c:showVertBorder val="true"/>
        <c:showOutline val="true"/>
        <c:showKeys val="true"/>
        <c:spPr>
          <a:noFill/>
          <a:ln w="9525" cap="flat" cmpd="sng" algn="ctr">
            <a:solidFill>
              <a:schemeClr val="tx1">
                <a:lumMod val="15000"/>
                <a:lumOff val="85000"/>
              </a:schemeClr>
            </a:solidFill>
            <a:round/>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false"/>
      <c:spPr>
        <a:noFill/>
        <a:ln>
          <a:noFill/>
        </a:ln>
        <a:effectLst/>
      </c:spPr>
    </c:title>
    <c:autoTitleDeleted val="false"/>
    <c:plotArea>
      <c:layout>
        <c:manualLayout>
          <c:layoutTarget val="inner"/>
          <c:xMode val="edge"/>
          <c:yMode val="edge"/>
          <c:x val="0.17641942498188"/>
          <c:y val="0.160433489162771"/>
          <c:w val="0.795796086011114"/>
          <c:h val="0.474330641733957"/>
        </c:manualLayout>
      </c:layout>
      <c:barChart>
        <c:barDir val="col"/>
        <c:grouping val="clustered"/>
        <c:varyColors val="false"/>
        <c:ser>
          <c:idx val="0"/>
          <c:order val="0"/>
          <c:tx>
            <c:strRef>
              <c:f>Sheet1!$B$1</c:f>
              <c:strCache>
                <c:ptCount val="1"/>
                <c:pt idx="0">
                  <c:v>年初预算数</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9340.74</c:v>
                </c:pt>
                <c:pt idx="1">
                  <c:v>9340.74</c:v>
                </c:pt>
                <c:pt idx="2">
                  <c:v>9340.74</c:v>
                </c:pt>
                <c:pt idx="3">
                  <c:v>9340.74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9440.43</c:v>
                </c:pt>
                <c:pt idx="1">
                  <c:v>9440.43</c:v>
                </c:pt>
                <c:pt idx="2">
                  <c:v>9440.43</c:v>
                </c:pt>
                <c:pt idx="3">
                  <c:v>9440.43</c:v>
                </c:pt>
                <c:pt idx="4">
                  <c:v>0</c:v>
                </c:pt>
                <c:pt idx="5">
                  <c:v>0</c:v>
                </c:pt>
                <c:pt idx="6">
                  <c:v>0</c:v>
                </c:pt>
                <c:pt idx="7">
                  <c:v>0</c:v>
                </c:pt>
              </c:numCache>
            </c:numRef>
          </c:val>
        </c:ser>
        <c:dLbls>
          <c:showLegendKey val="false"/>
          <c:showVal val="true"/>
          <c:showCatName val="false"/>
          <c:showSerName val="false"/>
          <c:showPercent val="false"/>
          <c:showBubbleSize val="false"/>
        </c:dLbls>
        <c:gapWidth val="150"/>
        <c:axId val="136214206"/>
        <c:axId val="897256872"/>
      </c:barChart>
      <c:catAx>
        <c:axId val="136214206"/>
        <c:scaling>
          <c:orientation val="minMax"/>
        </c:scaling>
        <c:delete val="false"/>
        <c:axPos val="b"/>
        <c:numFmt formatCode="General" sourceLinked="false"/>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true"/>
        <c:lblAlgn val="ctr"/>
        <c:lblOffset val="100"/>
        <c:noMultiLvlLbl val="false"/>
      </c:catAx>
      <c:valAx>
        <c:axId val="897256872"/>
        <c:scaling>
          <c:orientation val="minMax"/>
        </c:scaling>
        <c:delete val="false"/>
        <c:axPos val="l"/>
        <c:majorGridlines>
          <c:spPr>
            <a:ln w="9525" cap="flat" cmpd="sng" algn="ctr">
              <a:solidFill>
                <a:schemeClr val="lt1">
                  <a:lumMod val="90200"/>
                </a:schemeClr>
              </a:solidFill>
              <a:round/>
            </a:ln>
            <a:effectLst/>
          </c:spPr>
        </c:majorGridlines>
        <c:numFmt formatCode="General" sourceLinked="true"/>
        <c:majorTickMark val="none"/>
        <c:minorTickMark val="none"/>
        <c:tickLblPos val="nextTo"/>
        <c:spPr>
          <a:noFill/>
          <a:ln>
            <a:noFill/>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true"/>
        <c:showVertBorder val="true"/>
        <c:showOutline val="true"/>
        <c:showKeys val="true"/>
        <c:spPr>
          <a:noFill/>
          <a:ln w="9525" cap="flat" cmpd="sng" algn="ctr">
            <a:solidFill>
              <a:schemeClr val="tx1">
                <a:lumMod val="15000"/>
                <a:lumOff val="85000"/>
              </a:schemeClr>
            </a:solidFill>
            <a:round/>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false"/>
      <c:spPr>
        <a:noFill/>
        <a:ln>
          <a:noFill/>
        </a:ln>
        <a:effectLst/>
      </c:spPr>
    </c:title>
    <c:autoTitleDeleted val="false"/>
    <c:plotArea>
      <c:layout/>
      <c:pieChart>
        <c:varyColors val="true"/>
        <c:ser>
          <c:idx val="0"/>
          <c:order val="0"/>
          <c:tx>
            <c:strRef>
              <c:f>Sheet1!$B$1</c:f>
              <c:strCache>
                <c:ptCount val="1"/>
                <c:pt idx="0">
                  <c:v>金额</c:v>
                </c:pt>
              </c:strCache>
            </c:strRef>
          </c:tx>
          <c:spPr/>
          <c:explosion val="0"/>
          <c:dPt>
            <c:idx val="0"/>
            <c:bubble3D val="false"/>
            <c:spPr>
              <a:solidFill>
                <a:schemeClr val="accent1"/>
              </a:solidFill>
              <a:ln>
                <a:solidFill>
                  <a:schemeClr val="bg1"/>
                </a:solidFill>
              </a:ln>
              <a:effectLst/>
            </c:spPr>
          </c:dPt>
          <c:dPt>
            <c:idx val="1"/>
            <c:bubble3D val="false"/>
            <c:spPr>
              <a:solidFill>
                <a:schemeClr val="accent2"/>
              </a:solidFill>
              <a:ln>
                <a:solidFill>
                  <a:schemeClr val="bg1"/>
                </a:solidFill>
              </a:ln>
              <a:effectLst/>
            </c:spPr>
          </c:dPt>
          <c:dPt>
            <c:idx val="2"/>
            <c:bubble3D val="false"/>
            <c:spPr>
              <a:solidFill>
                <a:schemeClr val="accent3"/>
              </a:solidFill>
              <a:ln>
                <a:solidFill>
                  <a:schemeClr val="bg1"/>
                </a:solidFill>
              </a:ln>
              <a:effectLst/>
            </c:spPr>
          </c:dPt>
          <c:dPt>
            <c:idx val="3"/>
            <c:bubble3D val="false"/>
            <c:spPr>
              <a:solidFill>
                <a:schemeClr val="accent4"/>
              </a:solidFill>
              <a:ln>
                <a:solidFill>
                  <a:schemeClr val="bg1"/>
                </a:solidFill>
              </a:ln>
              <a:effectLst/>
            </c:spPr>
          </c:dPt>
          <c:dPt>
            <c:idx val="4"/>
            <c:bubble3D val="false"/>
            <c:spPr>
              <a:solidFill>
                <a:schemeClr val="accent5"/>
              </a:solidFill>
              <a:ln>
                <a:solidFill>
                  <a:schemeClr val="bg1"/>
                </a:solidFill>
              </a:ln>
              <a:effectLst/>
            </c:spPr>
          </c:dPt>
          <c:dPt>
            <c:idx val="5"/>
            <c:bubble3D val="false"/>
            <c:spPr>
              <a:solidFill>
                <a:schemeClr val="accent6"/>
              </a:solidFill>
              <a:ln>
                <a:solidFill>
                  <a:schemeClr val="bg1"/>
                </a:solidFill>
              </a:ln>
              <a:effectLst/>
            </c:spPr>
          </c:dPt>
          <c:dPt>
            <c:idx val="6"/>
            <c:bubble3D val="false"/>
            <c:spPr>
              <a:solidFill>
                <a:schemeClr val="accent1">
                  <a:lumMod val="60000"/>
                </a:schemeClr>
              </a:solidFill>
              <a:ln>
                <a:solidFill>
                  <a:schemeClr val="bg1"/>
                </a:solidFill>
              </a:ln>
              <a:effectLst/>
            </c:spPr>
          </c:dPt>
          <c:dPt>
            <c:idx val="7"/>
            <c:bubble3D val="false"/>
            <c:spPr>
              <a:solidFill>
                <a:schemeClr val="accent2">
                  <a:lumMod val="60000"/>
                </a:schemeClr>
              </a:solidFill>
              <a:ln>
                <a:solidFill>
                  <a:schemeClr val="bg1"/>
                </a:solidFill>
              </a:ln>
              <a:effectLst/>
            </c:spPr>
          </c:dPt>
          <c:dPt>
            <c:idx val="8"/>
            <c:bubble3D val="false"/>
            <c:spPr>
              <a:solidFill>
                <a:schemeClr val="accent3">
                  <a:lumMod val="60000"/>
                </a:schemeClr>
              </a:solidFill>
              <a:ln>
                <a:solidFill>
                  <a:schemeClr val="bg1"/>
                </a:solidFill>
              </a:ln>
              <a:effectLst/>
            </c:spPr>
          </c:dPt>
          <c:dPt>
            <c:idx val="9"/>
            <c:bubble3D val="false"/>
            <c:spPr>
              <a:solidFill>
                <a:schemeClr val="accent4">
                  <a:lumMod val="60000"/>
                </a:schemeClr>
              </a:solidFill>
              <a:ln>
                <a:solidFill>
                  <a:schemeClr val="bg1"/>
                </a:solidFill>
              </a:ln>
              <a:effectLst/>
            </c:spPr>
          </c:dPt>
          <c:dPt>
            <c:idx val="10"/>
            <c:bubble3D val="false"/>
            <c:spPr>
              <a:solidFill>
                <a:schemeClr val="accent5">
                  <a:lumMod val="60000"/>
                </a:schemeClr>
              </a:solidFill>
              <a:ln>
                <a:solidFill>
                  <a:schemeClr val="bg1"/>
                </a:solidFill>
              </a:ln>
              <a:effectLst/>
            </c:spPr>
          </c:dPt>
          <c:dPt>
            <c:idx val="11"/>
            <c:bubble3D val="false"/>
            <c:spPr>
              <a:solidFill>
                <a:schemeClr val="accent6">
                  <a:lumMod val="60000"/>
                </a:schemeClr>
              </a:solidFill>
              <a:ln>
                <a:solidFill>
                  <a:schemeClr val="bg1"/>
                </a:solidFill>
              </a:ln>
              <a:effectLst/>
            </c:spPr>
          </c:dPt>
          <c:dPt>
            <c:idx val="12"/>
            <c:bubble3D val="false"/>
            <c:spPr>
              <a:solidFill>
                <a:schemeClr val="accent1">
                  <a:lumMod val="80000"/>
                  <a:lumOff val="20000"/>
                </a:schemeClr>
              </a:solidFill>
              <a:ln>
                <a:solidFill>
                  <a:schemeClr val="bg1"/>
                </a:solidFill>
              </a:ln>
              <a:effectLst/>
            </c:spPr>
          </c:dPt>
          <c:dPt>
            <c:idx val="13"/>
            <c:bubble3D val="false"/>
            <c:spPr>
              <a:solidFill>
                <a:schemeClr val="accent2">
                  <a:lumMod val="80000"/>
                  <a:lumOff val="20000"/>
                </a:schemeClr>
              </a:solidFill>
              <a:ln>
                <a:solidFill>
                  <a:schemeClr val="bg1"/>
                </a:solidFill>
              </a:ln>
              <a:effectLst/>
            </c:spPr>
          </c:dPt>
          <c:dPt>
            <c:idx val="14"/>
            <c:bubble3D val="false"/>
            <c:spPr>
              <a:solidFill>
                <a:schemeClr val="accent3">
                  <a:lumMod val="80000"/>
                  <a:lumOff val="20000"/>
                </a:schemeClr>
              </a:solidFill>
              <a:ln>
                <a:solidFill>
                  <a:schemeClr val="bg1"/>
                </a:solidFill>
              </a:ln>
              <a:effectLst/>
            </c:spPr>
          </c:dPt>
          <c:dPt>
            <c:idx val="15"/>
            <c:bubble3D val="false"/>
            <c:spPr>
              <a:solidFill>
                <a:schemeClr val="accent4">
                  <a:lumMod val="80000"/>
                  <a:lumOff val="20000"/>
                </a:schemeClr>
              </a:solidFill>
              <a:ln>
                <a:solidFill>
                  <a:schemeClr val="bg1"/>
                </a:solidFill>
              </a:ln>
              <a:effectLst/>
            </c:spPr>
          </c:dPt>
          <c:dPt>
            <c:idx val="16"/>
            <c:bubble3D val="false"/>
            <c:spPr>
              <a:solidFill>
                <a:schemeClr val="accent5">
                  <a:lumMod val="80000"/>
                  <a:lumOff val="20000"/>
                </a:schemeClr>
              </a:solidFill>
              <a:ln>
                <a:solidFill>
                  <a:schemeClr val="bg1"/>
                </a:solidFill>
              </a:ln>
              <a:effectLst/>
            </c:spPr>
          </c:dPt>
          <c:dPt>
            <c:idx val="17"/>
            <c:bubble3D val="false"/>
            <c:spPr>
              <a:solidFill>
                <a:schemeClr val="accent6">
                  <a:lumMod val="80000"/>
                  <a:lumOff val="20000"/>
                </a:schemeClr>
              </a:solidFill>
              <a:ln>
                <a:solidFill>
                  <a:schemeClr val="bg1"/>
                </a:solidFill>
              </a:ln>
              <a:effectLst/>
            </c:spPr>
          </c:dPt>
          <c:dPt>
            <c:idx val="18"/>
            <c:bubble3D val="false"/>
            <c:spPr>
              <a:solidFill>
                <a:schemeClr val="accent1">
                  <a:lumMod val="80000"/>
                </a:schemeClr>
              </a:solidFill>
              <a:ln>
                <a:solidFill>
                  <a:schemeClr val="bg1"/>
                </a:solidFill>
              </a:ln>
              <a:effectLst/>
            </c:spPr>
          </c:dPt>
          <c:dPt>
            <c:idx val="19"/>
            <c:bubble3D val="false"/>
            <c:spPr>
              <a:solidFill>
                <a:schemeClr val="accent2">
                  <a:lumMod val="80000"/>
                </a:schemeClr>
              </a:solidFill>
              <a:ln>
                <a:solidFill>
                  <a:schemeClr val="bg1"/>
                </a:solidFill>
              </a:ln>
              <a:effectLst/>
            </c:spPr>
          </c:dPt>
          <c:dPt>
            <c:idx val="20"/>
            <c:bubble3D val="false"/>
            <c:spPr>
              <a:solidFill>
                <a:schemeClr val="accent3">
                  <a:lumMod val="80000"/>
                </a:schemeClr>
              </a:solidFill>
              <a:ln>
                <a:solidFill>
                  <a:schemeClr val="bg1"/>
                </a:solidFill>
              </a:ln>
              <a:effectLst/>
            </c:spPr>
          </c:dPt>
          <c:dPt>
            <c:idx val="21"/>
            <c:bubble3D val="false"/>
            <c:spPr>
              <a:solidFill>
                <a:schemeClr val="accent4">
                  <a:lumMod val="80000"/>
                </a:schemeClr>
              </a:solidFill>
              <a:ln>
                <a:solidFill>
                  <a:schemeClr val="bg1"/>
                </a:solidFill>
              </a:ln>
              <a:effectLst/>
            </c:spPr>
          </c:dPt>
          <c:dLbls>
            <c:delete val="true"/>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96.99</c:v>
                </c:pt>
                <c:pt idx="7">
                  <c:v>59.63</c:v>
                </c:pt>
                <c:pt idx="8">
                  <c:v>0</c:v>
                </c:pt>
                <c:pt idx="9">
                  <c:v>0</c:v>
                </c:pt>
                <c:pt idx="10">
                  <c:v>0</c:v>
                </c:pt>
                <c:pt idx="11">
                  <c:v>0</c:v>
                </c:pt>
                <c:pt idx="12">
                  <c:v>0</c:v>
                </c:pt>
                <c:pt idx="13">
                  <c:v>0</c:v>
                </c:pt>
                <c:pt idx="14">
                  <c:v>9203.52</c:v>
                </c:pt>
                <c:pt idx="15">
                  <c:v>0</c:v>
                </c:pt>
                <c:pt idx="16">
                  <c:v>80.29</c:v>
                </c:pt>
                <c:pt idx="17">
                  <c:v>0</c:v>
                </c:pt>
                <c:pt idx="18">
                  <c:v>0</c:v>
                </c:pt>
                <c:pt idx="19">
                  <c:v>0</c:v>
                </c:pt>
                <c:pt idx="20">
                  <c:v>0</c:v>
                </c:pt>
                <c:pt idx="21">
                  <c:v>0</c:v>
                </c:pt>
              </c:numCache>
            </c:numRef>
          </c:val>
        </c:ser>
        <c:dLbls>
          <c:showLegendKey val="false"/>
          <c:showVal val="false"/>
          <c:showCatName val="false"/>
          <c:showSerName val="false"/>
          <c:showPercent val="false"/>
          <c:showBubbleSize val="false"/>
          <c:showLeaderLines val="true"/>
        </c:dLbls>
        <c:firstSliceAng val="0"/>
      </c:pieChart>
      <c:spPr>
        <a:noFill/>
        <a:ln>
          <a:noFill/>
        </a:ln>
        <a:effectLst/>
      </c:spPr>
    </c:plotArea>
    <c:legend>
      <c:legendPos val="r"/>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false"/>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true">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57</Pages>
  <Words>10284</Words>
  <Characters>34684</Characters>
  <Lines>86</Lines>
  <Paragraphs>24</Paragraphs>
  <TotalTime>0</TotalTime>
  <ScaleCrop>false</ScaleCrop>
  <LinksUpToDate>false</LinksUpToDate>
  <CharactersWithSpaces>35317</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2023-08-04T15:55:00Z</dcterms:created>
  <dc:creator>王明新TIAD</dc:creator>
  <cp:lastModifiedBy>uos</cp:lastModifiedBy>
  <cp:lastPrinted>2024-09-26T10:42:00Z</cp:lastPrinted>
  <dcterms:modified xsi:type="dcterms:W3CDTF">2024-09-26T16:18:20Z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