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59264" behindDoc="1" locked="0" layoutInCell="1" allowOverlap="1">
            <wp:simplePos x="0" y="0"/>
            <wp:positionH relativeFrom="margin">
              <wp:posOffset>-2950210</wp:posOffset>
            </wp:positionH>
            <wp:positionV relativeFrom="margin">
              <wp:posOffset>645160</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3"/>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4"/>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5"/>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6"/>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：301001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：石家庄市人民政府办公室(本级)</w:t>
      </w:r>
    </w:p>
    <w:p>
      <w:pPr>
        <w:spacing w:line="600" w:lineRule="auto"/>
        <w:jc w:val="left"/>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八</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jc w:val="both"/>
        <w:rPr>
          <w:rFonts w:hint="eastAsia"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rPr>
          <w:rFonts w:ascii="Arial" w:hAnsi="Arial" w:eastAsia="Arial" w:cs="Arial"/>
          <w:color w:val="000000"/>
          <w:sz w:val="18"/>
          <w:szCs w:val="18"/>
          <w:shd w:val="clear" w:color="auto" w:fill="FFFFFF"/>
        </w:rPr>
      </w:pPr>
    </w:p>
    <w:p>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1"/>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pPr>
        <w:spacing w:before="220" w:beforeLines="0" w:afterLines="0" w:line="300" w:lineRule="exact"/>
        <w:ind w:left="600"/>
        <w:jc w:val="left"/>
        <w:rPr>
          <w:rFonts w:hint="eastAsia" w:ascii="仿宋" w:hAnsi="仿宋" w:eastAsia="仿宋" w:cs="仿宋"/>
          <w:sz w:val="24"/>
          <w:szCs w:val="24"/>
        </w:rPr>
      </w:pPr>
      <w:r>
        <w:rPr>
          <w:rFonts w:ascii="Arial" w:hAnsi="Arial" w:eastAsia="Arial" w:cs="Arial"/>
          <w:color w:val="000000"/>
          <w:sz w:val="18"/>
          <w:szCs w:val="18"/>
          <w:shd w:val="clear" w:color="auto" w:fill="FFFFFF"/>
        </w:rPr>
        <w:t> </w:t>
      </w: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一)协助市政府领导组织起草或审核上报省政府、省政府办公</w:t>
      </w:r>
    </w:p>
    <w:p>
      <w:pPr>
        <w:spacing w:before="34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厅和致函省政府各</w:t>
      </w:r>
      <w:r>
        <w:rPr>
          <w:rFonts w:hint="eastAsia" w:ascii="仿宋" w:hAnsi="仿宋" w:eastAsia="仿宋" w:cs="仿宋"/>
          <w:color w:val="000000"/>
          <w:sz w:val="30"/>
          <w:szCs w:val="24"/>
          <w:lang w:eastAsia="zh-CN"/>
        </w:rPr>
        <w:t>单位</w:t>
      </w:r>
      <w:r>
        <w:rPr>
          <w:rFonts w:hint="eastAsia" w:ascii="仿宋" w:hAnsi="仿宋" w:eastAsia="仿宋" w:cs="仿宋"/>
          <w:color w:val="000000"/>
          <w:sz w:val="30"/>
          <w:szCs w:val="24"/>
        </w:rPr>
        <w:t>的公文,以及以市政府、市政府办公室名义发</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布的公文;负责市政府、市政府办公室日常公文办理。</w:t>
      </w:r>
    </w:p>
    <w:p>
      <w:pPr>
        <w:spacing w:before="300" w:beforeLines="0" w:afterLines="0" w:line="32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二</w:t>
      </w:r>
      <w:r>
        <w:rPr>
          <w:rFonts w:hint="eastAsia" w:ascii="仿宋" w:hAnsi="仿宋" w:eastAsia="仿宋" w:cs="仿宋"/>
          <w:color w:val="000000"/>
          <w:sz w:val="30"/>
          <w:szCs w:val="24"/>
          <w:lang w:val="en-US" w:eastAsia="zh-CN"/>
        </w:rPr>
        <w:t>)</w:t>
      </w:r>
      <w:r>
        <w:rPr>
          <w:rFonts w:hint="eastAsia" w:ascii="仿宋" w:hAnsi="仿宋" w:eastAsia="仿宋" w:cs="仿宋"/>
          <w:color w:val="000000"/>
          <w:sz w:val="30"/>
          <w:szCs w:val="24"/>
        </w:rPr>
        <w:t>负责市政府领导活动的组织和协调工作</w:t>
      </w:r>
      <w:r>
        <w:rPr>
          <w:rFonts w:hint="eastAsia" w:ascii="仿宋" w:hAnsi="仿宋" w:eastAsia="仿宋" w:cs="仿宋"/>
          <w:color w:val="000000"/>
          <w:sz w:val="16"/>
          <w:szCs w:val="24"/>
        </w:rPr>
        <w:t xml:space="preserve"> </w:t>
      </w:r>
      <w:r>
        <w:rPr>
          <w:rFonts w:hint="eastAsia" w:ascii="仿宋" w:hAnsi="仿宋" w:eastAsia="仿宋" w:cs="仿宋"/>
          <w:color w:val="000000"/>
          <w:sz w:val="30"/>
          <w:szCs w:val="24"/>
        </w:rPr>
        <w:t>负责市政府会议</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的准备和服务工作,协助市政府领导组织落实会议决定事项。</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三)研究市政府各</w:t>
      </w:r>
      <w:r>
        <w:rPr>
          <w:rFonts w:hint="eastAsia" w:ascii="仿宋" w:hAnsi="仿宋" w:eastAsia="仿宋" w:cs="仿宋"/>
          <w:color w:val="000000"/>
          <w:sz w:val="30"/>
          <w:szCs w:val="24"/>
          <w:lang w:eastAsia="zh-CN"/>
        </w:rPr>
        <w:t>单位</w:t>
      </w:r>
      <w:r>
        <w:rPr>
          <w:rFonts w:hint="eastAsia" w:ascii="仿宋" w:hAnsi="仿宋" w:eastAsia="仿宋" w:cs="仿宋"/>
          <w:color w:val="000000"/>
          <w:sz w:val="30"/>
          <w:szCs w:val="24"/>
        </w:rPr>
        <w:t>和各县(市、区)</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政府请示市政府的事项,</w:t>
      </w:r>
    </w:p>
    <w:p>
      <w:pPr>
        <w:spacing w:before="34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提出审核意见,报市政府领导审批。</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四)根据市政府领导的批示,对市政府各</w:t>
      </w:r>
      <w:r>
        <w:rPr>
          <w:rFonts w:hint="eastAsia" w:ascii="仿宋" w:hAnsi="仿宋" w:eastAsia="仿宋" w:cs="仿宋"/>
          <w:color w:val="000000"/>
          <w:sz w:val="30"/>
          <w:szCs w:val="24"/>
          <w:lang w:eastAsia="zh-CN"/>
        </w:rPr>
        <w:t>单位</w:t>
      </w:r>
      <w:r>
        <w:rPr>
          <w:rFonts w:hint="eastAsia" w:ascii="仿宋" w:hAnsi="仿宋" w:eastAsia="仿宋" w:cs="仿宋"/>
          <w:color w:val="000000"/>
          <w:sz w:val="30"/>
          <w:szCs w:val="24"/>
        </w:rPr>
        <w:t>间出现的争议问</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题提出处理意见，报市政府领导决定。</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五)组织起草市政府领导重要讲话及其他重要文稿。</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六)组织承办人大代表建议和政协委员提案工作。</w:t>
      </w:r>
    </w:p>
    <w:p>
      <w:pPr>
        <w:spacing w:before="34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七)负责承办市政府提请市人大常委会任免议案和提请市政府</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任命工作人员的行政任免有关手续;负责承办市政府任命工作人员</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的宪法宣誓工作。</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八)负责市政府值班工作,及时报告重要情况,传达和督促落实</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市政府领导工作要求。</w:t>
      </w:r>
    </w:p>
    <w:p>
      <w:pPr>
        <w:spacing w:before="34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九)根据市政府工作部署和市政府领导要求,组织专题调研,及</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时反映情况,提出建议。</w:t>
      </w:r>
    </w:p>
    <w:p>
      <w:pPr>
        <w:spacing w:before="300" w:beforeLines="0" w:afterLines="0" w:line="32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w:t>
      </w:r>
      <w:r>
        <w:rPr>
          <w:rFonts w:hint="eastAsia" w:ascii="仿宋" w:hAnsi="仿宋" w:eastAsia="仿宋" w:cs="仿宋"/>
          <w:color w:val="000000"/>
          <w:sz w:val="12"/>
          <w:szCs w:val="24"/>
        </w:rPr>
        <w:t xml:space="preserve"> </w:t>
      </w:r>
      <w:r>
        <w:rPr>
          <w:rFonts w:hint="eastAsia" w:ascii="仿宋" w:hAnsi="仿宋" w:eastAsia="仿宋" w:cs="仿宋"/>
          <w:color w:val="000000"/>
          <w:sz w:val="30"/>
          <w:szCs w:val="24"/>
        </w:rPr>
        <w:t>负责推进、指导、协调、监督、考核评估全市政务公开和</w:t>
      </w:r>
    </w:p>
    <w:p>
      <w:pPr>
        <w:spacing w:before="300" w:beforeLines="0" w:afterLines="0" w:line="320" w:lineRule="exact"/>
        <w:ind w:left="600"/>
        <w:jc w:val="left"/>
        <w:rPr>
          <w:rFonts w:hint="eastAsia" w:ascii="仿宋" w:hAnsi="仿宋" w:eastAsia="仿宋" w:cs="仿宋"/>
          <w:sz w:val="24"/>
          <w:szCs w:val="24"/>
        </w:rPr>
        <w:sectPr>
          <w:pgSz w:w="11900" w:h="16820"/>
          <w:pgMar w:top="1440" w:right="1200" w:bottom="1440" w:left="1500" w:header="720" w:footer="720" w:gutter="0"/>
          <w:lnNumType w:countBy="0" w:distance="360"/>
          <w:cols w:space="720" w:num="1"/>
        </w:sectPr>
      </w:pPr>
    </w:p>
    <w:p>
      <w:pPr>
        <w:spacing w:beforeLines="0" w:afterLines="0" w:line="540" w:lineRule="exact"/>
        <w:jc w:val="left"/>
        <w:rPr>
          <w:rFonts w:hint="eastAsia" w:ascii="仿宋" w:hAnsi="仿宋" w:eastAsia="仿宋" w:cs="仿宋"/>
          <w:sz w:val="21"/>
          <w:szCs w:val="24"/>
        </w:rPr>
      </w:pPr>
    </w:p>
    <w:p>
      <w:pPr>
        <w:spacing w:before="200" w:beforeLines="0" w:afterLines="0" w:line="300" w:lineRule="exact"/>
        <w:ind w:left="260"/>
        <w:jc w:val="left"/>
        <w:rPr>
          <w:rFonts w:hint="eastAsia" w:ascii="仿宋" w:hAnsi="仿宋" w:eastAsia="仿宋" w:cs="仿宋"/>
          <w:sz w:val="24"/>
          <w:szCs w:val="24"/>
        </w:rPr>
      </w:pPr>
      <w:r>
        <w:rPr>
          <w:rFonts w:hint="eastAsia" w:ascii="仿宋" w:hAnsi="仿宋" w:eastAsia="仿宋" w:cs="仿宋"/>
          <w:color w:val="000000"/>
          <w:sz w:val="30"/>
          <w:szCs w:val="24"/>
        </w:rPr>
        <w:t>政府信息公开工作。</w:t>
      </w:r>
    </w:p>
    <w:p>
      <w:pPr>
        <w:spacing w:before="320" w:beforeLines="0" w:afterLines="0" w:line="300" w:lineRule="exact"/>
        <w:ind w:left="86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十一)负责政务信息服务工作。</w:t>
      </w:r>
    </w:p>
    <w:p>
      <w:pPr>
        <w:spacing w:before="300" w:beforeLines="0" w:afterLines="0" w:line="320" w:lineRule="exact"/>
        <w:ind w:left="86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十二</w:t>
      </w:r>
      <w:r>
        <w:rPr>
          <w:rFonts w:hint="eastAsia" w:ascii="仿宋" w:hAnsi="仿宋" w:eastAsia="仿宋" w:cs="仿宋"/>
          <w:color w:val="000000"/>
          <w:sz w:val="12"/>
          <w:szCs w:val="24"/>
        </w:rPr>
        <w:t xml:space="preserve"> </w:t>
      </w:r>
      <w:r>
        <w:rPr>
          <w:rFonts w:hint="eastAsia" w:ascii="仿宋" w:hAnsi="仿宋" w:eastAsia="仿宋" w:cs="仿宋"/>
          <w:color w:val="000000"/>
          <w:sz w:val="30"/>
          <w:szCs w:val="24"/>
        </w:rPr>
        <w:t>)负责协调联络有关市政府新闻宣传和舆情回应等工作。</w:t>
      </w:r>
    </w:p>
    <w:p>
      <w:pPr>
        <w:keepNext/>
        <w:keepLines/>
        <w:spacing w:line="580" w:lineRule="exact"/>
        <w:ind w:firstLine="600" w:firstLineChars="200"/>
        <w:jc w:val="left"/>
        <w:outlineLvl w:val="0"/>
        <w:rPr>
          <w:rFonts w:ascii="Arial" w:hAnsi="Arial" w:eastAsia="Arial" w:cs="Arial"/>
          <w:sz w:val="32"/>
          <w:szCs w:val="32"/>
          <w:highlight w:val="yellow"/>
        </w:rPr>
      </w:pPr>
      <w:r>
        <w:rPr>
          <w:rFonts w:hint="eastAsia" w:ascii="仿宋" w:hAnsi="仿宋" w:eastAsia="仿宋" w:cs="仿宋"/>
          <w:color w:val="000000"/>
          <w:sz w:val="30"/>
          <w:szCs w:val="24"/>
          <w:lang w:val="en-US" w:eastAsia="zh-CN"/>
        </w:rPr>
        <w:t xml:space="preserve"> </w:t>
      </w: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十三)完成市政府交办的其他任务。</w:t>
      </w:r>
    </w:p>
    <w:p>
      <w:pPr>
        <w:pStyle w:val="11"/>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1"/>
        <w:widowControl/>
        <w:shd w:val="clear" w:color="auto" w:fill="FFFFFF"/>
        <w:spacing w:beforeAutospacing="0" w:afterAutospacing="0"/>
        <w:ind w:firstLine="640" w:firstLineChars="200"/>
        <w:rPr>
          <w:rFonts w:hint="eastAsia"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w:t>
      </w:r>
      <w:r>
        <w:rPr>
          <w:rFonts w:hint="eastAsia" w:ascii="仿宋_GB2312" w:hAnsi="仿宋_GB2312" w:eastAsia="仿宋_GB2312" w:cs="仿宋_GB2312"/>
          <w:sz w:val="32"/>
          <w:szCs w:val="32"/>
          <w:shd w:val="clear" w:color="auto" w:fill="FFFFFF"/>
          <w:lang w:eastAsia="zh-CN"/>
        </w:rPr>
        <w:t>单位</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”）共</w:t>
      </w:r>
      <w:r>
        <w:rPr>
          <w:rFonts w:hint="eastAsia" w:ascii="仿宋_GB2312" w:hAnsi="仿宋_GB2312" w:eastAsia="仿宋_GB2312" w:cs="仿宋_GB2312"/>
          <w:sz w:val="32"/>
          <w:szCs w:val="32"/>
          <w:shd w:val="clear" w:color="auto" w:fill="FFFFFF"/>
          <w:lang w:val="en-US" w:eastAsia="zh-CN"/>
        </w:rPr>
        <w:t>1</w:t>
      </w:r>
      <w:r>
        <w:rPr>
          <w:rFonts w:ascii="仿宋_GB2312" w:hAnsi="仿宋_GB2312" w:eastAsia="仿宋_GB2312" w:cs="仿宋_GB2312"/>
          <w:sz w:val="32"/>
          <w:szCs w:val="32"/>
          <w:shd w:val="clear" w:color="auto" w:fill="FFFFFF"/>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石家庄市人民政府办公室</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1"/>
        <w:widowControl/>
        <w:shd w:val="clear" w:color="auto" w:fill="FFFFFF"/>
        <w:spacing w:beforeAutospacing="0" w:afterAutospacing="0"/>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ind w:firstLine="640" w:firstLineChars="200"/>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none"/>
        </w:rPr>
        <w:t>我</w:t>
      </w:r>
      <w:r>
        <w:rPr>
          <w:rFonts w:hint="eastAsia" w:ascii="Times New Roman" w:hAnsi="Times New Roman" w:eastAsia="黑体" w:cs="Times New Roman"/>
          <w:sz w:val="32"/>
          <w:szCs w:val="32"/>
          <w:highlight w:val="none"/>
          <w:lang w:val="en-US" w:eastAsia="zh-CN"/>
        </w:rPr>
        <w:t>部门</w:t>
      </w:r>
      <w:r>
        <w:rPr>
          <w:rFonts w:hint="eastAsia" w:ascii="Times New Roman" w:hAnsi="Times New Roman" w:eastAsia="黑体" w:cs="Times New Roman"/>
          <w:sz w:val="32"/>
          <w:szCs w:val="32"/>
          <w:highlight w:val="none"/>
        </w:rPr>
        <w:t>无二级预算单位，因此，</w:t>
      </w:r>
      <w:r>
        <w:rPr>
          <w:rFonts w:hint="eastAsia" w:ascii="Times New Roman" w:hAnsi="Times New Roman" w:eastAsia="黑体" w:cs="Times New Roman"/>
          <w:sz w:val="32"/>
          <w:szCs w:val="32"/>
          <w:highlight w:val="none"/>
          <w:lang w:eastAsia="zh-CN"/>
        </w:rPr>
        <w:t>石家庄市人民政府办公室</w:t>
      </w:r>
      <w:r>
        <w:rPr>
          <w:rFonts w:hint="eastAsia" w:ascii="Times New Roman" w:hAnsi="Times New Roman" w:eastAsia="黑体" w:cs="Times New Roman"/>
          <w:sz w:val="32"/>
          <w:szCs w:val="32"/>
          <w:highlight w:val="none"/>
        </w:rPr>
        <w:t>2023年度</w:t>
      </w:r>
      <w:r>
        <w:rPr>
          <w:rFonts w:hint="eastAsia" w:ascii="Times New Roman" w:hAnsi="Times New Roman" w:eastAsia="黑体" w:cs="Times New Roman"/>
          <w:sz w:val="32"/>
          <w:szCs w:val="32"/>
          <w:highlight w:val="none"/>
          <w:lang w:val="en-US" w:eastAsia="zh-CN"/>
        </w:rPr>
        <w:t>部门</w:t>
      </w:r>
      <w:r>
        <w:rPr>
          <w:rFonts w:hint="eastAsia" w:ascii="Times New Roman" w:hAnsi="Times New Roman" w:eastAsia="黑体" w:cs="Times New Roman"/>
          <w:sz w:val="32"/>
          <w:szCs w:val="32"/>
          <w:highlight w:val="none"/>
        </w:rPr>
        <w:t>决算即</w:t>
      </w:r>
      <w:r>
        <w:rPr>
          <w:rFonts w:hint="eastAsia" w:ascii="Times New Roman" w:hAnsi="Times New Roman" w:eastAsia="黑体" w:cs="Times New Roman"/>
          <w:sz w:val="32"/>
          <w:szCs w:val="32"/>
          <w:highlight w:val="none"/>
          <w:lang w:eastAsia="zh-CN"/>
        </w:rPr>
        <w:t>石家庄市人民政府办公室（</w:t>
      </w:r>
      <w:r>
        <w:rPr>
          <w:rFonts w:hint="eastAsia" w:ascii="Times New Roman" w:hAnsi="Times New Roman" w:eastAsia="黑体" w:cs="Times New Roman"/>
          <w:sz w:val="32"/>
          <w:szCs w:val="32"/>
          <w:highlight w:val="none"/>
        </w:rPr>
        <w:t>本级</w:t>
      </w:r>
      <w:r>
        <w:rPr>
          <w:rFonts w:hint="eastAsia" w:ascii="Times New Roman" w:hAnsi="Times New Roman" w:eastAsia="黑体" w:cs="Times New Roman"/>
          <w:sz w:val="32"/>
          <w:szCs w:val="32"/>
          <w:highlight w:val="none"/>
          <w:lang w:eastAsia="zh-CN"/>
        </w:rPr>
        <w:t>）</w:t>
      </w:r>
      <w:r>
        <w:rPr>
          <w:rFonts w:hint="eastAsia" w:ascii="Times New Roman" w:hAnsi="Times New Roman" w:eastAsia="黑体" w:cs="Times New Roman"/>
          <w:sz w:val="32"/>
          <w:szCs w:val="32"/>
          <w:highlight w:val="none"/>
        </w:rPr>
        <w:t>2023年度决算。</w:t>
      </w:r>
      <w:bookmarkStart w:id="0" w:name="_GoBack"/>
      <w:bookmarkEnd w:id="0"/>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1"/>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单位</w:t>
      </w:r>
      <w:r>
        <w:rPr>
          <w:rFonts w:hint="eastAsia" w:ascii="黑体" w:hAnsi="宋体" w:eastAsia="黑体" w:cs="黑体"/>
          <w:color w:val="000000"/>
          <w:sz w:val="72"/>
          <w:szCs w:val="72"/>
          <w:shd w:val="clear" w:color="auto" w:fill="FFFFFF"/>
        </w:rPr>
        <w:t>决算报表</w:t>
      </w:r>
    </w:p>
    <w:p>
      <w:pPr>
        <w:pStyle w:val="11"/>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pPr>
        <w:pStyle w:val="11"/>
        <w:widowControl/>
        <w:spacing w:beforeAutospacing="0" w:afterAutospacing="0"/>
        <w:jc w:val="center"/>
        <w:rPr>
          <w:rFonts w:hint="eastAsia" w:ascii="仿宋_GB2312" w:hAnsi="仿宋_GB2312" w:eastAsia="仿宋_GB2312" w:cs="仿宋_GB2312"/>
          <w:color w:val="FF0000"/>
          <w:sz w:val="33"/>
          <w:szCs w:val="33"/>
          <w:shd w:val="clear" w:color="auto" w:fill="FFFFFF"/>
        </w:rPr>
        <w:sectPr>
          <w:pgSz w:w="11906" w:h="16838"/>
          <w:pgMar w:top="1531" w:right="1984" w:bottom="1531" w:left="2098" w:header="851" w:footer="992" w:gutter="0"/>
          <w:cols w:space="720" w:num="1"/>
          <w:docGrid w:type="lines" w:linePitch="312" w:charSpace="0"/>
        </w:sectPr>
      </w:pPr>
    </w:p>
    <w:tbl>
      <w:tblPr>
        <w:tblStyle w:val="12"/>
        <w:tblW w:w="13992" w:type="dxa"/>
        <w:tblInd w:w="0" w:type="dxa"/>
        <w:tblLayout w:type="fixed"/>
        <w:tblCellMar>
          <w:top w:w="0" w:type="dxa"/>
          <w:left w:w="108" w:type="dxa"/>
          <w:bottom w:w="0" w:type="dxa"/>
          <w:right w:w="108" w:type="dxa"/>
        </w:tblCellMar>
      </w:tblPr>
      <w:tblGrid>
        <w:gridCol w:w="3456"/>
        <w:gridCol w:w="1410"/>
        <w:gridCol w:w="299"/>
        <w:gridCol w:w="2045"/>
        <w:gridCol w:w="2216"/>
        <w:gridCol w:w="751"/>
        <w:gridCol w:w="1742"/>
        <w:gridCol w:w="2073"/>
      </w:tblGrid>
      <w:tr>
        <w:tblPrEx>
          <w:tblCellMar>
            <w:top w:w="0" w:type="dxa"/>
            <w:left w:w="108" w:type="dxa"/>
            <w:bottom w:w="0" w:type="dxa"/>
            <w:right w:w="108" w:type="dxa"/>
          </w:tblCellMar>
        </w:tblPrEx>
        <w:trPr>
          <w:trHeight w:val="361" w:hRule="atLeast"/>
        </w:trPr>
        <w:tc>
          <w:tcPr>
            <w:tcW w:w="13992" w:type="dxa"/>
            <w:gridSpan w:val="8"/>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866" w:type="dxa"/>
            <w:gridSpan w:val="2"/>
            <w:tcBorders>
              <w:top w:val="nil"/>
              <w:left w:val="nil"/>
              <w:bottom w:val="single" w:color="auto" w:sz="4" w:space="0"/>
              <w:right w:val="nil"/>
            </w:tcBorders>
            <w:vAlign w:val="bottom"/>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（单位）：石家庄市人民政府办公室(本级)</w:t>
            </w:r>
          </w:p>
        </w:tc>
        <w:tc>
          <w:tcPr>
            <w:tcW w:w="4560" w:type="dxa"/>
            <w:gridSpan w:val="3"/>
            <w:tcBorders>
              <w:top w:val="nil"/>
              <w:left w:val="nil"/>
              <w:bottom w:val="single" w:color="auto" w:sz="4" w:space="0"/>
              <w:right w:val="nil"/>
            </w:tcBorders>
            <w:vAlign w:val="bottom"/>
          </w:tcPr>
          <w:p>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566" w:type="dxa"/>
            <w:gridSpan w:val="3"/>
            <w:tcBorders>
              <w:top w:val="nil"/>
              <w:left w:val="nil"/>
              <w:bottom w:val="single" w:color="auto" w:sz="4" w:space="0"/>
              <w:right w:val="nil"/>
            </w:tcBorders>
            <w:vAlign w:val="bottom"/>
          </w:tcPr>
          <w:p>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7210" w:type="dxa"/>
            <w:gridSpan w:val="4"/>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82"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45"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7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09" w:type="dxa"/>
            <w:gridSpan w:val="2"/>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45"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42"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7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7,930.87</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968.73</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256.37</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45"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42"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73"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296.62</w:t>
            </w: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45"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42"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73"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120.00</w:t>
            </w: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r>
      <w:tr>
        <w:tblPrEx>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本年度的总收支和年末结转结余情况。2.本套报表金额转换时可能存在尾数误差。</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黑体" w:hAnsi="黑体" w:eastAsia="黑体"/>
          <w:bCs/>
          <w:sz w:val="32"/>
          <w:szCs w:val="32"/>
        </w:rPr>
      </w:pPr>
    </w:p>
    <w:tbl>
      <w:tblPr>
        <w:tblStyle w:val="12"/>
        <w:tblW w:w="13992" w:type="dxa"/>
        <w:tblInd w:w="0" w:type="dxa"/>
        <w:tblLayout w:type="fixed"/>
        <w:tblCellMar>
          <w:top w:w="0" w:type="dxa"/>
          <w:left w:w="108" w:type="dxa"/>
          <w:bottom w:w="0" w:type="dxa"/>
          <w:right w:w="108" w:type="dxa"/>
        </w:tblCellMar>
      </w:tblPr>
      <w:tblGrid>
        <w:gridCol w:w="715"/>
        <w:gridCol w:w="1119"/>
        <w:gridCol w:w="1726"/>
        <w:gridCol w:w="881"/>
        <w:gridCol w:w="881"/>
        <w:gridCol w:w="1727"/>
        <w:gridCol w:w="1727"/>
        <w:gridCol w:w="881"/>
        <w:gridCol w:w="881"/>
        <w:gridCol w:w="1727"/>
        <w:gridCol w:w="1727"/>
      </w:tblGrid>
      <w:tr>
        <w:tblPrEx>
          <w:tblCellMar>
            <w:top w:w="0" w:type="dxa"/>
            <w:left w:w="108" w:type="dxa"/>
            <w:bottom w:w="0" w:type="dxa"/>
            <w:right w:w="108" w:type="dxa"/>
          </w:tblCellMar>
        </w:tblPrEx>
        <w:trPr>
          <w:trHeight w:val="550" w:hRule="atLeast"/>
        </w:trPr>
        <w:tc>
          <w:tcPr>
            <w:tcW w:w="13992"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trPr>
        <w:tc>
          <w:tcPr>
            <w:tcW w:w="13992"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441" w:type="dxa"/>
            <w:gridSpan w:val="4"/>
            <w:tcBorders>
              <w:top w:val="nil"/>
              <w:left w:val="nil"/>
              <w:bottom w:val="single" w:color="auto" w:sz="4" w:space="0"/>
              <w:right w:val="nil"/>
            </w:tcBorders>
            <w:vAlign w:val="bottom"/>
          </w:tcPr>
          <w:p>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（单位）：石家庄市人民政府办公室(本级)                                                                                                         </w:t>
            </w:r>
          </w:p>
        </w:tc>
        <w:tc>
          <w:tcPr>
            <w:tcW w:w="5216"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335"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1834"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2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176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1727"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176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tblPrEx>
          <w:tblCellMar>
            <w:top w:w="0" w:type="dxa"/>
            <w:left w:w="108" w:type="dxa"/>
            <w:bottom w:w="0" w:type="dxa"/>
            <w:right w:w="108" w:type="dxa"/>
          </w:tblCellMar>
        </w:tblPrEx>
        <w:trPr>
          <w:trHeight w:val="312" w:hRule="atLeast"/>
        </w:trPr>
        <w:tc>
          <w:tcPr>
            <w:tcW w:w="71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119"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71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19"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71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19"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90" w:hRule="atLeast"/>
        </w:trPr>
        <w:tc>
          <w:tcPr>
            <w:tcW w:w="183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2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176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176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tblPrEx>
          <w:tblCellMar>
            <w:top w:w="0" w:type="dxa"/>
            <w:left w:w="108" w:type="dxa"/>
            <w:bottom w:w="0" w:type="dxa"/>
            <w:right w:w="108" w:type="dxa"/>
          </w:tblCellMar>
        </w:tblPrEx>
        <w:trPr>
          <w:trHeight w:val="308" w:hRule="atLeast"/>
        </w:trPr>
        <w:tc>
          <w:tcPr>
            <w:tcW w:w="183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9,332.59</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9,332.59</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政府办公厅（室）及相关机构事务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行政运行</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2,954.15</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2,954.15</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2010302</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4,456.72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4,456.72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2010308</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信访事务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400.00</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400.00</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行政单位离退休</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618.92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618.92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349.81</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349.81</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行政单位医疗</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本年度取得的各项收入情况。</w:t>
            </w:r>
          </w:p>
        </w:tc>
      </w:tr>
    </w:tbl>
    <w:p>
      <w:pPr>
        <w:rPr>
          <w:rFonts w:hint="eastAsia"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2"/>
        <w:tblW w:w="13992" w:type="dxa"/>
        <w:tblInd w:w="0" w:type="dxa"/>
        <w:tblLayout w:type="fixed"/>
        <w:tblCellMar>
          <w:top w:w="0" w:type="dxa"/>
          <w:left w:w="108" w:type="dxa"/>
          <w:bottom w:w="0" w:type="dxa"/>
          <w:right w:w="108" w:type="dxa"/>
        </w:tblCellMar>
      </w:tblPr>
      <w:tblGrid>
        <w:gridCol w:w="800"/>
        <w:gridCol w:w="1272"/>
        <w:gridCol w:w="1984"/>
        <w:gridCol w:w="700"/>
        <w:gridCol w:w="1292"/>
        <w:gridCol w:w="1984"/>
        <w:gridCol w:w="1349"/>
        <w:gridCol w:w="643"/>
        <w:gridCol w:w="1984"/>
        <w:gridCol w:w="1984"/>
      </w:tblGrid>
      <w:tr>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56"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（单位）：石家庄市人民政府办公室(本级) </w:t>
            </w:r>
            <w:r>
              <w:rPr>
                <w:rFonts w:hint="eastAsia" w:asciiTheme="minorEastAsia" w:hAnsiTheme="minorEastAsia" w:cstheme="minorEastAsia"/>
                <w:color w:val="000000"/>
                <w:sz w:val="18"/>
                <w:szCs w:val="18"/>
                <w:lang w:bidi="ar"/>
              </w:rPr>
              <w:t xml:space="preserve">                                                                                                         </w:t>
            </w:r>
          </w:p>
        </w:tc>
        <w:tc>
          <w:tcPr>
            <w:tcW w:w="4625" w:type="dxa"/>
            <w:gridSpan w:val="3"/>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11" w:type="dxa"/>
            <w:gridSpan w:val="3"/>
            <w:tcBorders>
              <w:top w:val="nil"/>
              <w:left w:val="nil"/>
              <w:bottom w:val="single" w:color="auto" w:sz="4" w:space="0"/>
              <w:right w:val="nil"/>
            </w:tcBorders>
            <w:vAlign w:val="bottom"/>
          </w:tcPr>
          <w:p>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tblPrEx>
          <w:tblCellMar>
            <w:top w:w="0" w:type="dxa"/>
            <w:left w:w="108" w:type="dxa"/>
            <w:bottom w:w="0" w:type="dxa"/>
            <w:right w:w="108" w:type="dxa"/>
          </w:tblCellMar>
        </w:tblPrEx>
        <w:trPr>
          <w:trHeight w:val="308" w:hRule="atLeast"/>
        </w:trPr>
        <w:tc>
          <w:tcPr>
            <w:tcW w:w="2072"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199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9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tblPrEx>
          <w:tblCellMar>
            <w:top w:w="0" w:type="dxa"/>
            <w:left w:w="108" w:type="dxa"/>
            <w:bottom w:w="0" w:type="dxa"/>
            <w:right w:w="108" w:type="dxa"/>
          </w:tblCellMar>
        </w:tblPrEx>
        <w:trPr>
          <w:trHeight w:val="312" w:hRule="atLeast"/>
        </w:trPr>
        <w:tc>
          <w:tcPr>
            <w:tcW w:w="80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7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80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72"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80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72"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207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992"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992"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tblPrEx>
          <w:tblCellMar>
            <w:top w:w="0" w:type="dxa"/>
            <w:left w:w="108" w:type="dxa"/>
            <w:bottom w:w="0" w:type="dxa"/>
            <w:right w:w="108" w:type="dxa"/>
          </w:tblCellMar>
        </w:tblPrEx>
        <w:trPr>
          <w:trHeight w:val="308" w:hRule="atLeast"/>
        </w:trPr>
        <w:tc>
          <w:tcPr>
            <w:tcW w:w="207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4,595.87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2010308</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信访事务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本年度各项支出情况。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2"/>
        <w:tblW w:w="13989" w:type="dxa"/>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tblPrEx>
          <w:tblCellMar>
            <w:top w:w="0" w:type="dxa"/>
            <w:left w:w="108" w:type="dxa"/>
            <w:bottom w:w="0" w:type="dxa"/>
            <w:right w:w="108" w:type="dxa"/>
          </w:tblCellMar>
        </w:tblPrEx>
        <w:trPr>
          <w:trHeight w:val="550" w:hRule="atLeast"/>
        </w:trPr>
        <w:tc>
          <w:tcPr>
            <w:tcW w:w="13989"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13989"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tblPrEx>
          <w:tblCellMar>
            <w:top w:w="0" w:type="dxa"/>
            <w:left w:w="108" w:type="dxa"/>
            <w:bottom w:w="0" w:type="dxa"/>
            <w:right w:w="108" w:type="dxa"/>
          </w:tblCellMar>
        </w:tblPrEx>
        <w:trPr>
          <w:trHeight w:val="300" w:hRule="atLeast"/>
        </w:trPr>
        <w:tc>
          <w:tcPr>
            <w:tcW w:w="6676" w:type="dxa"/>
            <w:gridSpan w:val="4"/>
            <w:tcBorders>
              <w:top w:val="nil"/>
              <w:left w:val="nil"/>
              <w:bottom w:val="single" w:color="auto" w:sz="4" w:space="0"/>
              <w:right w:val="nil"/>
            </w:tcBorders>
            <w:vAlign w:val="bottom"/>
          </w:tcPr>
          <w:p>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（单位）：石家庄市人民政府办公室(本级) </w:t>
            </w:r>
            <w:r>
              <w:rPr>
                <w:rFonts w:hint="eastAsia" w:asciiTheme="minorEastAsia" w:hAnsiTheme="minorEastAsia" w:cstheme="minorEastAsia"/>
                <w:color w:val="000000"/>
                <w:sz w:val="18"/>
                <w:szCs w:val="18"/>
                <w:lang w:bidi="ar"/>
              </w:rPr>
              <w:t xml:space="preserve">                                                                                                   </w:t>
            </w:r>
          </w:p>
        </w:tc>
        <w:tc>
          <w:tcPr>
            <w:tcW w:w="2646" w:type="dxa"/>
            <w:gridSpan w:val="4"/>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7"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4474" w:type="dxa"/>
            <w:gridSpan w:val="3"/>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9515" w:type="dxa"/>
            <w:gridSpan w:val="8"/>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tblPrEx>
          <w:tblCellMar>
            <w:top w:w="0" w:type="dxa"/>
            <w:left w:w="108" w:type="dxa"/>
            <w:bottom w:w="0" w:type="dxa"/>
            <w:right w:w="108" w:type="dxa"/>
          </w:tblCellMar>
        </w:tblPrEx>
        <w:trPr>
          <w:trHeight w:val="312" w:hRule="atLeast"/>
        </w:trPr>
        <w:tc>
          <w:tcPr>
            <w:tcW w:w="246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2627"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2"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1622" w:type="dxa"/>
            <w:gridSpan w:val="2"/>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1623"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1637"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tblPrEx>
          <w:tblCellMar>
            <w:top w:w="0" w:type="dxa"/>
            <w:left w:w="108" w:type="dxa"/>
            <w:bottom w:w="0" w:type="dxa"/>
            <w:right w:w="108" w:type="dxa"/>
          </w:tblCellMar>
        </w:tblPrEx>
        <w:trPr>
          <w:trHeight w:val="312" w:hRule="atLeast"/>
        </w:trPr>
        <w:tc>
          <w:tcPr>
            <w:tcW w:w="246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627"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2"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2" w:type="dxa"/>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3"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37"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2"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62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62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1637" w:type="dxa"/>
            <w:tcBorders>
              <w:top w:val="nil"/>
              <w:left w:val="nil"/>
              <w:bottom w:val="single" w:color="000000" w:sz="4" w:space="0"/>
              <w:right w:val="single" w:color="000000" w:sz="8"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7,930.87</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7,930.87</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968.73</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968.73</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256.37</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256.37</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1544"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1542"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auto"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296.62</w:t>
            </w: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296.62</w:t>
            </w: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1544"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1542"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b/>
                <w:bCs/>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120.00</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120.00</w:t>
            </w: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1544"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2627" w:type="dxa"/>
            <w:gridSpan w:val="2"/>
            <w:tcBorders>
              <w:top w:val="nil"/>
              <w:left w:val="nil"/>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1542"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622" w:type="dxa"/>
            <w:gridSpan w:val="2"/>
            <w:tcBorders>
              <w:top w:val="nil"/>
              <w:left w:val="nil"/>
              <w:bottom w:val="single" w:color="000000" w:sz="8" w:space="0"/>
              <w:right w:val="single" w:color="000000"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9,452.58</w:t>
            </w:r>
          </w:p>
          <w:p>
            <w:pPr>
              <w:jc w:val="right"/>
              <w:rPr>
                <w:rFonts w:ascii="Times New Roman" w:hAnsi="Times New Roman" w:eastAsia="宋体" w:cs="Times New Roman"/>
                <w:color w:val="000000"/>
                <w:sz w:val="18"/>
                <w:szCs w:val="18"/>
              </w:rPr>
            </w:pPr>
          </w:p>
        </w:tc>
        <w:tc>
          <w:tcPr>
            <w:tcW w:w="1623"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8"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89"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本年度一般公共预算财政拨款、政府性基金预算财政拨款和国有资本经营预算财政拨款的总收支和年末结转结余情况。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宋体" w:hAnsi="宋体" w:eastAsia="宋体"/>
          <w:spacing w:val="-2"/>
          <w:sz w:val="20"/>
        </w:rPr>
      </w:pPr>
    </w:p>
    <w:tbl>
      <w:tblPr>
        <w:tblStyle w:val="12"/>
        <w:tblW w:w="13992" w:type="dxa"/>
        <w:tblInd w:w="0" w:type="dxa"/>
        <w:tblLayout w:type="fixed"/>
        <w:tblCellMar>
          <w:top w:w="0" w:type="dxa"/>
          <w:left w:w="108" w:type="dxa"/>
          <w:bottom w:w="0" w:type="dxa"/>
          <w:right w:w="108" w:type="dxa"/>
        </w:tblCellMar>
      </w:tblPr>
      <w:tblGrid>
        <w:gridCol w:w="1355"/>
        <w:gridCol w:w="2077"/>
        <w:gridCol w:w="1228"/>
        <w:gridCol w:w="2283"/>
        <w:gridCol w:w="2376"/>
        <w:gridCol w:w="1139"/>
        <w:gridCol w:w="3534"/>
      </w:tblGrid>
      <w:tr>
        <w:tblPrEx>
          <w:tblCellMar>
            <w:top w:w="0" w:type="dxa"/>
            <w:left w:w="108" w:type="dxa"/>
            <w:bottom w:w="0" w:type="dxa"/>
            <w:right w:w="108" w:type="dxa"/>
          </w:tblCellMar>
        </w:tblPrEx>
        <w:trPr>
          <w:trHeight w:val="550" w:hRule="atLeast"/>
        </w:trPr>
        <w:tc>
          <w:tcPr>
            <w:tcW w:w="13992" w:type="dxa"/>
            <w:gridSpan w:val="7"/>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13992" w:type="dxa"/>
            <w:gridSpan w:val="7"/>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660" w:type="dxa"/>
            <w:gridSpan w:val="3"/>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（单位）：石家庄市人民政府办公室(本级)</w:t>
            </w:r>
          </w:p>
        </w:tc>
        <w:tc>
          <w:tcPr>
            <w:tcW w:w="4659" w:type="dxa"/>
            <w:gridSpan w:val="2"/>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73" w:type="dxa"/>
            <w:gridSpan w:val="2"/>
            <w:tcBorders>
              <w:top w:val="nil"/>
              <w:left w:val="nil"/>
              <w:bottom w:val="single" w:color="auto" w:sz="4" w:space="0"/>
              <w:right w:val="nil"/>
            </w:tcBorders>
            <w:vAlign w:val="bottom"/>
          </w:tcPr>
          <w:p>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45"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056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tblPrEx>
          <w:tblCellMar>
            <w:top w:w="0" w:type="dxa"/>
            <w:left w:w="108" w:type="dxa"/>
            <w:bottom w:w="0" w:type="dxa"/>
            <w:right w:w="108" w:type="dxa"/>
          </w:tblCellMar>
        </w:tblPrEx>
        <w:trPr>
          <w:trHeight w:val="312" w:hRule="atLeast"/>
        </w:trPr>
        <w:tc>
          <w:tcPr>
            <w:tcW w:w="135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077"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511"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351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3534"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353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4,595.87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2010308</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信访事务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7"/>
            <w:tcBorders>
              <w:top w:val="single" w:color="auto" w:sz="4" w:space="0"/>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2"/>
        <w:tblW w:w="14009" w:type="dxa"/>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tblPrEx>
          <w:tblCellMar>
            <w:top w:w="0" w:type="dxa"/>
            <w:left w:w="108" w:type="dxa"/>
            <w:bottom w:w="0" w:type="dxa"/>
            <w:right w:w="108" w:type="dxa"/>
          </w:tblCellMar>
        </w:tblPrEx>
        <w:trPr>
          <w:gridAfter w:val="1"/>
          <w:wAfter w:w="22" w:type="dxa"/>
          <w:trHeight w:val="624" w:hRule="atLeast"/>
        </w:trPr>
        <w:tc>
          <w:tcPr>
            <w:tcW w:w="13987" w:type="dxa"/>
            <w:gridSpan w:val="10"/>
            <w:tcBorders>
              <w:top w:val="nil"/>
              <w:left w:val="nil"/>
              <w:bottom w:val="nil"/>
              <w:right w:val="nil"/>
            </w:tcBorders>
            <w:vAlign w:val="bottom"/>
          </w:tcPr>
          <w:p>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gridAfter w:val="1"/>
          <w:wAfter w:w="22" w:type="dxa"/>
          <w:trHeight w:val="300" w:hRule="atLeast"/>
        </w:trPr>
        <w:tc>
          <w:tcPr>
            <w:tcW w:w="13987" w:type="dxa"/>
            <w:gridSpan w:val="10"/>
            <w:tcBorders>
              <w:top w:val="nil"/>
              <w:left w:val="nil"/>
              <w:bottom w:val="nil"/>
              <w:right w:val="nil"/>
            </w:tcBorders>
            <w:vAlign w:val="bottom"/>
          </w:tcPr>
          <w:p>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6238" w:type="dxa"/>
            <w:gridSpan w:val="5"/>
            <w:tcBorders>
              <w:top w:val="nil"/>
              <w:left w:val="nil"/>
              <w:bottom w:val="single" w:color="auto" w:sz="4" w:space="0"/>
              <w:right w:val="nil"/>
            </w:tcBorders>
            <w:vAlign w:val="bottom"/>
          </w:tcPr>
          <w:p>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（单位）：石家庄市人民政府办公室(本级) </w:t>
            </w:r>
            <w:r>
              <w:rPr>
                <w:rFonts w:hint="eastAsia" w:asciiTheme="minorEastAsia" w:hAnsiTheme="minorEastAsia" w:cstheme="minorEastAsia"/>
                <w:color w:val="000000"/>
                <w:sz w:val="18"/>
                <w:szCs w:val="18"/>
                <w:lang w:bidi="ar"/>
              </w:rPr>
              <w:t xml:space="preserve">                                                                   </w:t>
            </w:r>
          </w:p>
        </w:tc>
        <w:tc>
          <w:tcPr>
            <w:tcW w:w="3412" w:type="dxa"/>
            <w:gridSpan w:val="3"/>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359"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gridAfter w:val="1"/>
          <w:wAfter w:w="22" w:type="dxa"/>
          <w:trHeight w:val="510" w:hRule="atLeast"/>
        </w:trPr>
        <w:tc>
          <w:tcPr>
            <w:tcW w:w="5913" w:type="dxa"/>
            <w:gridSpan w:val="4"/>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807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4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6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3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3,571.79</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405.15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781.35</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23.35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832.91</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790.18</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349.81</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119.23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144.53</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111.84</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68.90</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296.62</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264.56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618.92</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52.03</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0.35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566.89</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30.28</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19.65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131.99</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11.40</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306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4,190.72</w:t>
            </w:r>
          </w:p>
        </w:tc>
        <w:tc>
          <w:tcPr>
            <w:tcW w:w="7341" w:type="dxa"/>
            <w:gridSpan w:val="6"/>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405.15</w:t>
            </w:r>
          </w:p>
        </w:tc>
      </w:tr>
      <w:tr>
        <w:tblPrEx>
          <w:tblCellMar>
            <w:top w:w="0" w:type="dxa"/>
            <w:left w:w="108" w:type="dxa"/>
            <w:bottom w:w="0" w:type="dxa"/>
            <w:right w:w="108" w:type="dxa"/>
          </w:tblCellMar>
        </w:tblPrEx>
        <w:trPr>
          <w:gridAfter w:val="1"/>
          <w:wAfter w:w="22" w:type="dxa"/>
          <w:trHeight w:val="510" w:hRule="atLeast"/>
        </w:trPr>
        <w:tc>
          <w:tcPr>
            <w:tcW w:w="13987" w:type="dxa"/>
            <w:gridSpan w:val="10"/>
            <w:tcBorders>
              <w:top w:val="single" w:color="auto" w:sz="4" w:space="0"/>
              <w:left w:val="nil"/>
              <w:bottom w:val="nil"/>
              <w:right w:val="nil"/>
            </w:tcBorders>
            <w:vAlign w:val="center"/>
          </w:tcPr>
          <w:p>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仿宋_GB2312" w:hAnsi="宋体" w:eastAsia="仿宋_GB2312"/>
          <w:b/>
          <w:sz w:val="32"/>
          <w:szCs w:val="32"/>
        </w:rPr>
      </w:pPr>
    </w:p>
    <w:tbl>
      <w:tblPr>
        <w:tblStyle w:val="12"/>
        <w:tblW w:w="13992" w:type="dxa"/>
        <w:tblInd w:w="0" w:type="dxa"/>
        <w:tblLayout w:type="fixed"/>
        <w:tblCellMar>
          <w:top w:w="0" w:type="dxa"/>
          <w:left w:w="108" w:type="dxa"/>
          <w:bottom w:w="0" w:type="dxa"/>
          <w:right w:w="108" w:type="dxa"/>
        </w:tblCellMar>
      </w:tblPr>
      <w:tblGrid>
        <w:gridCol w:w="811"/>
        <w:gridCol w:w="1293"/>
        <w:gridCol w:w="1980"/>
        <w:gridCol w:w="673"/>
        <w:gridCol w:w="1311"/>
        <w:gridCol w:w="1980"/>
        <w:gridCol w:w="1335"/>
        <w:gridCol w:w="649"/>
        <w:gridCol w:w="1980"/>
        <w:gridCol w:w="1980"/>
      </w:tblGrid>
      <w:tr>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57"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 xml:space="preserve">（单位）：石家庄市人民政府办公室(本级) </w:t>
            </w:r>
            <w:r>
              <w:rPr>
                <w:rFonts w:hint="eastAsia" w:ascii="宋体" w:hAnsi="宋体" w:eastAsia="宋体"/>
                <w:color w:val="000000"/>
                <w:sz w:val="18"/>
                <w:szCs w:val="18"/>
                <w:lang w:bidi="ar"/>
              </w:rPr>
              <w:t xml:space="preserve">                                                                                     </w:t>
            </w:r>
          </w:p>
        </w:tc>
        <w:tc>
          <w:tcPr>
            <w:tcW w:w="4626" w:type="dxa"/>
            <w:gridSpan w:val="3"/>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09"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0"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198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5944"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1980"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tblPrEx>
          <w:tblCellMar>
            <w:top w:w="0" w:type="dxa"/>
            <w:left w:w="108" w:type="dxa"/>
            <w:bottom w:w="0" w:type="dxa"/>
            <w:right w:w="108" w:type="dxa"/>
          </w:tblCellMar>
        </w:tblPrEx>
        <w:trPr>
          <w:trHeight w:val="312" w:hRule="atLeast"/>
        </w:trPr>
        <w:tc>
          <w:tcPr>
            <w:tcW w:w="811"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93"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984"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80" w:type="dxa"/>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0" w:type="dxa"/>
            <w:tcBorders>
              <w:top w:val="nil"/>
              <w:left w:val="single" w:color="auto"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984"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98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984"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98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98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tblPrEx>
          <w:tblCellMar>
            <w:top w:w="0" w:type="dxa"/>
            <w:left w:w="108" w:type="dxa"/>
            <w:bottom w:w="0" w:type="dxa"/>
            <w:right w:w="108" w:type="dxa"/>
          </w:tblCellMar>
        </w:tblPrEx>
        <w:trPr>
          <w:trHeight w:val="869"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0" w:type="dxa"/>
            <w:tcBorders>
              <w:top w:val="nil"/>
              <w:left w:val="single" w:color="auto" w:sz="4" w:space="0"/>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pPr>
        <w:rPr>
          <w:rFonts w:hint="eastAsia" w:ascii="仿宋_GB2312" w:hAnsi="宋体" w:eastAsia="仿宋_GB2312"/>
          <w:b/>
          <w:sz w:val="32"/>
          <w:szCs w:val="32"/>
        </w:rPr>
      </w:pPr>
      <w:r>
        <w:rPr>
          <w:rFonts w:hint="eastAsia" w:ascii="仿宋_GB2312" w:hAnsi="宋体" w:eastAsia="仿宋_GB2312"/>
          <w:b/>
          <w:sz w:val="32"/>
          <w:szCs w:val="32"/>
        </w:rPr>
        <w:t>备注：</w:t>
      </w:r>
      <w:r>
        <w:rPr>
          <w:rFonts w:hint="eastAsia" w:ascii="仿宋_GB2312" w:hAnsi="宋体" w:eastAsia="仿宋_GB2312"/>
          <w:b/>
          <w:sz w:val="32"/>
          <w:szCs w:val="32"/>
          <w:lang w:eastAsia="zh-CN"/>
        </w:rPr>
        <w:t>我单位无</w:t>
      </w:r>
      <w:r>
        <w:rPr>
          <w:rFonts w:hint="eastAsia" w:ascii="方正仿宋_GB2312" w:hAnsi="方正仿宋_GB2312" w:eastAsia="方正仿宋_GB2312" w:cs="方正仿宋_GB2312"/>
          <w:b/>
          <w:bCs w:val="0"/>
          <w:sz w:val="32"/>
          <w:szCs w:val="32"/>
        </w:rPr>
        <w:t>政府性基金预算财政拨款收入支出</w:t>
      </w:r>
      <w:r>
        <w:rPr>
          <w:rFonts w:hint="eastAsia" w:ascii="仿宋_GB2312" w:hAnsi="宋体" w:eastAsia="仿宋_GB2312"/>
          <w:b/>
          <w:bCs w:val="0"/>
          <w:sz w:val="32"/>
          <w:szCs w:val="32"/>
        </w:rPr>
        <w:t>。</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2"/>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tblPrEx>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vAlign w:val="bottom"/>
          </w:tcPr>
          <w:p>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（单位）：石家庄市人民政府办公室(本级)</w:t>
            </w:r>
          </w:p>
        </w:tc>
        <w:tc>
          <w:tcPr>
            <w:tcW w:w="4661" w:type="dxa"/>
            <w:gridSpan w:val="4"/>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tblPrEx>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tblPrEx>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本年度国有资本经营预算财政拨款收入、支出及结转和结余情况。（如无相关数据，则需注明空表列示）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t>备注：</w:t>
      </w:r>
      <w:r>
        <w:rPr>
          <w:rFonts w:hint="eastAsia" w:ascii="仿宋_GB2312" w:hAnsi="宋体" w:eastAsia="仿宋_GB2312"/>
          <w:b/>
          <w:sz w:val="32"/>
          <w:szCs w:val="32"/>
          <w:lang w:eastAsia="zh-CN"/>
        </w:rPr>
        <w:t>我单位无</w:t>
      </w:r>
      <w:r>
        <w:rPr>
          <w:rFonts w:hint="eastAsia" w:ascii="方正仿宋_GB2312" w:hAnsi="方正仿宋_GB2312" w:eastAsia="方正仿宋_GB2312" w:cs="方正仿宋_GB2312"/>
          <w:b/>
          <w:bCs w:val="0"/>
          <w:sz w:val="32"/>
          <w:szCs w:val="32"/>
        </w:rPr>
        <w:t>国有资本经营预算财政拨款支出</w:t>
      </w:r>
      <w:r>
        <w:rPr>
          <w:rFonts w:hint="eastAsia" w:ascii="仿宋_GB2312" w:hAnsi="宋体" w:eastAsia="仿宋_GB2312"/>
          <w:b/>
          <w:bCs w:val="0"/>
          <w:sz w:val="32"/>
          <w:szCs w:val="32"/>
        </w:rPr>
        <w:t>。</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2"/>
        <w:tblpPr w:leftFromText="180" w:rightFromText="180" w:vertAnchor="text" w:horzAnchor="page" w:tblpX="1586" w:tblpY="39"/>
        <w:tblOverlap w:val="never"/>
        <w:tblW w:w="13986" w:type="dxa"/>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tblPrEx>
          <w:tblCellMar>
            <w:top w:w="0" w:type="dxa"/>
            <w:left w:w="108" w:type="dxa"/>
            <w:bottom w:w="0" w:type="dxa"/>
            <w:right w:w="108" w:type="dxa"/>
          </w:tblCellMar>
        </w:tblPrEx>
        <w:trPr>
          <w:trHeight w:val="550" w:hRule="atLeast"/>
        </w:trPr>
        <w:tc>
          <w:tcPr>
            <w:tcW w:w="13986" w:type="dxa"/>
            <w:gridSpan w:val="14"/>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13986" w:type="dxa"/>
            <w:gridSpan w:val="14"/>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5547" w:type="dxa"/>
            <w:gridSpan w:val="5"/>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（单位）：石家庄市人民政府办公室(本级)</w:t>
            </w:r>
          </w:p>
        </w:tc>
        <w:tc>
          <w:tcPr>
            <w:tcW w:w="3770" w:type="dxa"/>
            <w:gridSpan w:val="5"/>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9" w:type="dxa"/>
            <w:gridSpan w:val="4"/>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31" w:hRule="atLeast"/>
        </w:trPr>
        <w:tc>
          <w:tcPr>
            <w:tcW w:w="6912" w:type="dxa"/>
            <w:gridSpan w:val="7"/>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7074" w:type="dxa"/>
            <w:gridSpan w:val="7"/>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115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457"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55"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559"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211"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115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55"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211"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15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211"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30.00</w:t>
            </w: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27.70</w:t>
            </w: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5"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5"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2.30</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24.58</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24.58</w:t>
            </w:r>
          </w:p>
        </w:tc>
        <w:tc>
          <w:tcPr>
            <w:tcW w:w="1150"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03"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06"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11"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13986" w:type="dxa"/>
            <w:gridSpan w:val="14"/>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sz w:val="32"/>
          <w:szCs w:val="32"/>
        </w:rPr>
        <w:sectPr>
          <w:pgSz w:w="16838" w:h="11906" w:orient="landscape"/>
          <w:pgMar w:top="2098" w:right="1531" w:bottom="1984" w:left="1531" w:header="851" w:footer="992" w:gutter="0"/>
          <w:cols w:space="720" w:num="1"/>
          <w:docGrid w:type="lines" w:linePitch="312" w:charSpace="0"/>
        </w:sectPr>
      </w:pPr>
    </w:p>
    <w:p>
      <w:pPr>
        <w:pStyle w:val="11"/>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单位</w:t>
      </w:r>
      <w:r>
        <w:rPr>
          <w:rFonts w:hint="eastAsia" w:ascii="黑体" w:hAnsi="宋体" w:eastAsia="黑体" w:cs="黑体"/>
          <w:color w:val="000000"/>
          <w:sz w:val="72"/>
          <w:szCs w:val="72"/>
          <w:shd w:val="clear" w:color="auto" w:fill="FFFFFF"/>
        </w:rPr>
        <w:t>决算情况说明</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1"/>
        <w:widowControl/>
        <w:spacing w:beforeAutospacing="0" w:afterAutospacing="0"/>
        <w:jc w:val="center"/>
        <w:rPr>
          <w:rFonts w:ascii="Arial" w:hAnsi="Arial" w:eastAsia="Arial" w:cs="Arial"/>
          <w:color w:val="000000"/>
          <w:sz w:val="18"/>
          <w:szCs w:val="18"/>
          <w:shd w:val="clear" w:color="auto" w:fill="FFFFFF"/>
        </w:rPr>
      </w:pP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9,452.58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减少1,478.04万元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下降13.52%，</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行政支出减少</w:t>
      </w:r>
      <w:r>
        <w:rPr>
          <w:rFonts w:hint="default" w:ascii="Times New Roman" w:hAnsi="Times New Roman" w:eastAsia="仿宋_GB2312" w:cs="Times New Roman"/>
          <w:kern w:val="2"/>
          <w:sz w:val="32"/>
          <w:szCs w:val="32"/>
          <w:lang w:val="en-US" w:eastAsia="zh-CN" w:bidi="ar-SA"/>
        </w:rPr>
        <w:t>。</w:t>
      </w:r>
    </w:p>
    <w:p>
      <w:pPr>
        <w:pStyle w:val="11"/>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年度本年收入合计</w:t>
      </w:r>
      <w:r>
        <w:rPr>
          <w:rFonts w:ascii="Times New Roman" w:hAnsi="Times New Roman" w:eastAsia="仿宋_GB2312" w:cs="Times New Roman"/>
          <w:sz w:val="30"/>
          <w:szCs w:val="30"/>
        </w:rPr>
        <w:t>9,332.59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其中</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财政拨款收入</w:t>
      </w:r>
      <w:r>
        <w:rPr>
          <w:rFonts w:ascii="Times New Roman" w:hAnsi="Times New Roman" w:eastAsia="仿宋_GB2312" w:cs="Times New Roman"/>
          <w:kern w:val="2"/>
          <w:sz w:val="32"/>
          <w:szCs w:val="32"/>
        </w:rPr>
        <w:t>9,332.59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上级补助收入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事业收入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经营收入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附属单位上缴收入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其他收入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hint="eastAsia" w:ascii="Times New Roman" w:hAnsi="Times New Roman" w:eastAsia="仿宋_GB2312" w:cs="Times New Roman"/>
          <w:kern w:val="2"/>
          <w:sz w:val="32"/>
          <w:szCs w:val="32"/>
          <w:lang w:val="zh-CN"/>
        </w:rPr>
        <w:t>。</w:t>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92075</wp:posOffset>
            </wp:positionH>
            <wp:positionV relativeFrom="paragraph">
              <wp:posOffset>106045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本单位2023年度本年支出合计9,452.58万元，其中：基本支出4,595.87万元，占48.62%；项目支出4,856.72万元，占51.38%；上缴上级支出0万元，占0%；经营支出0万元，占0%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jc w:val="left"/>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1"/>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1"/>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1"/>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年度财政拨款本年收入</w:t>
      </w:r>
      <w:r>
        <w:rPr>
          <w:rFonts w:ascii="Times New Roman" w:hAnsi="Times New Roman" w:eastAsia="仿宋_GB2312"/>
          <w:kern w:val="2"/>
          <w:sz w:val="32"/>
          <w:szCs w:val="32"/>
        </w:rPr>
        <w:t>9,332.59万</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减少86.84万元</w:t>
      </w:r>
      <w:r>
        <w:rPr>
          <w:rFonts w:ascii="Times New Roman" w:hAnsi="Times New Roman" w:eastAsia="仿宋_GB2312"/>
          <w:kern w:val="2"/>
          <w:sz w:val="32"/>
          <w:szCs w:val="32"/>
        </w:rPr>
        <w:t>，</w:t>
      </w:r>
      <w:r>
        <w:rPr>
          <w:rFonts w:hint="eastAsia" w:ascii="Times New Roman" w:hAnsi="Times New Roman" w:eastAsia="仿宋_GB2312"/>
          <w:sz w:val="30"/>
          <w:szCs w:val="30"/>
        </w:rPr>
        <w:t>降低0.92%，</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人员经费预算减少</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本年支出</w:t>
      </w:r>
      <w:r>
        <w:rPr>
          <w:rFonts w:ascii="Times New Roman" w:hAnsi="Times New Roman" w:eastAsia="仿宋_GB2312"/>
          <w:kern w:val="2"/>
          <w:sz w:val="32"/>
          <w:szCs w:val="32"/>
        </w:rPr>
        <w:t xml:space="preserve"> 9,452.58</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减少1,358.04万元</w:t>
      </w:r>
      <w:r>
        <w:rPr>
          <w:rFonts w:ascii="Times New Roman" w:hAnsi="Times New Roman" w:eastAsia="仿宋_GB2312"/>
          <w:kern w:val="2"/>
          <w:sz w:val="32"/>
          <w:szCs w:val="32"/>
        </w:rPr>
        <w:t>，</w:t>
      </w:r>
      <w:r>
        <w:rPr>
          <w:rFonts w:hint="eastAsia" w:ascii="Times New Roman" w:hAnsi="Times New Roman" w:eastAsia="仿宋_GB2312"/>
          <w:sz w:val="30"/>
          <w:szCs w:val="30"/>
        </w:rPr>
        <w:t>降低12.56%，</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行政支出减少</w:t>
      </w:r>
      <w:r>
        <w:rPr>
          <w:rFonts w:ascii="Times New Roman" w:hAnsi="Times New Roman" w:eastAsia="仿宋_GB2312"/>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一般公共预算财政拨款本年收入9,332.59万元,比上年</w:t>
      </w:r>
      <w:r>
        <w:rPr>
          <w:rFonts w:hint="eastAsia" w:ascii="Times New Roman" w:hAnsi="Times New Roman" w:eastAsia="仿宋_GB2312" w:cs="Times New Roman"/>
          <w:sz w:val="30"/>
          <w:szCs w:val="30"/>
          <w:lang w:val="zh-CN"/>
        </w:rPr>
        <w:t>减少86.84万元，降低0.92%，</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eastAsia="zh-CN"/>
        </w:rPr>
        <w:t>人员经费预算减少</w:t>
      </w:r>
      <w:r>
        <w:rPr>
          <w:rFonts w:ascii="Times New Roman" w:hAnsi="Times New Roman" w:eastAsia="仿宋_GB2312" w:cs="Times New Roman"/>
          <w:kern w:val="2"/>
          <w:sz w:val="32"/>
          <w:szCs w:val="32"/>
          <w:lang w:val="zh-CN"/>
        </w:rPr>
        <w:t>；本年支出 9,452.58</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减少1,358.04万元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降低12.56%，</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eastAsia="zh-CN"/>
        </w:rPr>
        <w:t>行政支出减少</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政府性基金预算财政拨款</w:t>
      </w:r>
      <w:r>
        <w:rPr>
          <w:rFonts w:hint="eastAsia" w:ascii="Times New Roman" w:hAnsi="Times New Roman" w:eastAsia="仿宋_GB2312" w:cs="Times New Roman"/>
          <w:kern w:val="2"/>
          <w:sz w:val="32"/>
          <w:szCs w:val="32"/>
          <w:lang w:val="zh-CN"/>
        </w:rPr>
        <w:t>收入</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，主要是政府性基金预算财政拨款</w:t>
      </w:r>
      <w:r>
        <w:rPr>
          <w:rFonts w:hint="eastAsia" w:ascii="Times New Roman" w:hAnsi="Times New Roman" w:eastAsia="仿宋_GB2312" w:cs="Times New Roman"/>
          <w:kern w:val="2"/>
          <w:sz w:val="32"/>
          <w:szCs w:val="32"/>
          <w:lang w:val="zh-CN"/>
        </w:rPr>
        <w:t>支出</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 xml:space="preserve">3. </w:t>
      </w:r>
      <w:r>
        <w:rPr>
          <w:rFonts w:ascii="Times New Roman" w:hAnsi="Times New Roman" w:eastAsia="仿宋_GB2312" w:cs="Times New Roman"/>
          <w:kern w:val="2"/>
          <w:sz w:val="32"/>
          <w:szCs w:val="32"/>
          <w:lang w:val="zh-CN"/>
        </w:rPr>
        <w:t>国有资本经营预算财政拨款本年收入</w:t>
      </w:r>
      <w:r>
        <w:rPr>
          <w:rFonts w:ascii="Times New Roman" w:hAnsi="Times New Roman" w:eastAsia="仿宋_GB2312" w:cs="Times New Roman"/>
          <w:kern w:val="2"/>
          <w:sz w:val="32"/>
          <w:szCs w:val="32"/>
        </w:rPr>
        <w:t>0万</w:t>
      </w:r>
      <w:r>
        <w:rPr>
          <w:rFonts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rPr>
        <w:t>持平</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国有资本经营预算财政拨款收入</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0万</w:t>
      </w:r>
      <w:r>
        <w:rPr>
          <w:rFonts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rPr>
        <w:t>持平</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国有资本经营预算财政拨款</w:t>
      </w:r>
      <w:r>
        <w:rPr>
          <w:rFonts w:hint="eastAsia" w:ascii="Times New Roman" w:hAnsi="Times New Roman" w:eastAsia="仿宋_GB2312" w:cs="Times New Roman"/>
          <w:kern w:val="2"/>
          <w:sz w:val="32"/>
          <w:szCs w:val="32"/>
          <w:lang w:val="zh-CN"/>
        </w:rPr>
        <w:t>支出</w:t>
      </w:r>
      <w:r>
        <w:rPr>
          <w:rFonts w:ascii="Times New Roman" w:hAnsi="Times New Roman" w:eastAsia="仿宋_GB2312" w:cs="Times New Roman"/>
          <w:kern w:val="2"/>
          <w:sz w:val="32"/>
          <w:szCs w:val="32"/>
          <w:lang w:val="zh-CN"/>
        </w:rPr>
        <w:t>。</w:t>
      </w:r>
    </w:p>
    <w:p>
      <w:pPr>
        <w:pStyle w:val="11"/>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年度财政拨款本年收入</w:t>
      </w:r>
      <w:r>
        <w:rPr>
          <w:rFonts w:ascii="Times New Roman" w:hAnsi="Times New Roman" w:eastAsia="仿宋_GB2312" w:cs="Times New Roman"/>
          <w:kern w:val="2"/>
          <w:sz w:val="32"/>
          <w:szCs w:val="32"/>
        </w:rPr>
        <w:t>9,332.59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104.66%，</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增加415.77万元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ascii="Times New Roman" w:hAnsi="Times New Roman" w:eastAsia="仿宋_GB2312" w:cs="Times New Roman"/>
          <w:kern w:val="2"/>
          <w:sz w:val="32"/>
          <w:szCs w:val="32"/>
        </w:rPr>
        <w:t>大于</w:t>
      </w:r>
      <w:r>
        <w:rPr>
          <w:rFonts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9,452.58</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106.01%，</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增加535.76万元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ascii="Times New Roman" w:hAnsi="Times New Roman" w:eastAsia="仿宋_GB2312" w:cs="Times New Roman"/>
          <w:kern w:val="2"/>
          <w:sz w:val="32"/>
          <w:szCs w:val="32"/>
        </w:rPr>
        <w:t>大于</w:t>
      </w:r>
      <w:r>
        <w:rPr>
          <w:rFonts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收入9,332.59万元，完成年初预算的 104.66%，比年初预算</w:t>
      </w:r>
      <w:r>
        <w:rPr>
          <w:rFonts w:hint="eastAsia" w:ascii="Times New Roman" w:hAnsi="Times New Roman" w:eastAsia="仿宋_GB2312" w:cs="Times New Roman"/>
          <w:sz w:val="30"/>
          <w:szCs w:val="30"/>
          <w:lang w:val="zh-CN"/>
        </w:rPr>
        <w:t>增加415.77万元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lang w:val="zh-CN"/>
        </w:rPr>
        <w:t>；本年支出9,452.58万元，完成年初预算的106.01%，比年初预算</w:t>
      </w:r>
      <w:r>
        <w:rPr>
          <w:rFonts w:hint="eastAsia" w:ascii="Times New Roman" w:hAnsi="Times New Roman" w:eastAsia="仿宋_GB2312" w:cs="Times New Roman"/>
          <w:sz w:val="30"/>
          <w:szCs w:val="30"/>
          <w:lang w:val="zh-CN"/>
        </w:rPr>
        <w:t>增加535.76万元</w:t>
      </w:r>
      <w:r>
        <w:rPr>
          <w:rFonts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政府性基金预算财政拨款</w:t>
      </w:r>
      <w:r>
        <w:rPr>
          <w:rFonts w:hint="eastAsia" w:ascii="Times New Roman" w:hAnsi="Times New Roman" w:eastAsia="仿宋_GB2312" w:cs="Times New Roman"/>
          <w:kern w:val="2"/>
          <w:sz w:val="32"/>
          <w:szCs w:val="32"/>
          <w:lang w:val="zh-CN"/>
        </w:rPr>
        <w:t>收入</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政府性基金预算财政拨款</w:t>
      </w:r>
      <w:r>
        <w:rPr>
          <w:rFonts w:hint="eastAsia" w:ascii="Times New Roman" w:hAnsi="Times New Roman" w:eastAsia="仿宋_GB2312" w:cs="Times New Roman"/>
          <w:kern w:val="2"/>
          <w:sz w:val="32"/>
          <w:szCs w:val="32"/>
          <w:lang w:val="zh-CN"/>
        </w:rPr>
        <w:t>支出。</w:t>
      </w:r>
    </w:p>
    <w:p>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shd w:val="clear" w:color="auto" w:fill="FFFFFF"/>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国有资本经营预算财政拨款收入；本年支出0万元，完成年初预算的0%，比年初预算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我单位无</w:t>
      </w:r>
      <w:r>
        <w:rPr>
          <w:rFonts w:ascii="Times New Roman" w:hAnsi="Times New Roman" w:eastAsia="仿宋_GB2312" w:cs="Times New Roman"/>
          <w:kern w:val="2"/>
          <w:sz w:val="32"/>
          <w:szCs w:val="32"/>
          <w:lang w:val="zh-CN"/>
        </w:rPr>
        <w:t>国有资本经营预算财政拨款</w:t>
      </w:r>
      <w:r>
        <w:rPr>
          <w:rFonts w:hint="eastAsia" w:ascii="Times New Roman" w:hAnsi="Times New Roman" w:eastAsia="仿宋_GB2312" w:cs="Times New Roman"/>
          <w:kern w:val="2"/>
          <w:sz w:val="32"/>
          <w:szCs w:val="32"/>
          <w:lang w:val="zh-CN"/>
        </w:rPr>
        <w:t>支出</w:t>
      </w:r>
      <w:r>
        <w:rPr>
          <w:rFonts w:ascii="Times New Roman" w:hAnsi="Times New Roman" w:eastAsia="仿宋_GB2312" w:cs="Times New Roman"/>
          <w:kern w:val="2"/>
          <w:sz w:val="32"/>
          <w:szCs w:val="32"/>
          <w:lang w:val="zh-CN"/>
        </w:rPr>
        <w:t>。</w:t>
      </w:r>
    </w:p>
    <w:p>
      <w:pPr>
        <w:pStyle w:val="11"/>
        <w:widowControl/>
        <w:spacing w:beforeAutospacing="0" w:afterAutospacing="0"/>
        <w:rPr>
          <w:rFonts w:ascii="Times New Roman" w:hAnsi="Times New Roman" w:eastAsia="Arial"/>
        </w:rPr>
      </w:pPr>
    </w:p>
    <w:p>
      <w:pPr>
        <w:pStyle w:val="11"/>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1"/>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adjustRightInd w:val="0"/>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年度财政拨款支出</w:t>
      </w:r>
      <w:r>
        <w:rPr>
          <w:rFonts w:ascii="Times New Roman" w:hAnsi="Times New Roman" w:eastAsia="仿宋_GB2312" w:cs="Times New Roman"/>
          <w:kern w:val="2"/>
          <w:sz w:val="32"/>
          <w:szCs w:val="32"/>
        </w:rPr>
        <w:t>9,452.58</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主要用于以下方面</w:t>
      </w:r>
      <w:r>
        <w:rPr>
          <w:rFonts w:ascii="Times New Roman" w:hAnsi="Times New Roman" w:eastAsia="仿宋_GB2312" w:cs="Times New Roman"/>
          <w:kern w:val="2"/>
          <w:sz w:val="32"/>
          <w:szCs w:val="32"/>
        </w:rPr>
        <w:t>：</w:t>
      </w:r>
    </w:p>
    <w:p>
      <w:pPr>
        <w:pStyle w:val="11"/>
        <w:widowControl/>
        <w:spacing w:beforeAutospacing="0" w:afterAutospacing="0"/>
        <w:rPr>
          <w:rFonts w:ascii="Times New Roman" w:hAnsi="Times New Roman" w:eastAsia="仿宋_GB2312"/>
          <w:kern w:val="2"/>
          <w:sz w:val="32"/>
          <w:szCs w:val="32"/>
        </w:rPr>
      </w:pPr>
      <w:r>
        <w:rPr>
          <w:rFonts w:hint="eastAsia" w:ascii="Times New Roman" w:hAnsi="Times New Roman" w:eastAsia="仿宋_GB2312"/>
          <w:kern w:val="2"/>
          <w:sz w:val="32"/>
          <w:szCs w:val="32"/>
          <w:lang w:val="en-US" w:eastAsia="zh-CN"/>
        </w:rPr>
        <w:t xml:space="preserve">    </w:t>
      </w:r>
      <w:r>
        <w:rPr>
          <w:rFonts w:ascii="Times New Roman" w:hAnsi="Times New Roman" w:eastAsia="仿宋_GB2312"/>
          <w:kern w:val="2"/>
          <w:sz w:val="32"/>
          <w:szCs w:val="32"/>
          <w:lang w:val="zh-CN"/>
        </w:rPr>
        <w:t>一般公共服务</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7,930.87</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83.9%；</w:t>
      </w:r>
      <w:r>
        <w:rPr>
          <w:rFonts w:ascii="Times New Roman" w:hAnsi="Times New Roman" w:eastAsia="仿宋_GB2312"/>
          <w:kern w:val="2"/>
          <w:sz w:val="32"/>
          <w:szCs w:val="32"/>
          <w:lang w:val="zh-CN"/>
        </w:rPr>
        <w:t>社会保障和就业</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968.73</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10.25%；</w:t>
      </w:r>
      <w:r>
        <w:rPr>
          <w:rFonts w:ascii="Times New Roman" w:hAnsi="Times New Roman" w:eastAsia="仿宋_GB2312"/>
          <w:kern w:val="2"/>
          <w:sz w:val="32"/>
          <w:szCs w:val="32"/>
          <w:lang w:val="zh-CN"/>
        </w:rPr>
        <w:t>卫生健康</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256.37</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2.71%；</w:t>
      </w:r>
      <w:r>
        <w:rPr>
          <w:rFonts w:ascii="Times New Roman" w:hAnsi="Times New Roman" w:eastAsia="仿宋_GB2312"/>
          <w:kern w:val="2"/>
          <w:sz w:val="32"/>
          <w:szCs w:val="32"/>
          <w:lang w:val="zh-CN"/>
        </w:rPr>
        <w:t>住房保障</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296.62</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3.14%</w:t>
      </w:r>
      <w:r>
        <w:rPr>
          <w:rFonts w:hint="eastAsia" w:ascii="Times New Roman" w:hAnsi="Times New Roman" w:eastAsia="仿宋_GB2312"/>
          <w:kern w:val="2"/>
          <w:sz w:val="32"/>
          <w:szCs w:val="32"/>
          <w:lang w:eastAsia="zh-CN"/>
        </w:rPr>
        <w:t>。</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1"/>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1"/>
        <w:widowControl/>
        <w:spacing w:beforeAutospacing="0" w:afterAutospacing="0"/>
        <w:ind w:firstLine="640" w:firstLineChars="200"/>
        <w:rPr>
          <w:rFonts w:ascii="Times New Roman" w:hAnsi="Times New Roman" w:eastAsia="仿宋_GB2312"/>
          <w:kern w:val="2"/>
          <w:sz w:val="32"/>
          <w:szCs w:val="32"/>
        </w:rPr>
      </w:pP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年度财政拨款基本支出</w:t>
      </w:r>
      <w:r>
        <w:rPr>
          <w:rFonts w:ascii="Times New Roman" w:hAnsi="Times New Roman" w:eastAsia="仿宋_GB2312"/>
          <w:kern w:val="2"/>
          <w:sz w:val="32"/>
          <w:szCs w:val="32"/>
        </w:rPr>
        <w:t>4,595.87</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p>
    <w:p>
      <w:pPr>
        <w:pStyle w:val="11"/>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人员经费4,190.72万元，主要包括基本工资、津贴补贴、奖金、机关事业</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基本养老保险缴费、职工基本医疗保险缴费、公务员医疗补助缴费、住房公积金</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其他工资福利支出、离休费、退休费、抚恤金</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其他对</w:t>
      </w:r>
      <w:r>
        <w:rPr>
          <w:rFonts w:ascii="Times New Roman" w:hAnsi="Times New Roman" w:eastAsia="仿宋_GB2312"/>
          <w:color w:val="333333"/>
          <w:sz w:val="33"/>
          <w:szCs w:val="33"/>
          <w:shd w:val="clear" w:color="auto" w:fill="FFFFFF"/>
        </w:rPr>
        <w:t>个人和家庭</w:t>
      </w:r>
      <w:r>
        <w:rPr>
          <w:rFonts w:ascii="Times New Roman" w:hAnsi="Times New Roman" w:eastAsia="仿宋_GB2312"/>
          <w:kern w:val="2"/>
          <w:sz w:val="32"/>
          <w:szCs w:val="32"/>
          <w:lang w:val="zh-CN"/>
        </w:rPr>
        <w:t>的补助支出。</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公用经费405.15万元，主要包括办公费、邮电费、差旅费、因公出国（境）费用、会议费、培训费、工会经费、福利费、其他交通费用。</w:t>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1"/>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1"/>
        <w:widowControl/>
        <w:spacing w:beforeAutospacing="0" w:afterAutospacing="0"/>
        <w:rPr>
          <w:rFonts w:ascii="Times New Roman" w:hAnsi="Times New Roman" w:eastAsia="仿宋_GB2312"/>
          <w:kern w:val="2"/>
          <w:sz w:val="32"/>
          <w:szCs w:val="32"/>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本单位2023</w:t>
      </w:r>
      <w:r>
        <w:rPr>
          <w:rFonts w:ascii="Times New Roman" w:hAnsi="Times New Roman" w:eastAsia="仿宋_GB2312"/>
          <w:kern w:val="2"/>
          <w:sz w:val="32"/>
          <w:szCs w:val="32"/>
          <w:lang w:val="zh-CN"/>
        </w:rPr>
        <w:t>年度</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三公</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经费财政拨款支出预算为</w:t>
      </w:r>
      <w:r>
        <w:rPr>
          <w:rFonts w:ascii="Times New Roman" w:hAnsi="Times New Roman" w:eastAsia="仿宋_GB2312"/>
          <w:kern w:val="2"/>
          <w:sz w:val="32"/>
          <w:szCs w:val="32"/>
        </w:rPr>
        <w:t>30</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支出决算为</w:t>
      </w:r>
      <w:r>
        <w:rPr>
          <w:rFonts w:ascii="Times New Roman" w:hAnsi="Times New Roman" w:eastAsia="仿宋_GB2312"/>
          <w:kern w:val="2"/>
          <w:sz w:val="32"/>
          <w:szCs w:val="32"/>
        </w:rPr>
        <w:t xml:space="preserve"> 24.58</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完成预算的</w:t>
      </w:r>
      <w:r>
        <w:rPr>
          <w:rFonts w:ascii="Times New Roman" w:hAnsi="Times New Roman" w:eastAsia="仿宋_GB2312"/>
          <w:kern w:val="2"/>
          <w:sz w:val="32"/>
          <w:szCs w:val="32"/>
        </w:rPr>
        <w:t xml:space="preserve"> 81.91%，</w:t>
      </w:r>
      <w:r>
        <w:rPr>
          <w:rFonts w:ascii="Times New Roman" w:hAnsi="Times New Roman" w:eastAsia="仿宋_GB2312"/>
          <w:kern w:val="2"/>
          <w:sz w:val="32"/>
          <w:szCs w:val="32"/>
          <w:lang w:val="zh-CN"/>
        </w:rPr>
        <w:t>较预算</w:t>
      </w:r>
      <w:r>
        <w:rPr>
          <w:rFonts w:hint="eastAsia" w:ascii="Times New Roman" w:hAnsi="Times New Roman" w:eastAsia="仿宋_GB2312"/>
          <w:sz w:val="30"/>
          <w:szCs w:val="30"/>
        </w:rPr>
        <w:t>增加22.28万元</w:t>
      </w:r>
      <w:r>
        <w:rPr>
          <w:rFonts w:hint="eastAsia" w:ascii="Times New Roman" w:hAnsi="Times New Roman" w:eastAsia="仿宋_GB2312"/>
          <w:kern w:val="2"/>
          <w:sz w:val="32"/>
          <w:szCs w:val="32"/>
        </w:rPr>
        <w:t>，增加968.57%，</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年中追加因公出国（境）经费</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年度决算</w:t>
      </w:r>
      <w:r>
        <w:rPr>
          <w:rFonts w:hint="eastAsia" w:ascii="Times New Roman" w:hAnsi="Times New Roman" w:eastAsia="仿宋_GB2312"/>
          <w:kern w:val="2"/>
          <w:sz w:val="32"/>
          <w:szCs w:val="32"/>
        </w:rPr>
        <w:t>增加24.58万元</w:t>
      </w:r>
      <w:r>
        <w:rPr>
          <w:rFonts w:hint="eastAsia" w:ascii="Times New Roman" w:hAnsi="Times New Roman" w:eastAsia="仿宋_GB2312" w:cs="仿宋_GB2312"/>
          <w:sz w:val="30"/>
          <w:szCs w:val="30"/>
        </w:rPr>
        <w:t>，</w:t>
      </w:r>
      <w:r>
        <w:rPr>
          <w:rFonts w:hint="eastAsia" w:ascii="Times New Roman" w:hAnsi="Times New Roman" w:eastAsia="仿宋_GB2312"/>
          <w:kern w:val="2"/>
          <w:sz w:val="32"/>
          <w:szCs w:val="32"/>
        </w:rPr>
        <w:t>增加0%，</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年中追加因公出国（境）经费，</w:t>
      </w:r>
      <w:r>
        <w:rPr>
          <w:rFonts w:hint="eastAsia" w:ascii="Times New Roman" w:hAnsi="Times New Roman" w:eastAsia="仿宋_GB2312"/>
          <w:kern w:val="2"/>
          <w:sz w:val="32"/>
          <w:szCs w:val="32"/>
          <w:lang w:val="en-US" w:eastAsia="zh-CN"/>
        </w:rPr>
        <w:t>2022年无“三公”经费支出</w:t>
      </w:r>
      <w:r>
        <w:rPr>
          <w:rFonts w:ascii="Times New Roman" w:hAnsi="Times New Roman" w:eastAsia="仿宋_GB2312"/>
          <w:kern w:val="2"/>
          <w:sz w:val="32"/>
          <w:szCs w:val="32"/>
          <w:lang w:val="zh-CN"/>
        </w:rPr>
        <w:t>。</w:t>
      </w:r>
    </w:p>
    <w:p>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1"/>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本单位</w:t>
      </w:r>
      <w:r>
        <w:rPr>
          <w:rFonts w:ascii="Times New Roman" w:hAnsi="Times New Roman" w:eastAsia="仿宋_GB2312"/>
          <w:kern w:val="2"/>
          <w:sz w:val="32"/>
          <w:szCs w:val="32"/>
        </w:rPr>
        <w:t>2023年度因公出国（境）费支出预算为27.7万元,支出决算24.58万元。完成预算的88.71%。因公出国（境）费支出较预算</w:t>
      </w:r>
      <w:r>
        <w:rPr>
          <w:rFonts w:hint="eastAsia" w:ascii="Times New Roman" w:hAnsi="Times New Roman" w:eastAsia="仿宋_GB2312"/>
          <w:kern w:val="2"/>
          <w:sz w:val="32"/>
          <w:szCs w:val="32"/>
          <w:lang w:val="zh-CN"/>
        </w:rPr>
        <w:t>减少3.13万元</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zh-CN"/>
        </w:rPr>
        <w:t>减少11.29%，</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lang w:eastAsia="zh-CN"/>
        </w:rPr>
        <w:t>项目支出以实际发生为准</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增加24.58万元</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zh-CN"/>
        </w:rPr>
        <w:t>增加0%，</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lang w:eastAsia="zh-CN"/>
        </w:rPr>
        <w:t>年中追加因公出国（境）经费，</w:t>
      </w:r>
      <w:r>
        <w:rPr>
          <w:rFonts w:hint="eastAsia" w:ascii="Times New Roman" w:hAnsi="Times New Roman" w:eastAsia="仿宋_GB2312"/>
          <w:kern w:val="2"/>
          <w:sz w:val="32"/>
          <w:szCs w:val="32"/>
          <w:lang w:val="en-US" w:eastAsia="zh-CN"/>
        </w:rPr>
        <w:t>2022年无“三公”经费支出</w:t>
      </w:r>
      <w:r>
        <w:rPr>
          <w:rFonts w:ascii="Times New Roman" w:hAnsi="Times New Roman" w:eastAsia="仿宋_GB2312"/>
          <w:kern w:val="2"/>
          <w:sz w:val="32"/>
          <w:szCs w:val="32"/>
        </w:rPr>
        <w:t>。因公出国（境）团组3个、共3人、参加其他单位组织的因公出国（境）团组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人。</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年度公务用车购置及运行维护费预算为0万元，支出决算 0万元，完成预算的0%,较预算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我单位无公务用车、</w:t>
      </w:r>
      <w:r>
        <w:rPr>
          <w:rFonts w:ascii="Times New Roman" w:hAnsi="Times New Roman" w:eastAsia="仿宋_GB2312" w:cs="Times New Roman"/>
          <w:kern w:val="2"/>
          <w:sz w:val="32"/>
          <w:szCs w:val="32"/>
          <w:lang w:val="zh-CN"/>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公务用车购置及运行维护</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我单位无公务用车、</w:t>
      </w:r>
      <w:r>
        <w:rPr>
          <w:rFonts w:ascii="Times New Roman" w:hAnsi="Times New Roman" w:eastAsia="仿宋_GB2312" w:cs="Times New Roman"/>
          <w:kern w:val="2"/>
          <w:sz w:val="32"/>
          <w:szCs w:val="32"/>
          <w:lang w:val="zh-CN"/>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公务用车购置及运行维护</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经费支出。其中：</w:t>
      </w:r>
    </w:p>
    <w:p>
      <w:pPr>
        <w:pStyle w:val="11"/>
        <w:widowControl/>
        <w:spacing w:beforeAutospacing="0" w:afterAutospacing="0"/>
        <w:rPr>
          <w:rFonts w:ascii="Times New Roman" w:hAnsi="Times New Roman" w:eastAsia="Arial"/>
        </w:rPr>
      </w:pPr>
    </w:p>
    <w:p>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年度公务用车购置量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公务用车购置</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经费支出</w:t>
      </w:r>
      <w:r>
        <w:rPr>
          <w:rFonts w:ascii="Times New Roman" w:hAnsi="Times New Roman" w:eastAsia="仿宋_GB2312" w:cs="Times New Roman"/>
          <w:kern w:val="2"/>
          <w:sz w:val="32"/>
          <w:szCs w:val="32"/>
        </w:rPr>
        <w:t xml:space="preserve"> 0</w:t>
      </w:r>
      <w:r>
        <w:rPr>
          <w:rFonts w:ascii="Times New Roman" w:hAnsi="Times New Roman" w:eastAsia="仿宋_GB2312" w:cs="Times New Roman"/>
          <w:kern w:val="2"/>
          <w:sz w:val="32"/>
          <w:szCs w:val="32"/>
          <w:lang w:val="zh-CN"/>
        </w:rPr>
        <w:t>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我单位无公务用车、</w:t>
      </w:r>
      <w:r>
        <w:rPr>
          <w:rFonts w:ascii="Times New Roman" w:hAnsi="Times New Roman" w:eastAsia="仿宋_GB2312"/>
          <w:sz w:val="32"/>
          <w:szCs w:val="32"/>
          <w:highlight w:val="none"/>
        </w:rPr>
        <w:t>未发生</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公务用车购置</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经费支出</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我单位无公务用车、</w:t>
      </w:r>
      <w:r>
        <w:rPr>
          <w:rFonts w:ascii="Times New Roman" w:hAnsi="Times New Roman" w:eastAsia="仿宋_GB2312"/>
          <w:sz w:val="32"/>
          <w:szCs w:val="32"/>
          <w:highlight w:val="none"/>
        </w:rPr>
        <w:t>未发生</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公务用车购置</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经费支出</w:t>
      </w:r>
      <w:r>
        <w:rPr>
          <w:rFonts w:ascii="Times New Roman" w:hAnsi="Times New Roman" w:eastAsia="仿宋_GB2312" w:cs="Times New Roman"/>
          <w:kern w:val="2"/>
          <w:sz w:val="32"/>
          <w:szCs w:val="32"/>
          <w:lang w:val="zh-CN"/>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本单位2023</w:t>
      </w:r>
      <w:r>
        <w:rPr>
          <w:rFonts w:ascii="Times New Roman" w:hAnsi="Times New Roman" w:eastAsia="仿宋_GB2312" w:cs="Times New Roman"/>
          <w:kern w:val="2"/>
          <w:sz w:val="32"/>
          <w:szCs w:val="32"/>
          <w:lang w:val="zh-CN"/>
        </w:rPr>
        <w:t>年度单位公务用车保有量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发生运行维护费支出</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我单位无公务用车、</w:t>
      </w:r>
      <w:r>
        <w:rPr>
          <w:rFonts w:ascii="Times New Roman" w:hAnsi="Times New Roman" w:eastAsia="仿宋_GB2312"/>
          <w:sz w:val="32"/>
          <w:szCs w:val="32"/>
          <w:highlight w:val="none"/>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公务用车运行维护费</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我单位无公务用车、</w:t>
      </w:r>
      <w:r>
        <w:rPr>
          <w:rFonts w:ascii="Times New Roman" w:hAnsi="Times New Roman" w:eastAsia="仿宋_GB2312" w:cs="Times New Roman"/>
          <w:kern w:val="2"/>
          <w:sz w:val="32"/>
          <w:szCs w:val="32"/>
          <w:lang w:val="zh-CN"/>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公务用车运行维护费</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年度公务接待费支出预算为2.3万元，支出决算0万元，完成预算的0%。公务接待费支出较预算</w:t>
      </w:r>
      <w:r>
        <w:rPr>
          <w:rFonts w:hint="eastAsia" w:ascii="Times New Roman" w:hAnsi="Times New Roman" w:eastAsia="仿宋_GB2312" w:cs="Times New Roman"/>
          <w:kern w:val="2"/>
          <w:sz w:val="32"/>
          <w:szCs w:val="32"/>
          <w:lang w:val="zh-CN"/>
        </w:rPr>
        <w:t>减少2.3万元，减少100%，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我单位未发生公务接待</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我单位本年度、上年度均未发生公务接待</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lang w:val="en-US" w:eastAsia="zh-CN"/>
        </w:rPr>
        <w:t>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en-US" w:eastAsia="zh-CN"/>
        </w:rPr>
        <w:t>0</w:t>
      </w:r>
      <w:r>
        <w:rPr>
          <w:rFonts w:ascii="Times New Roman" w:hAnsi="Times New Roman" w:eastAsia="仿宋_GB2312" w:cs="Times New Roman"/>
          <w:kern w:val="2"/>
          <w:sz w:val="32"/>
          <w:szCs w:val="32"/>
          <w:lang w:val="zh-CN"/>
        </w:rPr>
        <w:t>人次。</w:t>
      </w:r>
    </w:p>
    <w:p>
      <w:pPr>
        <w:pStyle w:val="11"/>
        <w:widowControl/>
        <w:spacing w:beforeAutospacing="0" w:afterAutospacing="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年度机关运行经费支出</w:t>
      </w:r>
      <w:r>
        <w:rPr>
          <w:rFonts w:ascii="Times New Roman" w:hAnsi="Times New Roman" w:eastAsia="仿宋_GB2312"/>
          <w:kern w:val="2"/>
          <w:sz w:val="32"/>
          <w:szCs w:val="32"/>
        </w:rPr>
        <w:t>405.15</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w:t>
      </w:r>
      <w:r>
        <w:rPr>
          <w:rFonts w:hint="eastAsia" w:ascii="Times New Roman" w:hAnsi="Times New Roman" w:eastAsia="仿宋_GB2312"/>
          <w:kern w:val="2"/>
          <w:sz w:val="32"/>
          <w:szCs w:val="32"/>
        </w:rPr>
        <w:t>增加65.82万元，增加19.4%，</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eastAsia="zh-CN"/>
        </w:rPr>
        <w:t>邮电费、差旅费等增加</w:t>
      </w:r>
      <w:r>
        <w:rPr>
          <w:rFonts w:ascii="Times New Roman" w:hAnsi="Times New Roman" w:eastAsia="仿宋_GB2312"/>
          <w:kern w:val="2"/>
          <w:sz w:val="32"/>
          <w:szCs w:val="32"/>
          <w:lang w:val="zh-CN"/>
        </w:rPr>
        <w:t>。</w:t>
      </w:r>
    </w:p>
    <w:p>
      <w:pPr>
        <w:adjustRightInd w:val="0"/>
        <w:snapToGrid w:val="0"/>
        <w:spacing w:line="580" w:lineRule="exac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年度政府采购支出总额</w:t>
      </w:r>
      <w:r>
        <w:rPr>
          <w:rFonts w:ascii="Times New Roman" w:hAnsi="Times New Roman" w:eastAsia="仿宋_GB2312"/>
          <w:kern w:val="2"/>
          <w:sz w:val="32"/>
          <w:szCs w:val="32"/>
        </w:rPr>
        <w:t>220.61</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从采购类型来看</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政府采购货物支出</w:t>
      </w:r>
      <w:r>
        <w:rPr>
          <w:rFonts w:ascii="Times New Roman" w:hAnsi="Times New Roman" w:eastAsia="仿宋_GB2312"/>
          <w:kern w:val="2"/>
          <w:sz w:val="32"/>
          <w:szCs w:val="32"/>
        </w:rPr>
        <w:t>25.77</w:t>
      </w:r>
      <w:r>
        <w:rPr>
          <w:rFonts w:ascii="Times New Roman" w:hAnsi="Times New Roman" w:eastAsia="仿宋_GB2312"/>
          <w:kern w:val="2"/>
          <w:sz w:val="32"/>
          <w:szCs w:val="32"/>
          <w:lang w:val="zh-CN"/>
        </w:rPr>
        <w:t>万元、政府采购工程支出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万元、政府采购服务支出</w:t>
      </w:r>
      <w:r>
        <w:rPr>
          <w:rFonts w:ascii="Times New Roman" w:hAnsi="Times New Roman" w:eastAsia="仿宋_GB2312"/>
          <w:kern w:val="2"/>
          <w:sz w:val="32"/>
          <w:szCs w:val="32"/>
        </w:rPr>
        <w:t>194.83</w:t>
      </w:r>
      <w:r>
        <w:rPr>
          <w:rFonts w:ascii="Times New Roman" w:hAnsi="Times New Roman" w:eastAsia="仿宋_GB2312"/>
          <w:kern w:val="2"/>
          <w:sz w:val="32"/>
          <w:szCs w:val="32"/>
          <w:lang w:val="zh-CN"/>
        </w:rPr>
        <w:t>万元。授予中小企业</w:t>
      </w:r>
      <w:r>
        <w:rPr>
          <w:rFonts w:ascii="Times New Roman" w:hAnsi="Times New Roman" w:eastAsia="仿宋_GB2312"/>
          <w:kern w:val="2"/>
          <w:sz w:val="32"/>
          <w:szCs w:val="32"/>
        </w:rPr>
        <w:t>合同金额</w:t>
      </w:r>
      <w:r>
        <w:rPr>
          <w:rFonts w:hint="eastAsia" w:ascii="Times New Roman" w:hAnsi="Times New Roman" w:eastAsia="仿宋_GB2312"/>
          <w:kern w:val="2"/>
          <w:sz w:val="32"/>
          <w:szCs w:val="32"/>
          <w:lang w:val="en-US" w:eastAsia="zh-CN"/>
        </w:rPr>
        <w:t>220.61</w:t>
      </w:r>
      <w:r>
        <w:rPr>
          <w:rFonts w:ascii="Times New Roman" w:hAnsi="Times New Roman" w:eastAsia="仿宋_GB2312"/>
          <w:kern w:val="2"/>
          <w:sz w:val="32"/>
          <w:szCs w:val="32"/>
          <w:lang w:val="zh-CN"/>
        </w:rPr>
        <w:t>万元，占政府采购支出总额的</w:t>
      </w:r>
      <w:r>
        <w:rPr>
          <w:rFonts w:hint="eastAsia" w:ascii="Times New Roman" w:hAnsi="Times New Roman" w:eastAsia="仿宋_GB2312"/>
          <w:kern w:val="2"/>
          <w:sz w:val="32"/>
          <w:szCs w:val="32"/>
          <w:lang w:val="en-US" w:eastAsia="zh-CN"/>
        </w:rPr>
        <w:t>10</w:t>
      </w:r>
      <w:r>
        <w:rPr>
          <w:rFonts w:ascii="Times New Roman" w:hAnsi="Times New Roman" w:eastAsia="仿宋_GB2312"/>
          <w:kern w:val="2"/>
          <w:sz w:val="32"/>
          <w:szCs w:val="32"/>
          <w:lang w:val="zh-CN"/>
        </w:rPr>
        <w:t>0%，其中授予小微企业合同金额</w:t>
      </w:r>
      <w:r>
        <w:rPr>
          <w:rFonts w:hint="eastAsia" w:ascii="Times New Roman" w:hAnsi="Times New Roman" w:eastAsia="仿宋_GB2312"/>
          <w:kern w:val="2"/>
          <w:sz w:val="32"/>
          <w:szCs w:val="32"/>
          <w:lang w:val="en-US" w:eastAsia="zh-CN"/>
        </w:rPr>
        <w:t>20.84</w:t>
      </w:r>
      <w:r>
        <w:rPr>
          <w:rFonts w:ascii="Times New Roman" w:hAnsi="Times New Roman" w:eastAsia="仿宋_GB2312"/>
          <w:kern w:val="2"/>
          <w:sz w:val="32"/>
          <w:szCs w:val="32"/>
          <w:lang w:val="zh-CN"/>
        </w:rPr>
        <w:t>万元，占政府采购支出总额的</w:t>
      </w:r>
      <w:r>
        <w:rPr>
          <w:rFonts w:hint="eastAsia" w:ascii="Times New Roman" w:hAnsi="Times New Roman" w:eastAsia="仿宋_GB2312"/>
          <w:kern w:val="2"/>
          <w:sz w:val="32"/>
          <w:szCs w:val="32"/>
          <w:lang w:val="en-US" w:eastAsia="zh-CN"/>
        </w:rPr>
        <w:t>9.45</w:t>
      </w:r>
      <w:r>
        <w:rPr>
          <w:rFonts w:ascii="Times New Roman" w:hAnsi="Times New Roman" w:eastAsia="仿宋_GB2312"/>
          <w:kern w:val="2"/>
          <w:sz w:val="32"/>
          <w:szCs w:val="32"/>
          <w:lang w:val="zh-CN"/>
        </w:rPr>
        <w:t>%。</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w:t>
      </w:r>
      <w:r>
        <w:rPr>
          <w:rFonts w:ascii="Times New Roman" w:hAnsi="Times New Roman" w:eastAsia="仿宋_GB2312"/>
          <w:kern w:val="2"/>
          <w:sz w:val="32"/>
          <w:szCs w:val="32"/>
        </w:rPr>
        <w:t>12</w:t>
      </w:r>
      <w:r>
        <w:rPr>
          <w:rFonts w:ascii="Times New Roman" w:hAnsi="Times New Roman" w:eastAsia="仿宋_GB2312"/>
          <w:kern w:val="2"/>
          <w:sz w:val="32"/>
          <w:szCs w:val="32"/>
          <w:lang w:val="zh-CN"/>
        </w:rPr>
        <w:t>月</w:t>
      </w:r>
      <w:r>
        <w:rPr>
          <w:rFonts w:ascii="Times New Roman" w:hAnsi="Times New Roman" w:eastAsia="仿宋_GB2312"/>
          <w:kern w:val="2"/>
          <w:sz w:val="32"/>
          <w:szCs w:val="32"/>
        </w:rPr>
        <w:t>31</w:t>
      </w:r>
      <w:r>
        <w:rPr>
          <w:rFonts w:ascii="Times New Roman" w:hAnsi="Times New Roman" w:eastAsia="仿宋_GB2312"/>
          <w:kern w:val="2"/>
          <w:sz w:val="32"/>
          <w:szCs w:val="32"/>
          <w:lang w:val="zh-CN"/>
        </w:rPr>
        <w:t>日</w:t>
      </w:r>
      <w:r>
        <w:rPr>
          <w:rFonts w:ascii="Times New Roman" w:hAnsi="Times New Roman" w:eastAsia="仿宋_GB2312"/>
          <w:kern w:val="2"/>
          <w:sz w:val="32"/>
          <w:szCs w:val="32"/>
        </w:rPr>
        <w:t>，本单位</w:t>
      </w:r>
      <w:r>
        <w:rPr>
          <w:rFonts w:ascii="Times New Roman" w:hAnsi="Times New Roman" w:eastAsia="仿宋_GB2312"/>
          <w:kern w:val="2"/>
          <w:sz w:val="32"/>
          <w:szCs w:val="32"/>
          <w:lang w:val="zh-CN"/>
        </w:rPr>
        <w:t>共有车辆</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辆</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kern w:val="2"/>
          <w:sz w:val="32"/>
          <w:szCs w:val="32"/>
        </w:rPr>
        <w:t>持平</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rPr>
        <w:t>，</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我单位无公务用车</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用车0辆，机要通信用车0辆，应急保障用车0辆，执法执勤用车0辆，特种专业技术用车0辆，离退休干部用车0辆，其他用车0辆。单位价值100万元（含）以上设备（不含车辆）0台（套）。</w:t>
      </w:r>
    </w:p>
    <w:p>
      <w:pPr>
        <w:pStyle w:val="11"/>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w:t>
      </w:r>
      <w:r>
        <w:rPr>
          <w:rFonts w:ascii="Times New Roman" w:hAnsi="Times New Roman" w:eastAsia="仿宋_GB2312"/>
          <w:kern w:val="2"/>
          <w:sz w:val="32"/>
          <w:szCs w:val="32"/>
        </w:rPr>
        <w:t>，本单位</w:t>
      </w:r>
      <w:r>
        <w:rPr>
          <w:rFonts w:ascii="Times New Roman" w:hAnsi="Times New Roman" w:eastAsia="仿宋_GB2312"/>
          <w:kern w:val="2"/>
          <w:sz w:val="32"/>
          <w:szCs w:val="32"/>
          <w:lang w:val="zh-CN"/>
        </w:rPr>
        <w:t>组织对</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年度一般公共预算项目支出</w:t>
      </w:r>
      <w:r>
        <w:rPr>
          <w:rFonts w:hint="eastAsia" w:ascii="仿宋" w:hAnsi="仿宋" w:eastAsia="仿宋" w:cs="仿宋"/>
          <w:kern w:val="2"/>
          <w:sz w:val="32"/>
          <w:szCs w:val="32"/>
          <w:lang w:val="zh-CN"/>
        </w:rPr>
        <w:t>全面</w:t>
      </w:r>
      <w:r>
        <w:rPr>
          <w:rFonts w:ascii="Times New Roman" w:hAnsi="Times New Roman" w:eastAsia="仿宋_GB2312"/>
          <w:kern w:val="2"/>
          <w:sz w:val="32"/>
          <w:szCs w:val="32"/>
          <w:lang w:val="zh-CN"/>
        </w:rPr>
        <w:t>开展绩效自评</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一级项目</w:t>
      </w:r>
      <w:r>
        <w:rPr>
          <w:rFonts w:hint="eastAsia" w:ascii="Times New Roman" w:hAnsi="Times New Roman" w:eastAsia="仿宋_GB2312"/>
          <w:kern w:val="2"/>
          <w:sz w:val="32"/>
          <w:szCs w:val="32"/>
          <w:lang w:val="en-US" w:eastAsia="zh-CN"/>
        </w:rPr>
        <w:t>33</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二级项目</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共涉及资金</w:t>
      </w:r>
      <w:r>
        <w:rPr>
          <w:rFonts w:hint="eastAsia" w:ascii="Times New Roman" w:hAnsi="Times New Roman" w:eastAsia="仿宋_GB2312"/>
          <w:kern w:val="2"/>
          <w:sz w:val="32"/>
          <w:szCs w:val="32"/>
          <w:lang w:val="en-US" w:eastAsia="zh-CN"/>
        </w:rPr>
        <w:t>4856.72</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占一般公共预算项目支出总额的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个国有资本经营预算项目支出开展绩效自评，共涉及资金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万元，占国有资本经营预算项目支出总额的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w:t>
      </w:r>
    </w:p>
    <w:p>
      <w:pPr>
        <w:adjustRightInd w:val="0"/>
        <w:snapToGrid w:val="0"/>
        <w:spacing w:line="580" w:lineRule="exact"/>
        <w:ind w:firstLine="640" w:firstLineChars="200"/>
        <w:rPr>
          <w:rFonts w:hint="eastAsia" w:ascii="仿宋" w:hAnsi="仿宋" w:eastAsia="仿宋" w:cs="仿宋"/>
          <w:kern w:val="2"/>
          <w:sz w:val="32"/>
          <w:szCs w:val="32"/>
          <w:lang w:val="zh-CN" w:eastAsia="zh-CN" w:bidi="ar-SA"/>
        </w:rPr>
      </w:pPr>
      <w:r>
        <w:rPr>
          <w:rFonts w:ascii="Times New Roman" w:hAnsi="Times New Roman" w:eastAsia="仿宋_GB2312" w:cs="Times New Roman"/>
          <w:kern w:val="2"/>
          <w:sz w:val="32"/>
          <w:szCs w:val="32"/>
          <w:lang w:val="zh-CN" w:eastAsia="zh-CN" w:bidi="ar-SA"/>
        </w:rPr>
        <w:t>组织对“</w:t>
      </w:r>
      <w:r>
        <w:rPr>
          <w:rFonts w:hint="eastAsia" w:ascii="Times New Roman" w:hAnsi="Times New Roman" w:eastAsia="仿宋_GB2312" w:cs="Times New Roman"/>
          <w:kern w:val="2"/>
          <w:sz w:val="32"/>
          <w:szCs w:val="32"/>
          <w:lang w:val="en-US" w:eastAsia="zh-CN" w:bidi="ar-SA"/>
        </w:rPr>
        <w:t>12345及12342市政府公开电话运营经费</w:t>
      </w:r>
      <w:r>
        <w:rPr>
          <w:rFonts w:ascii="Times New Roman" w:hAnsi="Times New Roman" w:eastAsia="仿宋_GB2312" w:cs="Times New Roman"/>
          <w:kern w:val="2"/>
          <w:sz w:val="32"/>
          <w:szCs w:val="32"/>
          <w:lang w:val="zh-CN" w:eastAsia="zh-CN" w:bidi="ar-SA"/>
        </w:rPr>
        <w:t>”</w:t>
      </w:r>
      <w:r>
        <w:rPr>
          <w:rFonts w:hint="eastAsia" w:ascii="Times New Roman" w:hAnsi="Times New Roman" w:eastAsia="仿宋_GB2312" w:cs="Times New Roman"/>
          <w:kern w:val="2"/>
          <w:sz w:val="32"/>
          <w:szCs w:val="32"/>
          <w:lang w:val="en-US" w:eastAsia="zh-CN" w:bidi="ar-SA"/>
        </w:rPr>
        <w:t>1</w:t>
      </w:r>
      <w:r>
        <w:rPr>
          <w:rFonts w:ascii="Times New Roman" w:hAnsi="Times New Roman" w:eastAsia="仿宋_GB2312" w:cs="Times New Roman"/>
          <w:kern w:val="2"/>
          <w:sz w:val="32"/>
          <w:szCs w:val="32"/>
          <w:lang w:val="zh-CN" w:eastAsia="zh-CN" w:bidi="ar-SA"/>
        </w:rPr>
        <w:t>个项目开展了</w:t>
      </w:r>
      <w:r>
        <w:rPr>
          <w:rFonts w:hint="eastAsia" w:ascii="Times New Roman" w:hAnsi="Times New Roman" w:eastAsia="仿宋_GB2312" w:cs="Times New Roman"/>
          <w:kern w:val="2"/>
          <w:sz w:val="32"/>
          <w:szCs w:val="32"/>
          <w:lang w:val="zh-CN" w:eastAsia="zh-CN" w:bidi="ar-SA"/>
        </w:rPr>
        <w:t>单位</w:t>
      </w:r>
      <w:r>
        <w:rPr>
          <w:rFonts w:ascii="Times New Roman" w:hAnsi="Times New Roman" w:eastAsia="仿宋_GB2312" w:cs="Times New Roman"/>
          <w:kern w:val="2"/>
          <w:sz w:val="32"/>
          <w:szCs w:val="32"/>
          <w:lang w:val="zh-CN" w:eastAsia="zh-CN" w:bidi="ar-SA"/>
        </w:rPr>
        <w:t>评价，涉及一般公共预算支出</w:t>
      </w:r>
      <w:r>
        <w:rPr>
          <w:rFonts w:hint="eastAsia" w:ascii="Times New Roman" w:hAnsi="Times New Roman" w:eastAsia="仿宋_GB2312" w:cs="Times New Roman"/>
          <w:kern w:val="2"/>
          <w:sz w:val="32"/>
          <w:szCs w:val="32"/>
          <w:lang w:val="en-US" w:eastAsia="zh-CN" w:bidi="ar-SA"/>
        </w:rPr>
        <w:t>3160.63</w:t>
      </w:r>
      <w:r>
        <w:rPr>
          <w:rFonts w:ascii="Times New Roman" w:hAnsi="Times New Roman" w:eastAsia="仿宋_GB2312" w:cs="Times New Roman"/>
          <w:kern w:val="2"/>
          <w:sz w:val="32"/>
          <w:szCs w:val="32"/>
          <w:lang w:val="zh-CN" w:eastAsia="zh-CN" w:bidi="ar-SA"/>
        </w:rPr>
        <w:t>万元，政府性基金预算支出</w:t>
      </w:r>
      <w:r>
        <w:rPr>
          <w:rFonts w:hint="eastAsia" w:ascii="Times New Roman" w:hAnsi="Times New Roman" w:eastAsia="仿宋_GB2312" w:cs="Times New Roman"/>
          <w:kern w:val="2"/>
          <w:sz w:val="32"/>
          <w:szCs w:val="32"/>
          <w:lang w:val="en-US" w:eastAsia="zh-CN" w:bidi="ar-SA"/>
        </w:rPr>
        <w:t>0</w:t>
      </w:r>
      <w:r>
        <w:rPr>
          <w:rFonts w:ascii="Times New Roman" w:hAnsi="Times New Roman" w:eastAsia="仿宋_GB2312" w:cs="Times New Roman"/>
          <w:kern w:val="2"/>
          <w:sz w:val="32"/>
          <w:szCs w:val="32"/>
          <w:lang w:val="zh-CN" w:eastAsia="zh-CN" w:bidi="ar-SA"/>
        </w:rPr>
        <w:t>万元，国有资本经营预算支出</w:t>
      </w:r>
      <w:r>
        <w:rPr>
          <w:rFonts w:hint="eastAsia" w:ascii="Times New Roman" w:hAnsi="Times New Roman" w:eastAsia="仿宋_GB2312" w:cs="Times New Roman"/>
          <w:kern w:val="2"/>
          <w:sz w:val="32"/>
          <w:szCs w:val="32"/>
          <w:lang w:val="en-US" w:eastAsia="zh-CN" w:bidi="ar-SA"/>
        </w:rPr>
        <w:t>0</w:t>
      </w:r>
      <w:r>
        <w:rPr>
          <w:rFonts w:ascii="Times New Roman" w:hAnsi="Times New Roman" w:eastAsia="仿宋_GB2312" w:cs="Times New Roman"/>
          <w:kern w:val="2"/>
          <w:sz w:val="32"/>
          <w:szCs w:val="32"/>
          <w:lang w:val="zh-CN" w:eastAsia="zh-CN" w:bidi="ar-SA"/>
        </w:rPr>
        <w:t>万元。从评价情况</w:t>
      </w:r>
      <w:r>
        <w:rPr>
          <w:rFonts w:hint="eastAsia" w:ascii="仿宋" w:hAnsi="仿宋" w:eastAsia="仿宋" w:cs="仿宋"/>
          <w:kern w:val="2"/>
          <w:sz w:val="32"/>
          <w:szCs w:val="32"/>
          <w:lang w:val="zh-CN" w:eastAsia="zh-CN" w:bidi="ar-SA"/>
        </w:rPr>
        <w:t>来</w:t>
      </w:r>
      <w:r>
        <w:rPr>
          <w:rFonts w:ascii="Times New Roman" w:hAnsi="Times New Roman" w:eastAsia="仿宋_GB2312" w:cs="Times New Roman"/>
          <w:kern w:val="2"/>
          <w:sz w:val="32"/>
          <w:szCs w:val="32"/>
          <w:lang w:val="zh-CN" w:eastAsia="zh-CN" w:bidi="ar-SA"/>
        </w:rPr>
        <w:t>看，</w:t>
      </w:r>
      <w:r>
        <w:rPr>
          <w:rFonts w:hint="eastAsia" w:ascii="Times New Roman" w:hAnsi="Times New Roman" w:eastAsia="仿宋_GB2312" w:cs="Times New Roman"/>
          <w:kern w:val="2"/>
          <w:sz w:val="32"/>
          <w:szCs w:val="32"/>
          <w:lang w:val="zh-CN" w:eastAsia="zh-CN" w:bidi="ar-SA"/>
        </w:rPr>
        <w:t>项目绩效目标完成</w:t>
      </w:r>
      <w:r>
        <w:rPr>
          <w:rFonts w:hint="eastAsia" w:ascii="仿宋" w:hAnsi="仿宋" w:eastAsia="仿宋" w:cs="仿宋"/>
          <w:kern w:val="2"/>
          <w:sz w:val="32"/>
          <w:szCs w:val="32"/>
          <w:lang w:val="zh-CN" w:eastAsia="zh-CN" w:bidi="ar-SA"/>
        </w:rPr>
        <w:t>良好</w:t>
      </w:r>
      <w:r>
        <w:rPr>
          <w:rFonts w:hint="eastAsia" w:ascii="Times New Roman" w:hAnsi="Times New Roman" w:eastAsia="仿宋_GB2312" w:cs="Times New Roman"/>
          <w:kern w:val="2"/>
          <w:sz w:val="32"/>
          <w:szCs w:val="32"/>
          <w:lang w:val="zh-CN" w:eastAsia="zh-CN" w:bidi="ar-SA"/>
        </w:rPr>
        <w:t>，</w:t>
      </w:r>
      <w:r>
        <w:rPr>
          <w:rFonts w:hint="eastAsia" w:ascii="仿宋" w:hAnsi="仿宋" w:eastAsia="仿宋" w:cs="仿宋"/>
          <w:kern w:val="2"/>
          <w:sz w:val="32"/>
          <w:szCs w:val="32"/>
          <w:lang w:val="zh-CN" w:eastAsia="zh-CN" w:bidi="ar-SA"/>
        </w:rPr>
        <w:t>畅通群众诉求渠道，强化督办力度，提升政府服务能力和水平及维护社会稳定能力，提高群众满意度。对机关和接线员队伍进行组织学习，推行服务标准化，对受理的群众诉求事项一盯到底，及时交办，限时催办，降低居民投诉率，提高服务群众水平能力和群众满意度。</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ascii="Times New Roman" w:hAnsi="Times New Roman" w:eastAsia="仿宋_GB2312" w:cs="Times New Roman"/>
          <w:b/>
          <w:bCs/>
          <w:sz w:val="32"/>
          <w:szCs w:val="32"/>
        </w:rPr>
        <w:t>决算中项目绩效自评结果</w:t>
      </w:r>
    </w:p>
    <w:p>
      <w:pPr>
        <w:pStyle w:val="11"/>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本单位在今年</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决算公开中反映</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r>
        <w:rPr>
          <w:rFonts w:hint="eastAsia" w:ascii="Times New Roman" w:hAnsi="Times New Roman" w:eastAsia="仿宋_GB2312"/>
          <w:kern w:val="2"/>
          <w:sz w:val="32"/>
          <w:szCs w:val="32"/>
          <w:lang w:val="en-US" w:eastAsia="zh-CN"/>
        </w:rPr>
        <w:t>1</w:t>
      </w:r>
      <w:r>
        <w:rPr>
          <w:rFonts w:ascii="Times New Roman" w:hAnsi="Times New Roman" w:eastAsia="仿宋_GB2312"/>
          <w:kern w:val="2"/>
          <w:sz w:val="32"/>
          <w:szCs w:val="32"/>
          <w:lang w:val="zh-CN"/>
        </w:rPr>
        <w:t>个项目绩效自评结果。</w:t>
      </w:r>
    </w:p>
    <w:p>
      <w:pPr>
        <w:pStyle w:val="11"/>
        <w:widowControl/>
        <w:spacing w:beforeAutospacing="0" w:afterAutospacing="0"/>
        <w:ind w:firstLine="640" w:firstLineChars="200"/>
        <w:rPr>
          <w:rFonts w:hint="eastAsia" w:ascii="仿宋" w:hAnsi="仿宋" w:eastAsia="仿宋" w:cs="仿宋"/>
          <w:kern w:val="2"/>
          <w:sz w:val="32"/>
          <w:szCs w:val="32"/>
          <w:lang w:val="zh-CN"/>
        </w:rPr>
      </w:pP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项目绩效自评情况：根据年初设定的绩效目标，</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97.48</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3333.51</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3160.63</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94.81</w:t>
      </w:r>
      <w:r>
        <w:rPr>
          <w:rFonts w:ascii="Times New Roman" w:hAnsi="Times New Roman" w:eastAsia="仿宋_GB2312"/>
          <w:kern w:val="2"/>
          <w:sz w:val="32"/>
          <w:szCs w:val="32"/>
          <w:lang w:val="zh-CN"/>
        </w:rPr>
        <w:t>%。</w:t>
      </w:r>
      <w:r>
        <w:rPr>
          <w:rFonts w:hint="eastAsia" w:ascii="仿宋" w:hAnsi="仿宋" w:eastAsia="仿宋" w:cs="仿宋"/>
          <w:kern w:val="2"/>
          <w:sz w:val="32"/>
          <w:szCs w:val="32"/>
          <w:lang w:val="zh-CN"/>
        </w:rPr>
        <w:t>项目绩效目标完成情况：确保市政府公开电话正常运转，</w:t>
      </w:r>
      <w:r>
        <w:rPr>
          <w:rFonts w:hint="eastAsia" w:ascii="仿宋" w:hAnsi="仿宋" w:eastAsia="仿宋" w:cs="仿宋"/>
          <w:sz w:val="32"/>
          <w:szCs w:val="32"/>
        </w:rPr>
        <w:t>畅通群众诉求渠道，强化督办力度，提升政府服务能力和水平及维护社会稳定能力</w:t>
      </w:r>
      <w:r>
        <w:rPr>
          <w:rFonts w:hint="eastAsia" w:ascii="仿宋" w:hAnsi="仿宋" w:eastAsia="仿宋" w:cs="仿宋"/>
          <w:kern w:val="2"/>
          <w:sz w:val="32"/>
          <w:szCs w:val="32"/>
          <w:lang w:val="zh-CN"/>
        </w:rPr>
        <w:t>。发现的主要问题及原因是：一是预算绩效指标设置不够完整准确；二是存在群众诉求办理质量不高和政策宣讲不到位问题。下一步改进措施：一是进一步完善预算绩效指标；二是提升系统智能水平、打通社会治理脉络。</w:t>
      </w:r>
    </w:p>
    <w:p>
      <w:pPr>
        <w:pStyle w:val="11"/>
        <w:widowControl/>
        <w:spacing w:beforeAutospacing="0" w:afterAutospacing="0"/>
        <w:ind w:firstLine="640" w:firstLineChars="200"/>
        <w:rPr>
          <w:rFonts w:ascii="Times New Roman" w:hAnsi="Times New Roman" w:eastAsia="仿宋_GB2312"/>
          <w:kern w:val="2"/>
          <w:sz w:val="32"/>
          <w:szCs w:val="32"/>
          <w:lang w:val="zh-CN"/>
        </w:rPr>
      </w:pPr>
    </w:p>
    <w:p>
      <w:pPr>
        <w:pStyle w:val="11"/>
        <w:widowControl/>
        <w:spacing w:beforeAutospacing="0" w:afterAutospacing="0"/>
        <w:ind w:firstLine="640" w:firstLineChars="200"/>
        <w:rPr>
          <w:rFonts w:ascii="Times New Roman" w:hAnsi="Times New Roman" w:eastAsia="仿宋_GB2312"/>
          <w:kern w:val="2"/>
          <w:sz w:val="32"/>
          <w:szCs w:val="32"/>
          <w:lang w:val="zh-CN"/>
        </w:rPr>
      </w:pPr>
    </w:p>
    <w:p>
      <w:pPr>
        <w:pStyle w:val="11"/>
        <w:widowControl/>
        <w:spacing w:beforeAutospacing="0" w:afterAutospacing="0"/>
        <w:ind w:firstLine="640" w:firstLineChars="200"/>
        <w:rPr>
          <w:rFonts w:ascii="Times New Roman" w:hAnsi="Times New Roman" w:eastAsia="仿宋_GB2312"/>
          <w:kern w:val="2"/>
          <w:sz w:val="32"/>
          <w:szCs w:val="32"/>
          <w:lang w:val="zh-CN"/>
        </w:rPr>
      </w:pPr>
    </w:p>
    <w:p>
      <w:pPr>
        <w:pStyle w:val="11"/>
        <w:widowControl/>
        <w:spacing w:beforeAutospacing="0" w:afterAutospacing="0"/>
        <w:rPr>
          <w:rFonts w:ascii="Times New Roman" w:hAnsi="Times New Roman" w:eastAsia="仿宋_GB2312"/>
          <w:kern w:val="2"/>
          <w:sz w:val="32"/>
          <w:szCs w:val="32"/>
          <w:lang w:val="zh-CN"/>
        </w:rPr>
      </w:pPr>
    </w:p>
    <w:tbl>
      <w:tblPr>
        <w:tblStyle w:val="12"/>
        <w:tblW w:w="7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22"/>
        <w:gridCol w:w="803"/>
        <w:gridCol w:w="835"/>
        <w:gridCol w:w="938"/>
        <w:gridCol w:w="972"/>
        <w:gridCol w:w="1246"/>
        <w:gridCol w:w="1222"/>
        <w:gridCol w:w="9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4" w:hRule="atLeast"/>
        </w:trPr>
        <w:tc>
          <w:tcPr>
            <w:tcW w:w="102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7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12345及12342市政府公开电话运营经费（专项资金）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6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3160.63</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3160.63</w:t>
            </w: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Calibri" w:hAnsi="Calibri" w:eastAsia="宋体" w:cs="Calibri"/>
                <w:i w:val="0"/>
                <w:color w:val="000000"/>
                <w:sz w:val="20"/>
                <w:szCs w:val="20"/>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Calibri" w:hAnsi="Calibri" w:eastAsia="宋体" w:cs="Calibri"/>
                <w:i w:val="0"/>
                <w:color w:val="000000"/>
                <w:sz w:val="20"/>
                <w:szCs w:val="20"/>
                <w:u w:val="none"/>
              </w:rPr>
            </w:pP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5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4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5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用于市政府公开电话人员及场地等费用，确保市政府公开电话正常运转。</w:t>
            </w:r>
          </w:p>
        </w:tc>
        <w:tc>
          <w:tcPr>
            <w:tcW w:w="34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用于市政府公开电话人员及场地等费用，确保市政府公开电话正常运转。</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5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5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restart"/>
            <w:tcBorders>
              <w:top w:val="single" w:color="000000" w:sz="4" w:space="0"/>
              <w:lef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接线次数</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实际接线次数</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与年初计划相同</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相同</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接线效果</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接线效果</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达到预期</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接线时效</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≤30秒</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30秒</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≤3333.51万元</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3160.63万元</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07"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指标（10分）</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预算执行情况</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94.81%</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9.48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5"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为市民群众解决问题</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为市民群众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解决问题</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w:t>
            </w:r>
          </w:p>
        </w:tc>
        <w:tc>
          <w:tcPr>
            <w:tcW w:w="961"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19.00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效益指标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建立长效管理机制</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建立长效</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管理机制</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4"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9"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6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97.48 </w:t>
            </w:r>
          </w:p>
        </w:tc>
      </w:tr>
    </w:tbl>
    <w:p>
      <w:pPr>
        <w:adjustRightInd w:val="0"/>
        <w:snapToGrid w:val="0"/>
        <w:spacing w:line="580" w:lineRule="exact"/>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 xml:space="preserve">   </w:t>
      </w:r>
      <w:r>
        <w:rPr>
          <w:rFonts w:ascii="Times New Roman" w:hAnsi="Times New Roman" w:eastAsia="仿宋_GB2312" w:cs="Times New Roman"/>
          <w:b/>
          <w:bCs/>
          <w:sz w:val="32"/>
          <w:szCs w:val="32"/>
        </w:rPr>
        <w:t>（三）</w:t>
      </w:r>
      <w:r>
        <w:rPr>
          <w:rFonts w:hint="eastAsia" w:ascii="Times New Roman" w:hAnsi="Times New Roman" w:eastAsia="仿宋_GB2312" w:cs="Times New Roman"/>
          <w:b/>
          <w:bCs/>
          <w:sz w:val="32"/>
          <w:szCs w:val="32"/>
          <w:lang w:eastAsia="zh-CN"/>
        </w:rPr>
        <w:t>单位</w:t>
      </w:r>
      <w:r>
        <w:rPr>
          <w:rFonts w:ascii="Times New Roman" w:hAnsi="Times New Roman" w:eastAsia="仿宋_GB2312" w:cs="Times New Roman"/>
          <w:b/>
          <w:bCs/>
          <w:sz w:val="32"/>
          <w:szCs w:val="32"/>
        </w:rPr>
        <w:t>评价项目绩效评价结果</w:t>
      </w:r>
    </w:p>
    <w:p>
      <w:pPr>
        <w:snapToGrid w:val="0"/>
        <w:spacing w:line="360" w:lineRule="auto"/>
        <w:rPr>
          <w:rFonts w:hint="eastAsia" w:ascii="仿宋_GB2312" w:hAnsi="仿宋_GB2312" w:eastAsia="仿宋_GB2312" w:cs="仿宋_GB2312"/>
          <w:sz w:val="32"/>
          <w:szCs w:val="32"/>
          <w:highlight w:val="none"/>
          <w:lang w:val="en-US" w:eastAsia="zh-CN"/>
        </w:rPr>
      </w:pPr>
      <w:r>
        <w:rPr>
          <w:rFonts w:hint="eastAsia" w:ascii="Times New Roman" w:hAnsi="Times New Roman" w:eastAsia="仿宋_GB2312" w:cs="Times New Roman"/>
          <w:b/>
          <w:bCs/>
          <w:sz w:val="32"/>
          <w:szCs w:val="32"/>
          <w:lang w:val="en-US" w:eastAsia="zh-CN"/>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本次评价项目共</w:t>
      </w:r>
      <w:r>
        <w:rPr>
          <w:rFonts w:hint="eastAsia" w:ascii="仿宋_GB2312" w:hAnsi="仿宋_GB2312" w:eastAsia="仿宋_GB2312" w:cs="仿宋_GB2312"/>
          <w:sz w:val="32"/>
          <w:szCs w:val="32"/>
          <w:highlight w:val="none"/>
          <w:lang w:val="en-US" w:eastAsia="zh-CN"/>
        </w:rPr>
        <w:t>33项，评价结果均为“优”。</w:t>
      </w:r>
    </w:p>
    <w:p>
      <w:pPr>
        <w:snapToGrid w:val="0"/>
        <w:spacing w:line="360" w:lineRule="auto"/>
        <w:rPr>
          <w:rFonts w:hint="eastAsia" w:ascii="仿宋" w:hAnsi="仿宋" w:eastAsia="仿宋" w:cs="仿宋"/>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《政府公报》</w:t>
      </w:r>
      <w:r>
        <w:rPr>
          <w:rFonts w:hint="eastAsia" w:ascii="仿宋" w:hAnsi="仿宋" w:eastAsia="仿宋" w:cs="仿宋"/>
          <w:sz w:val="32"/>
          <w:szCs w:val="32"/>
          <w:highlight w:val="none"/>
          <w:lang w:eastAsia="zh-CN"/>
        </w:rPr>
        <w:t>编印积极向人民群众传递政</w:t>
      </w:r>
      <w:r>
        <w:rPr>
          <w:rFonts w:hint="eastAsia" w:ascii="仿宋" w:hAnsi="仿宋" w:eastAsia="仿宋" w:cs="仿宋"/>
          <w:sz w:val="32"/>
          <w:szCs w:val="32"/>
          <w:highlight w:val="none"/>
        </w:rPr>
        <w:t>府工作职责，加大宣传力度，提高机关形象</w:t>
      </w:r>
      <w:r>
        <w:rPr>
          <w:rFonts w:hint="eastAsia" w:ascii="仿宋" w:hAnsi="仿宋" w:eastAsia="仿宋" w:cs="仿宋"/>
          <w:sz w:val="32"/>
          <w:szCs w:val="32"/>
          <w:highlight w:val="none"/>
          <w:lang w:eastAsia="zh-CN"/>
        </w:rPr>
        <w:t>，保证了机关工作的顺利开展；提高12345市政府公开电话和</w:t>
      </w:r>
      <w:r>
        <w:rPr>
          <w:rFonts w:hint="eastAsia" w:ascii="仿宋" w:hAnsi="仿宋" w:eastAsia="仿宋" w:cs="仿宋"/>
          <w:sz w:val="32"/>
          <w:szCs w:val="32"/>
          <w:highlight w:val="none"/>
          <w:lang w:val="en-US" w:eastAsia="zh-CN"/>
        </w:rPr>
        <w:t>12342环境污染举报专线</w:t>
      </w:r>
      <w:r>
        <w:rPr>
          <w:rFonts w:hint="eastAsia" w:ascii="仿宋" w:hAnsi="仿宋" w:eastAsia="仿宋" w:cs="仿宋"/>
          <w:sz w:val="32"/>
          <w:szCs w:val="32"/>
          <w:highlight w:val="none"/>
          <w:lang w:eastAsia="zh-CN"/>
        </w:rPr>
        <w:t>群众来电接通率，提升政府服务能力水平及维护社会稳定能力，有效地保障社会发展，提高政府公信力；完成对党务干部进行培训，发挥党员模范作用，为社会文明建设做表率；通过对污染环境进行举报处理，能够长期保障生态环境的可持续发展；对市政府微博、微信建设运维，加强政务新媒体发布、传播、互动、引导、办事等功能，将政务新媒体打造成更加权威的信息发布、解读回应、政民互动、办事服务平台，为企业和群众提供更加便捷实用的移动服务。</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2023年度</w:t>
      </w:r>
      <w:r>
        <w:rPr>
          <w:rFonts w:hint="eastAsia" w:ascii="仿宋_GB2312" w:hAnsi="Times New Roman" w:eastAsia="仿宋_GB2312" w:cs="DengXian-Regular"/>
          <w:sz w:val="32"/>
          <w:szCs w:val="32"/>
        </w:rPr>
        <w:t>政府性基金预算、国有资金经营收支及结转结余</w:t>
      </w:r>
      <w:r>
        <w:rPr>
          <w:rFonts w:ascii="Times New Roman" w:hAnsi="Times New Roman" w:eastAsia="仿宋_GB2312" w:cs="Times New Roman"/>
          <w:sz w:val="32"/>
          <w:szCs w:val="32"/>
        </w:rPr>
        <w:t>无收支及结转结余情况，</w:t>
      </w:r>
      <w:r>
        <w:rPr>
          <w:rFonts w:hint="eastAsia" w:ascii="仿宋_GB2312" w:hAnsi="Times New Roman" w:eastAsia="仿宋_GB2312" w:cs="DengXian-Regular"/>
          <w:sz w:val="32"/>
          <w:szCs w:val="32"/>
        </w:rPr>
        <w:t>政府性基金预算、国有资金经营预算表以空表列示。</w:t>
      </w:r>
    </w:p>
    <w:p>
      <w:pPr>
        <w:adjustRightInd w:val="0"/>
        <w:snapToGrid w:val="0"/>
        <w:spacing w:line="580" w:lineRule="exact"/>
        <w:ind w:firstLine="640" w:firstLineChars="200"/>
        <w:rPr>
          <w:rFonts w:hint="eastAsia" w:ascii="仿宋" w:hAnsi="仿宋" w:eastAsia="仿宋" w:cs="仿宋"/>
          <w:sz w:val="32"/>
          <w:szCs w:val="32"/>
        </w:rPr>
      </w:pPr>
      <w:r>
        <w:rPr>
          <w:rFonts w:ascii="Times New Roman" w:hAnsi="Times New Roman" w:eastAsia="仿宋_GB2312" w:cs="Times New Roman"/>
          <w:sz w:val="32"/>
          <w:szCs w:val="32"/>
        </w:rPr>
        <w:t xml:space="preserve">2. </w:t>
      </w:r>
      <w:r>
        <w:rPr>
          <w:rFonts w:hint="eastAsia" w:ascii="仿宋" w:hAnsi="仿宋" w:eastAsia="仿宋" w:cs="仿宋"/>
          <w:sz w:val="32"/>
          <w:szCs w:val="32"/>
        </w:rPr>
        <w:t>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仿宋_GB2312" w:cs="Times New Roman"/>
          <w:sz w:val="32"/>
          <w:szCs w:val="32"/>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w:t>
      </w:r>
      <w:r>
        <w:rPr>
          <w:rFonts w:hint="eastAsia" w:ascii="Times New Roman" w:hAnsi="Times New Roman" w:eastAsia="仿宋_GB2312" w:cs="Times New Roman"/>
          <w:bCs/>
          <w:color w:val="000000"/>
          <w:sz w:val="32"/>
          <w:szCs w:val="32"/>
          <w:lang w:eastAsia="zh-CN"/>
        </w:rPr>
        <w:t>单位</w:t>
      </w:r>
      <w:r>
        <w:rPr>
          <w:rFonts w:ascii="Times New Roman" w:hAnsi="Times New Roman" w:eastAsia="仿宋_GB2312" w:cs="Times New Roman"/>
          <w:bCs/>
          <w:color w:val="000000"/>
          <w:sz w:val="32"/>
          <w:szCs w:val="32"/>
        </w:rPr>
        <w:t>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w:t>
      </w:r>
      <w:r>
        <w:rPr>
          <w:rFonts w:hint="eastAsia" w:ascii="Times New Roman" w:hAnsi="Times New Roman" w:eastAsia="仿宋_GB2312" w:cs="Times New Roman"/>
          <w:color w:val="000000"/>
          <w:sz w:val="32"/>
          <w:szCs w:val="32"/>
          <w:lang w:eastAsia="zh-CN"/>
        </w:rPr>
        <w:t>单位</w:t>
      </w:r>
      <w:r>
        <w:rPr>
          <w:rFonts w:ascii="Times New Roman" w:hAnsi="Times New Roman" w:eastAsia="仿宋_GB2312" w:cs="Times New Roman"/>
          <w:color w:val="00000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w:t>
      </w:r>
      <w:r>
        <w:rPr>
          <w:rFonts w:hint="eastAsia" w:ascii="Times New Roman" w:hAnsi="Times New Roman" w:eastAsia="仿宋_GB2312" w:cs="Times New Roman"/>
          <w:color w:val="000000"/>
          <w:sz w:val="32"/>
          <w:szCs w:val="32"/>
          <w:lang w:eastAsia="zh-CN"/>
        </w:rPr>
        <w:t>单位</w:t>
      </w:r>
      <w:r>
        <w:rPr>
          <w:rFonts w:ascii="Times New Roman" w:hAnsi="Times New Roman" w:eastAsia="仿宋_GB2312" w:cs="Times New Roman"/>
          <w:color w:val="00000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w:t>
      </w:r>
      <w:r>
        <w:rPr>
          <w:rFonts w:hint="eastAsia" w:ascii="Times New Roman" w:hAnsi="Times New Roman" w:eastAsia="仿宋_GB2312" w:cs="Times New Roman"/>
          <w:color w:val="000000"/>
          <w:sz w:val="32"/>
          <w:szCs w:val="32"/>
          <w:lang w:eastAsia="zh-CN"/>
        </w:rPr>
        <w:t>单位</w:t>
      </w:r>
      <w:r>
        <w:rPr>
          <w:rFonts w:ascii="Times New Roman" w:hAnsi="Times New Roman" w:eastAsia="仿宋_GB2312" w:cs="Times New Roman"/>
          <w:color w:val="00000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1"/>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6C5D310C-8EB1-4332-A3B0-776359AD574B}"/>
  </w:font>
  <w:font w:name="黑体">
    <w:panose1 w:val="02010609060101010101"/>
    <w:charset w:val="86"/>
    <w:family w:val="auto"/>
    <w:pitch w:val="default"/>
    <w:sig w:usb0="800002BF" w:usb1="38CF7CFA" w:usb2="00000016" w:usb3="00000000" w:csb0="00040001" w:csb1="00000000"/>
    <w:embedRegular r:id="rId2" w:fontKey="{2A8025DE-4C79-4B54-91F4-FA26BA1178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D056FC65-B1FD-4A56-BB6A-D64A5292FB7B}"/>
  </w:font>
  <w:font w:name="仿宋">
    <w:panose1 w:val="02010609060101010101"/>
    <w:charset w:val="86"/>
    <w:family w:val="modern"/>
    <w:pitch w:val="default"/>
    <w:sig w:usb0="800002BF" w:usb1="38CF7CFA" w:usb2="00000016" w:usb3="00000000" w:csb0="00040001" w:csb1="00000000"/>
    <w:embedRegular r:id="rId4" w:fontKey="{8F5A4EEA-3A20-4579-982F-C602F1D1B6F6}"/>
  </w:font>
  <w:font w:name="Calibri Light">
    <w:panose1 w:val="020F03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21025BB9-7D98-47A9-8F49-565BB0D5D1CA}"/>
  </w:font>
  <w:font w:name="思源黑体 CN Heavy">
    <w:altName w:val="黑体"/>
    <w:panose1 w:val="00000000000000000000"/>
    <w:charset w:val="86"/>
    <w:family w:val="swiss"/>
    <w:pitch w:val="default"/>
    <w:sig w:usb0="00000000" w:usb1="00000000" w:usb2="00000016" w:usb3="00000000" w:csb0="00060107" w:csb1="00000000"/>
    <w:embedRegular r:id="rId6" w:fontKey="{91602D21-B60C-4B02-AEC1-8C898163659F}"/>
  </w:font>
  <w:font w:name="楷体_GB2312">
    <w:altName w:val="楷体"/>
    <w:panose1 w:val="00000000000000000000"/>
    <w:charset w:val="86"/>
    <w:family w:val="auto"/>
    <w:pitch w:val="default"/>
    <w:sig w:usb0="00000000" w:usb1="00000000" w:usb2="00000000" w:usb3="00000000" w:csb0="00040000" w:csb1="00000000"/>
    <w:embedRegular r:id="rId7" w:fontKey="{78C5B9B5-7E2C-47EC-B9BA-DC7E15CE578C}"/>
  </w:font>
  <w:font w:name="仿宋_GB2312">
    <w:panose1 w:val="02010609030101010101"/>
    <w:charset w:val="86"/>
    <w:family w:val="auto"/>
    <w:pitch w:val="default"/>
    <w:sig w:usb0="00000000" w:usb1="00000000" w:usb2="00000000" w:usb3="00000000" w:csb0="00000000" w:csb1="00000000"/>
    <w:embedRegular r:id="rId8" w:fontKey="{6CAE8959-E246-42EB-AE17-2D6452C2F2AD}"/>
  </w:font>
  <w:font w:name="ArialUnicodeMS">
    <w:altName w:val="Malgun Gothic"/>
    <w:panose1 w:val="00000000000000000000"/>
    <w:charset w:val="81"/>
    <w:family w:val="auto"/>
    <w:pitch w:val="default"/>
    <w:sig w:usb0="00000000" w:usb1="00000000" w:usb2="00000010" w:usb3="00000000" w:csb0="00080001" w:csb1="00000000"/>
    <w:embedRegular r:id="rId9" w:fontKey="{02FF1A53-9BEB-4475-8A7A-99A58904C3F3}"/>
  </w:font>
  <w:font w:name="方正仿宋_GB2312">
    <w:panose1 w:val="02000000000000000000"/>
    <w:charset w:val="86"/>
    <w:family w:val="auto"/>
    <w:pitch w:val="default"/>
    <w:sig w:usb0="00000000" w:usb1="00000000" w:usb2="00000000" w:usb3="00000000" w:csb0="00000000" w:csb1="00000000"/>
    <w:embedRegular r:id="rId10" w:fontKey="{1F3A42E0-62B3-4C2D-A736-A5708BC89C26}"/>
  </w:font>
  <w:font w:name="DengXian-Regular">
    <w:altName w:val="宋体"/>
    <w:panose1 w:val="00000000000000000000"/>
    <w:charset w:val="86"/>
    <w:family w:val="auto"/>
    <w:pitch w:val="default"/>
    <w:sig w:usb0="00000000" w:usb1="00000000" w:usb2="00000010" w:usb3="00000000" w:csb0="00040001" w:csb1="00000000"/>
    <w:embedRegular r:id="rId11" w:fontKey="{3D6A33AA-84BE-41C8-98B7-8DB9C12B637B}"/>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QsImhkaWQiOiJiMzk2N2EzZjUyYWViODRjZjJhMDZjM2YyYjk4MTExMiIsInVzZXJDb3VudCI6Mjd9"/>
  </w:docVars>
  <w:rsids>
    <w:rsidRoot w:val="00144C07"/>
    <w:rsid w:val="00086151"/>
    <w:rsid w:val="00144C07"/>
    <w:rsid w:val="00205E59"/>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B52583"/>
    <w:rsid w:val="02D33A09"/>
    <w:rsid w:val="02DA3B1B"/>
    <w:rsid w:val="02E57B4D"/>
    <w:rsid w:val="02EA6310"/>
    <w:rsid w:val="037B12D4"/>
    <w:rsid w:val="03804D63"/>
    <w:rsid w:val="03FB73B0"/>
    <w:rsid w:val="04912661"/>
    <w:rsid w:val="04BD008C"/>
    <w:rsid w:val="04C55939"/>
    <w:rsid w:val="04DA28BB"/>
    <w:rsid w:val="04F419D9"/>
    <w:rsid w:val="04F528BE"/>
    <w:rsid w:val="05991C82"/>
    <w:rsid w:val="061416A9"/>
    <w:rsid w:val="06236884"/>
    <w:rsid w:val="067E788A"/>
    <w:rsid w:val="06FC7C2A"/>
    <w:rsid w:val="07533AFE"/>
    <w:rsid w:val="07554BFB"/>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0B5B38"/>
    <w:rsid w:val="0C4E53E8"/>
    <w:rsid w:val="0C9F7900"/>
    <w:rsid w:val="0CB23317"/>
    <w:rsid w:val="0CBE297A"/>
    <w:rsid w:val="0CD15E5A"/>
    <w:rsid w:val="0D101068"/>
    <w:rsid w:val="0D49470D"/>
    <w:rsid w:val="0D7557DF"/>
    <w:rsid w:val="0D8539A0"/>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BE7713"/>
    <w:rsid w:val="10C7485C"/>
    <w:rsid w:val="11015DB0"/>
    <w:rsid w:val="11177F57"/>
    <w:rsid w:val="11217C97"/>
    <w:rsid w:val="11464C20"/>
    <w:rsid w:val="115E4926"/>
    <w:rsid w:val="118A1FFA"/>
    <w:rsid w:val="11E35B5A"/>
    <w:rsid w:val="11E42DD6"/>
    <w:rsid w:val="11F57951"/>
    <w:rsid w:val="12545129"/>
    <w:rsid w:val="125F5A1B"/>
    <w:rsid w:val="126979D6"/>
    <w:rsid w:val="129E45A7"/>
    <w:rsid w:val="13074404"/>
    <w:rsid w:val="136A5C00"/>
    <w:rsid w:val="13C527AC"/>
    <w:rsid w:val="14711797"/>
    <w:rsid w:val="147B6F17"/>
    <w:rsid w:val="14D42061"/>
    <w:rsid w:val="15081C8B"/>
    <w:rsid w:val="15090D5C"/>
    <w:rsid w:val="159C0153"/>
    <w:rsid w:val="15A133F0"/>
    <w:rsid w:val="15CF053D"/>
    <w:rsid w:val="15E0131A"/>
    <w:rsid w:val="16457D9F"/>
    <w:rsid w:val="17223EFF"/>
    <w:rsid w:val="175060ED"/>
    <w:rsid w:val="17B713F6"/>
    <w:rsid w:val="184350A0"/>
    <w:rsid w:val="18541CC2"/>
    <w:rsid w:val="18935485"/>
    <w:rsid w:val="18946C52"/>
    <w:rsid w:val="18A34206"/>
    <w:rsid w:val="18D0651D"/>
    <w:rsid w:val="18DE3B2C"/>
    <w:rsid w:val="1906685D"/>
    <w:rsid w:val="19111683"/>
    <w:rsid w:val="19353916"/>
    <w:rsid w:val="19B07C1B"/>
    <w:rsid w:val="19C10AF1"/>
    <w:rsid w:val="1A077661"/>
    <w:rsid w:val="1A2672DE"/>
    <w:rsid w:val="1AA81D42"/>
    <w:rsid w:val="1AB433D9"/>
    <w:rsid w:val="1B143EF2"/>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54A42"/>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9F5471"/>
    <w:rsid w:val="1EDF707D"/>
    <w:rsid w:val="1F65664C"/>
    <w:rsid w:val="1F79478A"/>
    <w:rsid w:val="1F7C149A"/>
    <w:rsid w:val="1F823F4B"/>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1B40E66"/>
    <w:rsid w:val="21C12692"/>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11CAC"/>
    <w:rsid w:val="271A539C"/>
    <w:rsid w:val="274972D4"/>
    <w:rsid w:val="2787204F"/>
    <w:rsid w:val="27A676DB"/>
    <w:rsid w:val="27AA3D97"/>
    <w:rsid w:val="27E56185"/>
    <w:rsid w:val="289057C5"/>
    <w:rsid w:val="289724F8"/>
    <w:rsid w:val="28A67C7A"/>
    <w:rsid w:val="28D1057E"/>
    <w:rsid w:val="28D458A4"/>
    <w:rsid w:val="28D7372A"/>
    <w:rsid w:val="28EA3248"/>
    <w:rsid w:val="28F879DA"/>
    <w:rsid w:val="294630F8"/>
    <w:rsid w:val="294B7731"/>
    <w:rsid w:val="296A5FF1"/>
    <w:rsid w:val="29D21FF2"/>
    <w:rsid w:val="2A5C3CAC"/>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8964F0"/>
    <w:rsid w:val="2D99655D"/>
    <w:rsid w:val="2E1B4BB8"/>
    <w:rsid w:val="2E256CB6"/>
    <w:rsid w:val="2E3224D3"/>
    <w:rsid w:val="2E5F27E4"/>
    <w:rsid w:val="2E737718"/>
    <w:rsid w:val="2EB22753"/>
    <w:rsid w:val="2EBD223E"/>
    <w:rsid w:val="2EBF0870"/>
    <w:rsid w:val="2EC10AD1"/>
    <w:rsid w:val="2ECB6A5A"/>
    <w:rsid w:val="2EFA24F5"/>
    <w:rsid w:val="2EFC0112"/>
    <w:rsid w:val="2F0D269E"/>
    <w:rsid w:val="2F2B730D"/>
    <w:rsid w:val="2F8169E4"/>
    <w:rsid w:val="2F9F3DC1"/>
    <w:rsid w:val="2FFC7AC2"/>
    <w:rsid w:val="301430AF"/>
    <w:rsid w:val="30630612"/>
    <w:rsid w:val="308E59B0"/>
    <w:rsid w:val="30B10568"/>
    <w:rsid w:val="30E55DD3"/>
    <w:rsid w:val="30E60399"/>
    <w:rsid w:val="31356AA5"/>
    <w:rsid w:val="313E22F0"/>
    <w:rsid w:val="31A37D5F"/>
    <w:rsid w:val="31A73838"/>
    <w:rsid w:val="31B0194C"/>
    <w:rsid w:val="31CE17D1"/>
    <w:rsid w:val="31CE3CA3"/>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1E2555"/>
    <w:rsid w:val="35277FF8"/>
    <w:rsid w:val="3558300F"/>
    <w:rsid w:val="35635359"/>
    <w:rsid w:val="35776F72"/>
    <w:rsid w:val="35795602"/>
    <w:rsid w:val="35997371"/>
    <w:rsid w:val="360134DF"/>
    <w:rsid w:val="360B1E2F"/>
    <w:rsid w:val="360D500F"/>
    <w:rsid w:val="362B239A"/>
    <w:rsid w:val="36330424"/>
    <w:rsid w:val="36990C8E"/>
    <w:rsid w:val="36A57B4F"/>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4594D"/>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CF42EA4"/>
    <w:rsid w:val="3D446B0E"/>
    <w:rsid w:val="3D953A6B"/>
    <w:rsid w:val="3DBB2CD5"/>
    <w:rsid w:val="3DBB5979"/>
    <w:rsid w:val="3DD67143"/>
    <w:rsid w:val="3E1057AF"/>
    <w:rsid w:val="3E485659"/>
    <w:rsid w:val="3E6C0DFA"/>
    <w:rsid w:val="3E6D5C8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880710"/>
    <w:rsid w:val="43A31040"/>
    <w:rsid w:val="43BF774E"/>
    <w:rsid w:val="43CD062F"/>
    <w:rsid w:val="43E214F9"/>
    <w:rsid w:val="43F06264"/>
    <w:rsid w:val="44404C8E"/>
    <w:rsid w:val="447537F1"/>
    <w:rsid w:val="44870D07"/>
    <w:rsid w:val="45513D03"/>
    <w:rsid w:val="45541E1C"/>
    <w:rsid w:val="457568D3"/>
    <w:rsid w:val="458931B6"/>
    <w:rsid w:val="45F657C2"/>
    <w:rsid w:val="46107AB9"/>
    <w:rsid w:val="461F0A8B"/>
    <w:rsid w:val="4648721E"/>
    <w:rsid w:val="46582521"/>
    <w:rsid w:val="46663E71"/>
    <w:rsid w:val="466A37AC"/>
    <w:rsid w:val="46CB071B"/>
    <w:rsid w:val="46DE140B"/>
    <w:rsid w:val="46E77334"/>
    <w:rsid w:val="46F22E29"/>
    <w:rsid w:val="46F7142F"/>
    <w:rsid w:val="47107AE3"/>
    <w:rsid w:val="473C62ED"/>
    <w:rsid w:val="47617242"/>
    <w:rsid w:val="47731896"/>
    <w:rsid w:val="4783216D"/>
    <w:rsid w:val="478C16C9"/>
    <w:rsid w:val="478C6534"/>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B22714"/>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483DB7"/>
    <w:rsid w:val="507A6406"/>
    <w:rsid w:val="50853863"/>
    <w:rsid w:val="508A4590"/>
    <w:rsid w:val="50F1461D"/>
    <w:rsid w:val="50FE5411"/>
    <w:rsid w:val="510B072E"/>
    <w:rsid w:val="511B0BF4"/>
    <w:rsid w:val="51264306"/>
    <w:rsid w:val="516123CE"/>
    <w:rsid w:val="519C4862"/>
    <w:rsid w:val="51B177A9"/>
    <w:rsid w:val="51C4760A"/>
    <w:rsid w:val="51CF0D81"/>
    <w:rsid w:val="51D75DE8"/>
    <w:rsid w:val="51E066EB"/>
    <w:rsid w:val="52585F87"/>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A087AA1"/>
    <w:rsid w:val="5A1B53FC"/>
    <w:rsid w:val="5A1D5B0A"/>
    <w:rsid w:val="5A3B4B4E"/>
    <w:rsid w:val="5A4804CA"/>
    <w:rsid w:val="5A594C85"/>
    <w:rsid w:val="5A632F0C"/>
    <w:rsid w:val="5A7A11AE"/>
    <w:rsid w:val="5AEB1E3C"/>
    <w:rsid w:val="5B2507CA"/>
    <w:rsid w:val="5B2A474A"/>
    <w:rsid w:val="5B830730"/>
    <w:rsid w:val="5B871C49"/>
    <w:rsid w:val="5BB23DE7"/>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0BC4C68"/>
    <w:rsid w:val="61072DA5"/>
    <w:rsid w:val="611C0817"/>
    <w:rsid w:val="61217A28"/>
    <w:rsid w:val="61224A52"/>
    <w:rsid w:val="61520CCB"/>
    <w:rsid w:val="61614E76"/>
    <w:rsid w:val="61851A29"/>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D31B30"/>
    <w:rsid w:val="66EA4BA0"/>
    <w:rsid w:val="6704732B"/>
    <w:rsid w:val="670F6731"/>
    <w:rsid w:val="67127C7D"/>
    <w:rsid w:val="67280F62"/>
    <w:rsid w:val="67585CB0"/>
    <w:rsid w:val="67770F0C"/>
    <w:rsid w:val="67B03535"/>
    <w:rsid w:val="6801775B"/>
    <w:rsid w:val="680D2424"/>
    <w:rsid w:val="68174F69"/>
    <w:rsid w:val="682C436A"/>
    <w:rsid w:val="68382778"/>
    <w:rsid w:val="68391F41"/>
    <w:rsid w:val="68436B8C"/>
    <w:rsid w:val="684C37A9"/>
    <w:rsid w:val="68797358"/>
    <w:rsid w:val="6884624F"/>
    <w:rsid w:val="68A519DF"/>
    <w:rsid w:val="68C4160B"/>
    <w:rsid w:val="68C41C30"/>
    <w:rsid w:val="68C63387"/>
    <w:rsid w:val="68CF3BA4"/>
    <w:rsid w:val="69257FA7"/>
    <w:rsid w:val="693711B0"/>
    <w:rsid w:val="693B5419"/>
    <w:rsid w:val="693F26C7"/>
    <w:rsid w:val="697E12B2"/>
    <w:rsid w:val="69C8706D"/>
    <w:rsid w:val="6A0E3FB4"/>
    <w:rsid w:val="6A292754"/>
    <w:rsid w:val="6A5E3B28"/>
    <w:rsid w:val="6A6B1EBE"/>
    <w:rsid w:val="6A8F43F7"/>
    <w:rsid w:val="6AA20790"/>
    <w:rsid w:val="6ABF79B7"/>
    <w:rsid w:val="6ACD4F01"/>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66688"/>
    <w:rsid w:val="6DFA3EBF"/>
    <w:rsid w:val="6E3E63D2"/>
    <w:rsid w:val="6E5F7BE6"/>
    <w:rsid w:val="6E6918C6"/>
    <w:rsid w:val="6E8E495B"/>
    <w:rsid w:val="6EEB4AC4"/>
    <w:rsid w:val="6F1378B6"/>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379FA"/>
    <w:rsid w:val="71641210"/>
    <w:rsid w:val="716B3711"/>
    <w:rsid w:val="71D95B7C"/>
    <w:rsid w:val="71EA6A50"/>
    <w:rsid w:val="71FE31A8"/>
    <w:rsid w:val="721F6113"/>
    <w:rsid w:val="7233782C"/>
    <w:rsid w:val="7312367E"/>
    <w:rsid w:val="73177841"/>
    <w:rsid w:val="733774FE"/>
    <w:rsid w:val="73617E1B"/>
    <w:rsid w:val="736D7653"/>
    <w:rsid w:val="738035CB"/>
    <w:rsid w:val="7396335C"/>
    <w:rsid w:val="73DE4B15"/>
    <w:rsid w:val="73F46595"/>
    <w:rsid w:val="74283FA2"/>
    <w:rsid w:val="742C135B"/>
    <w:rsid w:val="74463733"/>
    <w:rsid w:val="748A2F40"/>
    <w:rsid w:val="74F85778"/>
    <w:rsid w:val="75272439"/>
    <w:rsid w:val="758F1E9B"/>
    <w:rsid w:val="75CE266B"/>
    <w:rsid w:val="76120141"/>
    <w:rsid w:val="76272BC6"/>
    <w:rsid w:val="76C23B43"/>
    <w:rsid w:val="76FD6F97"/>
    <w:rsid w:val="770218E8"/>
    <w:rsid w:val="77C875A5"/>
    <w:rsid w:val="78A27DF6"/>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6D13CE"/>
    <w:rsid w:val="7EBB5663"/>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4">
    <w:name w:val="heading 2"/>
    <w:basedOn w:val="1"/>
    <w:next w:val="1"/>
    <w:link w:val="16"/>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5">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6">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paragraph" w:styleId="2">
    <w:name w:val="heading 6"/>
    <w:basedOn w:val="1"/>
    <w:next w:val="1"/>
    <w:unhideWhenUsed/>
    <w:qFormat/>
    <w:uiPriority w:val="9"/>
    <w:pPr>
      <w:keepNext/>
      <w:keepLines/>
      <w:tabs>
        <w:tab w:val="left" w:pos="1151"/>
      </w:tabs>
      <w:spacing w:before="240" w:after="64" w:line="320" w:lineRule="auto"/>
      <w:ind w:left="1151" w:hanging="1151"/>
      <w:outlineLvl w:val="5"/>
    </w:pPr>
    <w:rPr>
      <w:rFonts w:ascii="Cambria" w:hAnsi="Cambria"/>
      <w:b/>
      <w:bCs/>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annotation text"/>
    <w:basedOn w:val="1"/>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unhideWhenUsed/>
    <w:qFormat/>
    <w:uiPriority w:val="99"/>
    <w:pPr>
      <w:spacing w:beforeAutospacing="1" w:afterAutospacing="1"/>
      <w:jc w:val="left"/>
    </w:pPr>
    <w:rPr>
      <w:rFonts w:cs="Times New Roman"/>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字符"/>
    <w:link w:val="4"/>
    <w:qFormat/>
    <w:uiPriority w:val="0"/>
    <w:rPr>
      <w:rFonts w:ascii="Calibri Light" w:hAnsi="Calibri Light" w:eastAsia="宋体" w:cs="Times New Roman"/>
      <w:b/>
      <w:bCs/>
      <w:sz w:val="28"/>
      <w:szCs w:val="32"/>
    </w:rPr>
  </w:style>
  <w:style w:type="character" w:customStyle="1" w:styleId="17">
    <w:name w:val="页脚 字符"/>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字符"/>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字符"/>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6.xml"/><Relationship Id="rId21" Type="http://schemas.openxmlformats.org/officeDocument/2006/relationships/chart" Target="charts/chart5.xml"/><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chart" Target="charts/chart3.xml"/><Relationship Id="rId18" Type="http://schemas.openxmlformats.org/officeDocument/2006/relationships/chart" Target="charts/chart2.xml"/><Relationship Id="rId17" Type="http://schemas.openxmlformats.org/officeDocument/2006/relationships/chart" Target="charts/chart1.xml"/><Relationship Id="rId16" Type="http://schemas.openxmlformats.org/officeDocument/2006/relationships/image" Target="media/image5.png"/><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10930.62</c:v>
                </c:pt>
                <c:pt idx="1">
                  <c:v>9452.58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93325853.59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45958658.69</c:v>
                </c:pt>
                <c:pt idx="1">
                  <c:v>48567189.9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9419.42</c:v>
                </c:pt>
                <c:pt idx="1">
                  <c:v>10810.62</c:v>
                </c:pt>
                <c:pt idx="2">
                  <c:v>9419.42</c:v>
                </c:pt>
                <c:pt idx="3">
                  <c:v>10810.62</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9332.59</c:v>
                </c:pt>
                <c:pt idx="1">
                  <c:v>9452.58</c:v>
                </c:pt>
                <c:pt idx="2">
                  <c:v>9332.59</c:v>
                </c:pt>
                <c:pt idx="3">
                  <c:v>9452.58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8916.82</c:v>
                </c:pt>
                <c:pt idx="1">
                  <c:v>8916.82</c:v>
                </c:pt>
                <c:pt idx="2">
                  <c:v>8916.82</c:v>
                </c:pt>
                <c:pt idx="3">
                  <c:v>8916.82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9332.59</c:v>
                </c:pt>
                <c:pt idx="1">
                  <c:v>9452.58</c:v>
                </c:pt>
                <c:pt idx="2">
                  <c:v>9332.59</c:v>
                </c:pt>
                <c:pt idx="3">
                  <c:v>9452.58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7930.87</c:v>
                </c:pt>
                <c:pt idx="1">
                  <c:v>0</c:v>
                </c:pt>
                <c:pt idx="2">
                  <c:v>0</c:v>
                </c:pt>
                <c:pt idx="3">
                  <c:v>0</c:v>
                </c:pt>
                <c:pt idx="4">
                  <c:v>0</c:v>
                </c:pt>
                <c:pt idx="5">
                  <c:v>0</c:v>
                </c:pt>
                <c:pt idx="6">
                  <c:v>968.73</c:v>
                </c:pt>
                <c:pt idx="7">
                  <c:v>256.37</c:v>
                </c:pt>
                <c:pt idx="8">
                  <c:v>0</c:v>
                </c:pt>
                <c:pt idx="9">
                  <c:v>0</c:v>
                </c:pt>
                <c:pt idx="10">
                  <c:v>0</c:v>
                </c:pt>
                <c:pt idx="11">
                  <c:v>0</c:v>
                </c:pt>
                <c:pt idx="12">
                  <c:v>0</c:v>
                </c:pt>
                <c:pt idx="13">
                  <c:v>0</c:v>
                </c:pt>
                <c:pt idx="14">
                  <c:v>0</c:v>
                </c:pt>
                <c:pt idx="15">
                  <c:v>0</c:v>
                </c:pt>
                <c:pt idx="16">
                  <c:v>296.62</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62</Pages>
  <Words>5505</Words>
  <Characters>31383</Characters>
  <Lines>261</Lines>
  <Paragraphs>73</Paragraphs>
  <TotalTime>4</TotalTime>
  <ScaleCrop>false</ScaleCrop>
  <LinksUpToDate>false</LinksUpToDate>
  <CharactersWithSpaces>36815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HUAWEI</cp:lastModifiedBy>
  <cp:lastPrinted>2023-08-04T01:00:00Z</cp:lastPrinted>
  <dcterms:modified xsi:type="dcterms:W3CDTF">2024-09-20T02:49:17Z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