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59264" behindDoc="1" locked="0" layoutInCell="1" allowOverlap="1">
            <wp:simplePos x="0" y="0"/>
            <wp:positionH relativeFrom="margin">
              <wp:posOffset>-2958465</wp:posOffset>
            </wp:positionH>
            <wp:positionV relativeFrom="margin">
              <wp:posOffset>628650</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3"/>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4"/>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5"/>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hint="eastAsia" w:ascii="黑体" w:hAnsi="黑体" w:eastAsia="黑体" w:cs="黑体"/>
                              <w:color w:val="000000" w:themeColor="text1"/>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6"/>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hint="eastAsia" w:ascii="思源黑体 CN Heavy" w:hAnsi="思源黑体 CN Heavy" w:eastAsia="思源黑体 CN Heavy"/>
                                <w:color w:val="A6A6A6" w:themeColor="background1" w:themeShade="A6"/>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hint="eastAsia" w:ascii="思源黑体 CN Heavy" w:hAnsi="思源黑体 CN Heavy" w:eastAsia="思源黑体 CN Heavy"/>
                          <w:color w:val="A6A6A6" w:themeColor="background1" w:themeShade="A6"/>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：301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lang w:eastAsia="zh-CN"/>
        </w:rPr>
        <w:t>部门</w:t>
      </w:r>
      <w:r>
        <w:rPr>
          <w:rFonts w:hint="eastAsia" w:ascii="黑体" w:hAnsi="黑体" w:eastAsia="黑体" w:cs="黑体"/>
          <w:color w:val="000000"/>
          <w:sz w:val="40"/>
          <w:szCs w:val="40"/>
        </w:rPr>
        <w:t>名称</w:t>
      </w:r>
      <w:r>
        <w:rPr>
          <w:rFonts w:hint="eastAsia" w:ascii="楷体_GB2312" w:hAnsi="楷体_GB2312" w:eastAsia="楷体_GB2312" w:cs="楷体_GB2312"/>
          <w:color w:val="000000"/>
          <w:sz w:val="40"/>
          <w:szCs w:val="40"/>
        </w:rPr>
        <w:t>：石家庄市人民政府办公室</w:t>
      </w: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val="en-US" w:eastAsia="zh-CN"/>
        </w:rPr>
        <w:t>八</w:t>
      </w:r>
      <w:r>
        <w:rPr>
          <w:rFonts w:hint="eastAsia" w:ascii="楷体_GB2312" w:hAnsi="楷体_GB2312" w:eastAsia="楷体_GB2312" w:cs="楷体_GB2312"/>
          <w:color w:val="000000"/>
          <w:sz w:val="40"/>
          <w:szCs w:val="40"/>
        </w:rPr>
        <w:t>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jc w:val="both"/>
        <w:rPr>
          <w:rFonts w:hint="eastAsia" w:ascii="黑体" w:hAnsi="黑体" w:eastAsia="黑体" w:cs="黑体"/>
          <w:sz w:val="56"/>
          <w:szCs w:val="72"/>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部门</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部门</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ascii="Arial" w:hAnsi="Arial" w:eastAsia="Arial" w:cs="Arial"/>
          <w:color w:val="000000"/>
          <w:sz w:val="18"/>
          <w:szCs w:val="18"/>
          <w:shd w:val="clear" w:color="auto" w:fill="FFFFFF"/>
        </w:rPr>
      </w:pP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rPr>
          <w:rFonts w:ascii="Arial" w:hAnsi="Arial" w:eastAsia="Arial" w:cs="Arial"/>
          <w:color w:val="000000"/>
          <w:sz w:val="18"/>
          <w:szCs w:val="18"/>
          <w:shd w:val="clear" w:color="auto" w:fill="FFFFFF"/>
        </w:rPr>
      </w:pPr>
    </w:p>
    <w:p>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hint="eastAsia" w:ascii="黑体" w:hAnsi="宋体" w:eastAsia="黑体" w:cs="黑体"/>
          <w:color w:val="000000"/>
          <w:sz w:val="72"/>
          <w:szCs w:val="72"/>
          <w:shd w:val="clear" w:color="auto" w:fill="FFFFFF"/>
        </w:rPr>
      </w:pPr>
    </w:p>
    <w:p>
      <w:pPr>
        <w:pStyle w:val="11"/>
        <w:widowControl/>
        <w:shd w:val="clear" w:color="auto" w:fill="FFFFFF"/>
        <w:spacing w:beforeAutospacing="0" w:afterAutospacing="0"/>
        <w:jc w:val="center"/>
        <w:rPr>
          <w:rFonts w:ascii="Arial" w:hAnsi="Arial" w:eastAsia="Arial" w:cs="Arial"/>
          <w:color w:val="000000"/>
          <w:sz w:val="18"/>
          <w:szCs w:val="18"/>
        </w:rPr>
      </w:pPr>
      <w:r>
        <w:rPr>
          <w:rFonts w:hint="eastAsia" w:ascii="黑体" w:hAnsi="宋体" w:eastAsia="黑体" w:cs="黑体"/>
          <w:color w:val="000000"/>
          <w:sz w:val="72"/>
          <w:szCs w:val="72"/>
          <w:shd w:val="clear" w:color="auto" w:fill="FFFFFF"/>
        </w:rPr>
        <w:t xml:space="preserve">第一部分  </w:t>
      </w:r>
      <w:r>
        <w:rPr>
          <w:rFonts w:hint="eastAsia" w:ascii="黑体" w:hAnsi="宋体" w:eastAsia="黑体" w:cs="黑体"/>
          <w:color w:val="000000"/>
          <w:sz w:val="72"/>
          <w:szCs w:val="72"/>
          <w:shd w:val="clear" w:color="auto" w:fill="FFFFFF"/>
          <w:lang w:eastAsia="zh-CN"/>
        </w:rPr>
        <w:t>部门</w:t>
      </w:r>
      <w:r>
        <w:rPr>
          <w:rFonts w:hint="eastAsia" w:ascii="黑体" w:hAnsi="宋体" w:eastAsia="黑体" w:cs="黑体"/>
          <w:color w:val="000000"/>
          <w:sz w:val="72"/>
          <w:szCs w:val="72"/>
          <w:shd w:val="clear" w:color="auto" w:fill="FFFFFF"/>
        </w:rPr>
        <w:t>概况</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jc w:val="center"/>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rPr>
          <w:rFonts w:ascii="Arial" w:hAnsi="Arial" w:eastAsia="Arial" w:cs="Arial"/>
          <w:color w:val="000000"/>
          <w:sz w:val="18"/>
          <w:szCs w:val="18"/>
        </w:rPr>
      </w:pPr>
      <w:r>
        <w:rPr>
          <w:rFonts w:ascii="Arial" w:hAnsi="Arial" w:eastAsia="Arial" w:cs="Arial"/>
          <w:color w:val="000000"/>
          <w:sz w:val="18"/>
          <w:szCs w:val="18"/>
          <w:shd w:val="clear" w:color="auto" w:fill="FFFFFF"/>
        </w:rPr>
        <w:t> </w:t>
      </w:r>
    </w:p>
    <w:p>
      <w:pPr>
        <w:rPr>
          <w:rFonts w:hint="eastAsia" w:ascii="黑体" w:hAnsi="宋体" w:eastAsia="黑体" w:cs="黑体"/>
          <w:color w:val="000000"/>
          <w:sz w:val="33"/>
          <w:szCs w:val="33"/>
          <w:shd w:val="clear" w:color="auto" w:fill="FFFFFF"/>
        </w:rPr>
      </w:pPr>
      <w:r>
        <w:rPr>
          <w:rFonts w:hint="eastAsia" w:ascii="黑体" w:hAnsi="宋体" w:eastAsia="黑体" w:cs="黑体"/>
          <w:color w:val="000000"/>
          <w:sz w:val="33"/>
          <w:szCs w:val="33"/>
          <w:shd w:val="clear" w:color="auto" w:fill="FFFFFF"/>
        </w:rPr>
        <w:br w:type="page"/>
      </w:r>
    </w:p>
    <w:p>
      <w:pPr>
        <w:pStyle w:val="11"/>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一、</w:t>
      </w:r>
      <w:r>
        <w:rPr>
          <w:rFonts w:hint="eastAsia" w:ascii="黑体" w:hAnsi="宋体" w:eastAsia="黑体" w:cs="黑体"/>
          <w:color w:val="000000"/>
          <w:sz w:val="32"/>
          <w:szCs w:val="32"/>
          <w:shd w:val="clear" w:color="auto" w:fill="FFFFFF"/>
          <w:lang w:eastAsia="zh-CN"/>
        </w:rPr>
        <w:t>部门</w:t>
      </w:r>
      <w:r>
        <w:rPr>
          <w:rFonts w:hint="eastAsia" w:ascii="黑体" w:hAnsi="宋体" w:eastAsia="黑体" w:cs="黑体"/>
          <w:color w:val="000000"/>
          <w:sz w:val="32"/>
          <w:szCs w:val="32"/>
          <w:shd w:val="clear" w:color="auto" w:fill="FFFFFF"/>
        </w:rPr>
        <w:t>职责</w:t>
      </w:r>
    </w:p>
    <w:p>
      <w:pPr>
        <w:spacing w:before="220" w:beforeLines="0" w:afterLines="0" w:line="300" w:lineRule="exact"/>
        <w:ind w:left="600"/>
        <w:jc w:val="left"/>
        <w:rPr>
          <w:rFonts w:hint="eastAsia" w:ascii="仿宋" w:hAnsi="仿宋" w:eastAsia="仿宋" w:cs="仿宋"/>
          <w:sz w:val="24"/>
          <w:szCs w:val="24"/>
        </w:rPr>
      </w:pPr>
      <w:r>
        <w:rPr>
          <w:rFonts w:ascii="Arial" w:hAnsi="Arial" w:eastAsia="Arial" w:cs="Arial"/>
          <w:color w:val="000000"/>
          <w:sz w:val="18"/>
          <w:szCs w:val="18"/>
          <w:shd w:val="clear" w:color="auto" w:fill="FFFFFF"/>
        </w:rPr>
        <w:t> </w:t>
      </w: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一)协助市政府领导组织起草或审核上报省政府、省政府办公</w:t>
      </w:r>
    </w:p>
    <w:p>
      <w:pPr>
        <w:spacing w:before="34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厅和致函省政府各</w:t>
      </w:r>
      <w:r>
        <w:rPr>
          <w:rFonts w:hint="eastAsia" w:ascii="仿宋" w:hAnsi="仿宋" w:eastAsia="仿宋" w:cs="仿宋"/>
          <w:color w:val="000000"/>
          <w:sz w:val="30"/>
          <w:szCs w:val="24"/>
          <w:lang w:eastAsia="zh-CN"/>
        </w:rPr>
        <w:t>部门</w:t>
      </w:r>
      <w:r>
        <w:rPr>
          <w:rFonts w:hint="eastAsia" w:ascii="仿宋" w:hAnsi="仿宋" w:eastAsia="仿宋" w:cs="仿宋"/>
          <w:color w:val="000000"/>
          <w:sz w:val="30"/>
          <w:szCs w:val="24"/>
        </w:rPr>
        <w:t>的公文,以及以市政府、市政府办公室名义发</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布的公文;负责市政府、市政府办公室日常公文办理。</w:t>
      </w:r>
    </w:p>
    <w:p>
      <w:pPr>
        <w:spacing w:before="300" w:beforeLines="0" w:afterLines="0" w:line="32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二</w:t>
      </w:r>
      <w:r>
        <w:rPr>
          <w:rFonts w:hint="eastAsia" w:ascii="仿宋" w:hAnsi="仿宋" w:eastAsia="仿宋" w:cs="仿宋"/>
          <w:color w:val="000000"/>
          <w:sz w:val="30"/>
          <w:szCs w:val="24"/>
          <w:lang w:val="en-US" w:eastAsia="zh-CN"/>
        </w:rPr>
        <w:t>)</w:t>
      </w:r>
      <w:r>
        <w:rPr>
          <w:rFonts w:hint="eastAsia" w:ascii="仿宋" w:hAnsi="仿宋" w:eastAsia="仿宋" w:cs="仿宋"/>
          <w:color w:val="000000"/>
          <w:sz w:val="30"/>
          <w:szCs w:val="24"/>
        </w:rPr>
        <w:t>负责市政府领导活动的组织和协调工作</w:t>
      </w:r>
      <w:r>
        <w:rPr>
          <w:rFonts w:hint="eastAsia" w:ascii="仿宋" w:hAnsi="仿宋" w:eastAsia="仿宋" w:cs="仿宋"/>
          <w:color w:val="000000"/>
          <w:sz w:val="16"/>
          <w:szCs w:val="24"/>
        </w:rPr>
        <w:t xml:space="preserve"> </w:t>
      </w:r>
      <w:r>
        <w:rPr>
          <w:rFonts w:hint="eastAsia" w:ascii="仿宋" w:hAnsi="仿宋" w:eastAsia="仿宋" w:cs="仿宋"/>
          <w:color w:val="000000"/>
          <w:sz w:val="30"/>
          <w:szCs w:val="24"/>
        </w:rPr>
        <w:t>负责市政府会议</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的准备和服务工作,协助市政府领导组织落实会议决定事项。</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三)研究市政府各</w:t>
      </w:r>
      <w:r>
        <w:rPr>
          <w:rFonts w:hint="eastAsia" w:ascii="仿宋" w:hAnsi="仿宋" w:eastAsia="仿宋" w:cs="仿宋"/>
          <w:color w:val="000000"/>
          <w:sz w:val="30"/>
          <w:szCs w:val="24"/>
          <w:lang w:eastAsia="zh-CN"/>
        </w:rPr>
        <w:t>部门</w:t>
      </w:r>
      <w:r>
        <w:rPr>
          <w:rFonts w:hint="eastAsia" w:ascii="仿宋" w:hAnsi="仿宋" w:eastAsia="仿宋" w:cs="仿宋"/>
          <w:color w:val="000000"/>
          <w:sz w:val="30"/>
          <w:szCs w:val="24"/>
        </w:rPr>
        <w:t>和各县(市、区)</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政府请示市政府的事项,</w:t>
      </w:r>
    </w:p>
    <w:p>
      <w:pPr>
        <w:spacing w:before="34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提出审核意见,报市政府领导审批。</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四)根据市政府领导的批示,对市政府各</w:t>
      </w:r>
      <w:r>
        <w:rPr>
          <w:rFonts w:hint="eastAsia" w:ascii="仿宋" w:hAnsi="仿宋" w:eastAsia="仿宋" w:cs="仿宋"/>
          <w:color w:val="000000"/>
          <w:sz w:val="30"/>
          <w:szCs w:val="24"/>
          <w:lang w:eastAsia="zh-CN"/>
        </w:rPr>
        <w:t>部门</w:t>
      </w:r>
      <w:r>
        <w:rPr>
          <w:rFonts w:hint="eastAsia" w:ascii="仿宋" w:hAnsi="仿宋" w:eastAsia="仿宋" w:cs="仿宋"/>
          <w:color w:val="000000"/>
          <w:sz w:val="30"/>
          <w:szCs w:val="24"/>
        </w:rPr>
        <w:t>间出现的争议问</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题提出处理意见，报市政府领导决定。</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五)组织起草市政府领导重要讲话及其他重要文稿。</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六)组织承办人大代表建议和政协委员提案工作。</w:t>
      </w:r>
    </w:p>
    <w:p>
      <w:pPr>
        <w:spacing w:before="34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七)负责承办市政府提请市人大常委会任免议案和提请市政府</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任命工作人员的行政任免有关手续;负责承办市政府任命工作人员</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的宪法宣誓工作。</w:t>
      </w:r>
    </w:p>
    <w:p>
      <w:pPr>
        <w:spacing w:before="32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八)负责市政府值班工作,及时报告重要情况,传达和督促落实</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市政府领导工作要求。</w:t>
      </w:r>
    </w:p>
    <w:p>
      <w:pPr>
        <w:spacing w:before="340" w:beforeLines="0" w:afterLines="0" w:line="30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九)根据市政府工作部署和市政府领导要求,组织专题调研,及</w:t>
      </w:r>
    </w:p>
    <w:p>
      <w:pPr>
        <w:spacing w:before="320" w:beforeLines="0" w:afterLines="0" w:line="300" w:lineRule="exact"/>
        <w:jc w:val="left"/>
        <w:rPr>
          <w:rFonts w:hint="eastAsia" w:ascii="仿宋" w:hAnsi="仿宋" w:eastAsia="仿宋" w:cs="仿宋"/>
          <w:sz w:val="24"/>
          <w:szCs w:val="24"/>
        </w:rPr>
      </w:pPr>
      <w:r>
        <w:rPr>
          <w:rFonts w:hint="eastAsia" w:ascii="仿宋" w:hAnsi="仿宋" w:eastAsia="仿宋" w:cs="仿宋"/>
          <w:color w:val="000000"/>
          <w:sz w:val="30"/>
          <w:szCs w:val="24"/>
        </w:rPr>
        <w:t>时反映情况,提出建议。</w:t>
      </w:r>
    </w:p>
    <w:p>
      <w:pPr>
        <w:spacing w:before="300" w:beforeLines="0" w:afterLines="0" w:line="320" w:lineRule="exact"/>
        <w:ind w:left="60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w:t>
      </w:r>
      <w:r>
        <w:rPr>
          <w:rFonts w:hint="eastAsia" w:ascii="仿宋" w:hAnsi="仿宋" w:eastAsia="仿宋" w:cs="仿宋"/>
          <w:color w:val="000000"/>
          <w:sz w:val="12"/>
          <w:szCs w:val="24"/>
        </w:rPr>
        <w:t xml:space="preserve"> </w:t>
      </w:r>
      <w:r>
        <w:rPr>
          <w:rFonts w:hint="eastAsia" w:ascii="仿宋" w:hAnsi="仿宋" w:eastAsia="仿宋" w:cs="仿宋"/>
          <w:color w:val="000000"/>
          <w:sz w:val="30"/>
          <w:szCs w:val="24"/>
        </w:rPr>
        <w:t>负责推进、指导、协调、监督、考核评估全市政务公开和</w:t>
      </w:r>
    </w:p>
    <w:p>
      <w:pPr>
        <w:spacing w:before="300" w:beforeLines="0" w:afterLines="0" w:line="320" w:lineRule="exact"/>
        <w:ind w:left="600"/>
        <w:jc w:val="left"/>
        <w:rPr>
          <w:rFonts w:hint="eastAsia" w:ascii="仿宋" w:hAnsi="仿宋" w:eastAsia="仿宋" w:cs="仿宋"/>
          <w:sz w:val="24"/>
          <w:szCs w:val="24"/>
        </w:rPr>
        <w:sectPr>
          <w:pgSz w:w="11900" w:h="16820"/>
          <w:pgMar w:top="1440" w:right="1200" w:bottom="1440" w:left="1500" w:header="720" w:footer="720" w:gutter="0"/>
          <w:lnNumType w:countBy="0" w:distance="360"/>
          <w:cols w:space="720" w:num="1"/>
        </w:sectPr>
      </w:pPr>
    </w:p>
    <w:p>
      <w:pPr>
        <w:spacing w:beforeLines="0" w:afterLines="0" w:line="540" w:lineRule="exact"/>
        <w:jc w:val="left"/>
        <w:rPr>
          <w:rFonts w:hint="eastAsia" w:ascii="仿宋" w:hAnsi="仿宋" w:eastAsia="仿宋" w:cs="仿宋"/>
          <w:sz w:val="21"/>
          <w:szCs w:val="24"/>
        </w:rPr>
      </w:pPr>
    </w:p>
    <w:p>
      <w:pPr>
        <w:spacing w:before="200" w:beforeLines="0" w:afterLines="0" w:line="300" w:lineRule="exact"/>
        <w:ind w:left="260"/>
        <w:jc w:val="left"/>
        <w:rPr>
          <w:rFonts w:hint="eastAsia" w:ascii="仿宋" w:hAnsi="仿宋" w:eastAsia="仿宋" w:cs="仿宋"/>
          <w:sz w:val="24"/>
          <w:szCs w:val="24"/>
        </w:rPr>
      </w:pPr>
      <w:r>
        <w:rPr>
          <w:rFonts w:hint="eastAsia" w:ascii="仿宋" w:hAnsi="仿宋" w:eastAsia="仿宋" w:cs="仿宋"/>
          <w:color w:val="000000"/>
          <w:sz w:val="30"/>
          <w:szCs w:val="24"/>
        </w:rPr>
        <w:t>政府信息公开工作。</w:t>
      </w:r>
    </w:p>
    <w:p>
      <w:pPr>
        <w:spacing w:before="320" w:beforeLines="0" w:afterLines="0" w:line="300" w:lineRule="exact"/>
        <w:ind w:left="86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十一)负责政务信息服务工作。</w:t>
      </w:r>
    </w:p>
    <w:p>
      <w:pPr>
        <w:spacing w:before="300" w:beforeLines="0" w:afterLines="0" w:line="320" w:lineRule="exact"/>
        <w:ind w:left="860"/>
        <w:jc w:val="left"/>
        <w:rPr>
          <w:rFonts w:hint="eastAsia" w:ascii="仿宋" w:hAnsi="仿宋" w:eastAsia="仿宋" w:cs="仿宋"/>
          <w:sz w:val="24"/>
          <w:szCs w:val="24"/>
        </w:rPr>
      </w:pP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十二</w:t>
      </w:r>
      <w:r>
        <w:rPr>
          <w:rFonts w:hint="eastAsia" w:ascii="仿宋" w:hAnsi="仿宋" w:eastAsia="仿宋" w:cs="仿宋"/>
          <w:color w:val="000000"/>
          <w:sz w:val="12"/>
          <w:szCs w:val="24"/>
        </w:rPr>
        <w:t xml:space="preserve"> </w:t>
      </w:r>
      <w:r>
        <w:rPr>
          <w:rFonts w:hint="eastAsia" w:ascii="仿宋" w:hAnsi="仿宋" w:eastAsia="仿宋" w:cs="仿宋"/>
          <w:color w:val="000000"/>
          <w:sz w:val="30"/>
          <w:szCs w:val="24"/>
        </w:rPr>
        <w:t>)负责协调联络有关市政府新闻宣传和舆情回应等工作。</w:t>
      </w:r>
    </w:p>
    <w:p>
      <w:pPr>
        <w:keepNext/>
        <w:keepLines/>
        <w:spacing w:line="580" w:lineRule="exact"/>
        <w:ind w:firstLine="600" w:firstLineChars="200"/>
        <w:jc w:val="left"/>
        <w:outlineLvl w:val="0"/>
        <w:rPr>
          <w:rFonts w:ascii="Arial" w:hAnsi="Arial" w:eastAsia="Arial" w:cs="Arial"/>
          <w:sz w:val="32"/>
          <w:szCs w:val="32"/>
          <w:highlight w:val="yellow"/>
        </w:rPr>
      </w:pPr>
      <w:r>
        <w:rPr>
          <w:rFonts w:hint="eastAsia" w:ascii="仿宋" w:hAnsi="仿宋" w:eastAsia="仿宋" w:cs="仿宋"/>
          <w:color w:val="000000"/>
          <w:sz w:val="30"/>
          <w:szCs w:val="24"/>
          <w:lang w:val="en-US" w:eastAsia="zh-CN"/>
        </w:rPr>
        <w:t xml:space="preserve"> </w:t>
      </w:r>
      <w:r>
        <w:rPr>
          <w:rFonts w:hint="eastAsia" w:ascii="仿宋" w:hAnsi="仿宋" w:eastAsia="仿宋" w:cs="仿宋"/>
          <w:color w:val="000000"/>
          <w:sz w:val="30"/>
          <w:szCs w:val="24"/>
        </w:rPr>
        <w:t>(</w:t>
      </w:r>
      <w:r>
        <w:rPr>
          <w:rFonts w:hint="eastAsia" w:ascii="仿宋" w:hAnsi="仿宋" w:eastAsia="仿宋" w:cs="仿宋"/>
          <w:color w:val="000000"/>
          <w:sz w:val="4"/>
          <w:szCs w:val="24"/>
        </w:rPr>
        <w:t xml:space="preserve"> </w:t>
      </w:r>
      <w:r>
        <w:rPr>
          <w:rFonts w:hint="eastAsia" w:ascii="仿宋" w:hAnsi="仿宋" w:eastAsia="仿宋" w:cs="仿宋"/>
          <w:color w:val="000000"/>
          <w:sz w:val="30"/>
          <w:szCs w:val="24"/>
        </w:rPr>
        <w:t>十三)完成市政府交办的其他任务。</w:t>
      </w:r>
    </w:p>
    <w:p>
      <w:pPr>
        <w:pStyle w:val="11"/>
        <w:widowControl/>
        <w:shd w:val="clear" w:color="auto" w:fill="FFFFFF"/>
        <w:spacing w:beforeAutospacing="0" w:afterAutospacing="0"/>
        <w:outlineLvl w:val="1"/>
        <w:rPr>
          <w:rFonts w:ascii="Arial" w:hAnsi="Arial" w:eastAsia="Arial" w:cs="Arial"/>
          <w:color w:val="000000"/>
          <w:sz w:val="32"/>
          <w:szCs w:val="32"/>
        </w:rPr>
      </w:pPr>
      <w:r>
        <w:rPr>
          <w:rFonts w:hint="eastAsia" w:ascii="黑体" w:hAnsi="宋体" w:eastAsia="黑体" w:cs="黑体"/>
          <w:color w:val="000000"/>
          <w:sz w:val="32"/>
          <w:szCs w:val="32"/>
          <w:shd w:val="clear" w:color="auto" w:fill="FFFFFF"/>
        </w:rPr>
        <w:t>二、机构设置</w:t>
      </w:r>
    </w:p>
    <w:p>
      <w:pPr>
        <w:pStyle w:val="11"/>
        <w:widowControl/>
        <w:shd w:val="clear" w:color="auto" w:fill="FFFFFF"/>
        <w:spacing w:beforeAutospacing="0" w:afterAutospacing="0"/>
        <w:ind w:firstLine="640" w:firstLineChars="200"/>
        <w:rPr>
          <w:rFonts w:hint="eastAsia" w:ascii="仿宋_GB2312" w:hAnsi="仿宋_GB2312" w:eastAsia="仿宋_GB2312" w:cs="仿宋_GB2312"/>
          <w:sz w:val="32"/>
          <w:szCs w:val="32"/>
          <w:shd w:val="clear" w:color="auto" w:fill="FFFFFF"/>
        </w:rPr>
      </w:pPr>
      <w:r>
        <w:rPr>
          <w:rFonts w:ascii="仿宋_GB2312" w:hAnsi="仿宋_GB2312" w:eastAsia="仿宋_GB2312" w:cs="仿宋_GB2312"/>
          <w:sz w:val="32"/>
          <w:szCs w:val="32"/>
          <w:shd w:val="clear" w:color="auto" w:fill="FFFFFF"/>
        </w:rPr>
        <w:t>从决算编报</w:t>
      </w:r>
      <w:r>
        <w:rPr>
          <w:rFonts w:hint="eastAsia" w:ascii="仿宋_GB2312" w:hAnsi="仿宋_GB2312" w:eastAsia="仿宋_GB2312" w:cs="仿宋_GB2312"/>
          <w:sz w:val="32"/>
          <w:szCs w:val="32"/>
          <w:shd w:val="clear" w:color="auto" w:fill="FFFFFF"/>
          <w:lang w:eastAsia="zh-CN"/>
        </w:rPr>
        <w:t>部门</w:t>
      </w:r>
      <w:r>
        <w:rPr>
          <w:rFonts w:ascii="仿宋_GB2312" w:hAnsi="仿宋_GB2312" w:eastAsia="仿宋_GB2312" w:cs="仿宋_GB2312"/>
          <w:sz w:val="32"/>
          <w:szCs w:val="32"/>
          <w:shd w:val="clear" w:color="auto" w:fill="FFFFFF"/>
        </w:rPr>
        <w:t>构成看，纳入</w:t>
      </w:r>
      <w:r>
        <w:rPr>
          <w:rFonts w:hint="eastAsia" w:ascii="仿宋_GB2312" w:hAnsi="仿宋_GB2312" w:eastAsia="仿宋_GB2312" w:cs="仿宋_GB2312"/>
          <w:sz w:val="32"/>
          <w:szCs w:val="32"/>
          <w:shd w:val="clear" w:color="auto" w:fill="FFFFFF"/>
        </w:rPr>
        <w:t>2023</w:t>
      </w:r>
      <w:r>
        <w:rPr>
          <w:rFonts w:ascii="仿宋_GB2312" w:hAnsi="仿宋_GB2312" w:eastAsia="仿宋_GB2312" w:cs="仿宋_GB2312"/>
          <w:sz w:val="32"/>
          <w:szCs w:val="32"/>
          <w:shd w:val="clear" w:color="auto" w:fill="FFFFFF"/>
        </w:rPr>
        <w:t>年度</w:t>
      </w:r>
      <w:r>
        <w:rPr>
          <w:rFonts w:hint="eastAsia" w:ascii="仿宋_GB2312" w:hAnsi="仿宋_GB2312" w:eastAsia="仿宋_GB2312" w:cs="仿宋_GB2312"/>
          <w:sz w:val="32"/>
          <w:szCs w:val="32"/>
          <w:shd w:val="clear" w:color="auto" w:fill="FFFFFF"/>
        </w:rPr>
        <w:t>本</w:t>
      </w:r>
      <w:r>
        <w:rPr>
          <w:rFonts w:hint="eastAsia" w:ascii="仿宋_GB2312" w:hAnsi="仿宋_GB2312" w:eastAsia="仿宋_GB2312" w:cs="仿宋_GB2312"/>
          <w:sz w:val="32"/>
          <w:szCs w:val="32"/>
          <w:shd w:val="clear" w:color="auto" w:fill="FFFFFF"/>
          <w:lang w:eastAsia="zh-CN"/>
        </w:rPr>
        <w:t>部门</w:t>
      </w:r>
      <w:r>
        <w:rPr>
          <w:rFonts w:ascii="仿宋_GB2312" w:hAnsi="仿宋_GB2312" w:eastAsia="仿宋_GB2312" w:cs="仿宋_GB2312"/>
          <w:sz w:val="32"/>
          <w:szCs w:val="32"/>
          <w:shd w:val="clear" w:color="auto" w:fill="FFFFFF"/>
        </w:rPr>
        <w:t>决算汇编范围的独立核算</w:t>
      </w:r>
      <w:r>
        <w:rPr>
          <w:rFonts w:hint="eastAsia" w:ascii="仿宋_GB2312" w:hAnsi="仿宋_GB2312" w:eastAsia="仿宋_GB2312" w:cs="仿宋_GB2312"/>
          <w:sz w:val="32"/>
          <w:szCs w:val="32"/>
          <w:shd w:val="clear" w:color="auto" w:fill="FFFFFF"/>
          <w:lang w:eastAsia="zh-CN"/>
        </w:rPr>
        <w:t>部门</w:t>
      </w:r>
      <w:r>
        <w:rPr>
          <w:rFonts w:ascii="仿宋_GB2312" w:hAnsi="仿宋_GB2312" w:eastAsia="仿宋_GB2312" w:cs="仿宋_GB2312"/>
          <w:sz w:val="32"/>
          <w:szCs w:val="32"/>
          <w:shd w:val="clear" w:color="auto" w:fill="FFFFFF"/>
        </w:rPr>
        <w:t>（以下简称“</w:t>
      </w:r>
      <w:r>
        <w:rPr>
          <w:rFonts w:hint="eastAsia" w:ascii="仿宋_GB2312" w:hAnsi="仿宋_GB2312" w:eastAsia="仿宋_GB2312" w:cs="仿宋_GB2312"/>
          <w:sz w:val="32"/>
          <w:szCs w:val="32"/>
          <w:shd w:val="clear" w:color="auto" w:fill="FFFFFF"/>
          <w:lang w:eastAsia="zh-CN"/>
        </w:rPr>
        <w:t>部门</w:t>
      </w:r>
      <w:r>
        <w:rPr>
          <w:rFonts w:ascii="仿宋_GB2312" w:hAnsi="仿宋_GB2312" w:eastAsia="仿宋_GB2312" w:cs="仿宋_GB2312"/>
          <w:sz w:val="32"/>
          <w:szCs w:val="32"/>
          <w:shd w:val="clear" w:color="auto" w:fill="FFFFFF"/>
        </w:rPr>
        <w:t>”）共</w:t>
      </w:r>
      <w:r>
        <w:rPr>
          <w:rFonts w:hint="eastAsia" w:ascii="仿宋_GB2312" w:hAnsi="仿宋_GB2312" w:eastAsia="仿宋_GB2312" w:cs="仿宋_GB2312"/>
          <w:sz w:val="32"/>
          <w:szCs w:val="32"/>
          <w:shd w:val="clear" w:color="auto" w:fill="FFFFFF"/>
          <w:lang w:val="en-US" w:eastAsia="zh-CN"/>
        </w:rPr>
        <w:t>1</w:t>
      </w:r>
      <w:r>
        <w:rPr>
          <w:rFonts w:ascii="仿宋_GB2312" w:hAnsi="仿宋_GB2312" w:eastAsia="仿宋_GB2312" w:cs="仿宋_GB2312"/>
          <w:sz w:val="32"/>
          <w:szCs w:val="32"/>
          <w:shd w:val="clear" w:color="auto" w:fill="FFFFFF"/>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lang w:eastAsia="zh-CN"/>
              </w:rPr>
              <w:t>部门</w:t>
            </w:r>
            <w:r>
              <w:rPr>
                <w:rFonts w:hint="eastAsia" w:ascii="仿宋_GB2312" w:hAnsi="Calibri" w:eastAsia="仿宋_GB2312" w:cs="ArialUnicodeMS"/>
                <w:b/>
                <w:bCs/>
                <w:kern w:val="0"/>
                <w:sz w:val="28"/>
                <w:szCs w:val="28"/>
              </w:rPr>
              <w:t>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石家庄市人民政府办公室</w:t>
            </w:r>
            <w:r>
              <w:rPr>
                <w:rFonts w:hint="eastAsia" w:ascii="仿宋_GB2312" w:hAnsi="Calibri" w:eastAsia="仿宋_GB2312" w:cs="ArialUnicodeMS"/>
                <w:kern w:val="0"/>
                <w:sz w:val="28"/>
                <w:szCs w:val="28"/>
              </w:rPr>
              <w:t>(本级)</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rPr>
              <w:t>行政</w:t>
            </w:r>
            <w:r>
              <w:rPr>
                <w:rFonts w:hint="eastAsia" w:ascii="仿宋_GB2312" w:hAnsi="Calibri" w:eastAsia="仿宋_GB2312" w:cs="ArialUnicodeMS"/>
                <w:kern w:val="0"/>
                <w:sz w:val="28"/>
                <w:szCs w:val="28"/>
                <w:lang w:eastAsia="zh-CN"/>
              </w:rPr>
              <w:t>部门</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基本性质分为行政</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、参公事业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、财政补助事业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、经费自理事业</w:t>
            </w:r>
            <w:r>
              <w:rPr>
                <w:rFonts w:hint="eastAsia" w:ascii="仿宋_GB2312" w:hAnsi="Calibri" w:eastAsia="仿宋_GB2312" w:cs="ArialUnicodeMS"/>
                <w:kern w:val="0"/>
                <w:sz w:val="28"/>
                <w:szCs w:val="28"/>
                <w:lang w:eastAsia="zh-CN"/>
              </w:rPr>
              <w:t>部门</w:t>
            </w:r>
            <w:r>
              <w:rPr>
                <w:rFonts w:hint="eastAsia" w:ascii="仿宋_GB2312" w:hAnsi="Calibri" w:eastAsia="仿宋_GB2312" w:cs="ArialUnicodeMS"/>
                <w:kern w:val="0"/>
                <w:sz w:val="28"/>
                <w:szCs w:val="28"/>
              </w:rPr>
              <w:t>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1"/>
        <w:widowControl/>
        <w:shd w:val="clear" w:color="auto" w:fill="FFFFFF"/>
        <w:spacing w:beforeAutospacing="0" w:afterAutospacing="0"/>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pStyle w:val="11"/>
        <w:widowControl/>
        <w:shd w:val="clear" w:color="auto" w:fill="FFFFFF"/>
        <w:spacing w:beforeAutospacing="0" w:afterAutospacing="0"/>
        <w:ind w:firstLine="640" w:firstLineChars="200"/>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none"/>
        </w:rPr>
        <w:t>我</w:t>
      </w:r>
      <w:r>
        <w:rPr>
          <w:rFonts w:hint="eastAsia" w:ascii="Times New Roman" w:hAnsi="Times New Roman" w:eastAsia="黑体" w:cs="Times New Roman"/>
          <w:sz w:val="32"/>
          <w:szCs w:val="32"/>
          <w:highlight w:val="none"/>
          <w:lang w:eastAsia="zh-CN"/>
        </w:rPr>
        <w:t>部门</w:t>
      </w:r>
      <w:r>
        <w:rPr>
          <w:rFonts w:hint="eastAsia" w:ascii="Times New Roman" w:hAnsi="Times New Roman" w:eastAsia="黑体" w:cs="Times New Roman"/>
          <w:sz w:val="32"/>
          <w:szCs w:val="32"/>
          <w:highlight w:val="none"/>
        </w:rPr>
        <w:t>无二级预算</w:t>
      </w:r>
      <w:r>
        <w:rPr>
          <w:rFonts w:hint="eastAsia" w:ascii="Times New Roman" w:hAnsi="Times New Roman" w:eastAsia="黑体" w:cs="Times New Roman"/>
          <w:sz w:val="32"/>
          <w:szCs w:val="32"/>
          <w:highlight w:val="none"/>
          <w:lang w:val="en-US" w:eastAsia="zh-CN"/>
        </w:rPr>
        <w:t>单位</w:t>
      </w:r>
      <w:bookmarkStart w:id="0" w:name="_GoBack"/>
      <w:bookmarkEnd w:id="0"/>
      <w:r>
        <w:rPr>
          <w:rFonts w:hint="eastAsia" w:ascii="Times New Roman" w:hAnsi="Times New Roman" w:eastAsia="黑体" w:cs="Times New Roman"/>
          <w:sz w:val="32"/>
          <w:szCs w:val="32"/>
          <w:highlight w:val="none"/>
        </w:rPr>
        <w:t>，因此，</w:t>
      </w:r>
      <w:r>
        <w:rPr>
          <w:rFonts w:hint="eastAsia" w:ascii="Times New Roman" w:hAnsi="Times New Roman" w:eastAsia="黑体" w:cs="Times New Roman"/>
          <w:sz w:val="32"/>
          <w:szCs w:val="32"/>
          <w:highlight w:val="none"/>
          <w:lang w:eastAsia="zh-CN"/>
        </w:rPr>
        <w:t>石家庄市人民政府办公室</w:t>
      </w:r>
      <w:r>
        <w:rPr>
          <w:rFonts w:hint="eastAsia" w:ascii="Times New Roman" w:hAnsi="Times New Roman" w:eastAsia="黑体" w:cs="Times New Roman"/>
          <w:sz w:val="32"/>
          <w:szCs w:val="32"/>
          <w:highlight w:val="none"/>
        </w:rPr>
        <w:t>2023年度</w:t>
      </w:r>
      <w:r>
        <w:rPr>
          <w:rFonts w:hint="eastAsia" w:ascii="Times New Roman" w:hAnsi="Times New Roman" w:eastAsia="黑体" w:cs="Times New Roman"/>
          <w:sz w:val="32"/>
          <w:szCs w:val="32"/>
          <w:highlight w:val="none"/>
          <w:lang w:eastAsia="zh-CN"/>
        </w:rPr>
        <w:t>部门</w:t>
      </w:r>
      <w:r>
        <w:rPr>
          <w:rFonts w:hint="eastAsia" w:ascii="Times New Roman" w:hAnsi="Times New Roman" w:eastAsia="黑体" w:cs="Times New Roman"/>
          <w:sz w:val="32"/>
          <w:szCs w:val="32"/>
          <w:highlight w:val="none"/>
        </w:rPr>
        <w:t>决算即</w:t>
      </w:r>
      <w:r>
        <w:rPr>
          <w:rFonts w:hint="eastAsia" w:ascii="Times New Roman" w:hAnsi="Times New Roman" w:eastAsia="黑体" w:cs="Times New Roman"/>
          <w:sz w:val="32"/>
          <w:szCs w:val="32"/>
          <w:highlight w:val="none"/>
          <w:lang w:eastAsia="zh-CN"/>
        </w:rPr>
        <w:t>石家庄市人民政府办公室（</w:t>
      </w:r>
      <w:r>
        <w:rPr>
          <w:rFonts w:hint="eastAsia" w:ascii="Times New Roman" w:hAnsi="Times New Roman" w:eastAsia="黑体" w:cs="Times New Roman"/>
          <w:sz w:val="32"/>
          <w:szCs w:val="32"/>
          <w:highlight w:val="none"/>
        </w:rPr>
        <w:t>本级</w:t>
      </w:r>
      <w:r>
        <w:rPr>
          <w:rFonts w:hint="eastAsia" w:ascii="Times New Roman" w:hAnsi="Times New Roman" w:eastAsia="黑体" w:cs="Times New Roman"/>
          <w:sz w:val="32"/>
          <w:szCs w:val="32"/>
          <w:highlight w:val="none"/>
          <w:lang w:eastAsia="zh-CN"/>
        </w:rPr>
        <w:t>）</w:t>
      </w:r>
      <w:r>
        <w:rPr>
          <w:rFonts w:hint="eastAsia" w:ascii="Times New Roman" w:hAnsi="Times New Roman" w:eastAsia="黑体" w:cs="Times New Roman"/>
          <w:sz w:val="32"/>
          <w:szCs w:val="32"/>
          <w:highlight w:val="none"/>
        </w:rPr>
        <w:t>2023年度决算。</w:t>
      </w:r>
    </w:p>
    <w:p>
      <w:pPr>
        <w:rPr>
          <w:rFonts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ascii="Times New Roman" w:hAnsi="Times New Roman" w:eastAsia="黑体" w:cs="Times New Roman"/>
          <w:sz w:val="32"/>
          <w:szCs w:val="32"/>
          <w:highlight w:val="yellow"/>
        </w:rPr>
      </w:pPr>
    </w:p>
    <w:p>
      <w:pPr>
        <w:pStyle w:val="11"/>
        <w:widowControl/>
        <w:shd w:val="clear" w:color="auto" w:fill="FFFFFF"/>
        <w:spacing w:beforeAutospacing="0" w:afterAutospacing="0"/>
        <w:rPr>
          <w:rFonts w:ascii="Arial" w:hAnsi="Arial" w:eastAsia="Arial" w:cs="Arial"/>
          <w:color w:val="000000"/>
          <w:sz w:val="18"/>
          <w:szCs w:val="18"/>
          <w:shd w:val="clear" w:color="auto" w:fill="FFFFFF"/>
          <w:lang w:bidi="ar"/>
        </w:rPr>
      </w:pPr>
    </w:p>
    <w:p>
      <w:pPr>
        <w:widowControl/>
        <w:shd w:val="clear" w:color="auto" w:fill="FFFFFF"/>
        <w:jc w:val="left"/>
        <w:rPr>
          <w:rFonts w:ascii="Arial" w:hAnsi="Arial" w:eastAsia="Arial" w:cs="Arial"/>
        </w:rPr>
      </w:pPr>
      <w:r>
        <w:rPr>
          <w:rFonts w:ascii="Arial" w:hAnsi="Arial" w:eastAsia="Arial" w:cs="Arial"/>
          <w:color w:val="000000"/>
          <w:sz w:val="18"/>
          <w:szCs w:val="18"/>
          <w:shd w:val="clear" w:color="auto" w:fill="FFFFFF"/>
          <w:lang w:bidi="ar"/>
        </w:rPr>
        <w:t> </w:t>
      </w: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第二部分</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eastAsia="zh-CN"/>
        </w:rPr>
        <w:t>部门</w:t>
      </w:r>
      <w:r>
        <w:rPr>
          <w:rFonts w:hint="eastAsia" w:ascii="黑体" w:hAnsi="宋体" w:eastAsia="黑体" w:cs="黑体"/>
          <w:color w:val="000000"/>
          <w:sz w:val="72"/>
          <w:szCs w:val="72"/>
          <w:shd w:val="clear" w:color="auto" w:fill="FFFFFF"/>
        </w:rPr>
        <w:t>决算报表</w:t>
      </w:r>
    </w:p>
    <w:p>
      <w:pPr>
        <w:pStyle w:val="11"/>
        <w:widowControl/>
        <w:spacing w:beforeAutospacing="0" w:afterAutospacing="0"/>
        <w:jc w:val="center"/>
        <w:rPr>
          <w:rFonts w:hint="eastAsia" w:ascii="仿宋_GB2312" w:hAnsi="仿宋_GB2312" w:eastAsia="仿宋_GB2312" w:cs="仿宋_GB2312"/>
          <w:color w:val="FF0000"/>
          <w:sz w:val="33"/>
          <w:szCs w:val="33"/>
          <w:shd w:val="clear" w:color="auto" w:fill="FFFFFF"/>
        </w:rPr>
      </w:pPr>
    </w:p>
    <w:p>
      <w:pPr>
        <w:pStyle w:val="11"/>
        <w:widowControl/>
        <w:spacing w:beforeAutospacing="0" w:afterAutospacing="0"/>
        <w:jc w:val="center"/>
        <w:rPr>
          <w:rFonts w:hint="eastAsia" w:ascii="仿宋_GB2312" w:hAnsi="仿宋_GB2312" w:eastAsia="仿宋_GB2312" w:cs="仿宋_GB2312"/>
          <w:color w:val="FF0000"/>
          <w:sz w:val="33"/>
          <w:szCs w:val="33"/>
          <w:shd w:val="clear" w:color="auto" w:fill="FFFFFF"/>
        </w:rPr>
        <w:sectPr>
          <w:pgSz w:w="11906" w:h="16838"/>
          <w:pgMar w:top="1531" w:right="1984" w:bottom="1531" w:left="2098" w:header="851" w:footer="992" w:gutter="0"/>
          <w:cols w:space="720" w:num="1"/>
          <w:docGrid w:type="lines" w:linePitch="312" w:charSpace="0"/>
        </w:sectPr>
      </w:pPr>
    </w:p>
    <w:tbl>
      <w:tblPr>
        <w:tblStyle w:val="12"/>
        <w:tblW w:w="13992" w:type="dxa"/>
        <w:tblInd w:w="0" w:type="dxa"/>
        <w:tblLayout w:type="fixed"/>
        <w:tblCellMar>
          <w:top w:w="0" w:type="dxa"/>
          <w:left w:w="108" w:type="dxa"/>
          <w:bottom w:w="0" w:type="dxa"/>
          <w:right w:w="108" w:type="dxa"/>
        </w:tblCellMar>
      </w:tblPr>
      <w:tblGrid>
        <w:gridCol w:w="3456"/>
        <w:gridCol w:w="1410"/>
        <w:gridCol w:w="299"/>
        <w:gridCol w:w="2045"/>
        <w:gridCol w:w="2216"/>
        <w:gridCol w:w="751"/>
        <w:gridCol w:w="1742"/>
        <w:gridCol w:w="2073"/>
      </w:tblGrid>
      <w:tr>
        <w:trPr>
          <w:trHeight w:val="361" w:hRule="atLeast"/>
        </w:trPr>
        <w:tc>
          <w:tcPr>
            <w:tcW w:w="13992" w:type="dxa"/>
            <w:gridSpan w:val="8"/>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收入支出决算总表</w:t>
            </w:r>
          </w:p>
        </w:tc>
      </w:tr>
      <w:tr>
        <w:tblPrEx>
          <w:tblCellMar>
            <w:top w:w="0" w:type="dxa"/>
            <w:left w:w="108" w:type="dxa"/>
            <w:bottom w:w="0" w:type="dxa"/>
            <w:right w:w="108" w:type="dxa"/>
          </w:tblCellMar>
        </w:tblPrEx>
        <w:trPr>
          <w:trHeight w:val="90" w:hRule="atLeast"/>
        </w:trPr>
        <w:tc>
          <w:tcPr>
            <w:tcW w:w="13992" w:type="dxa"/>
            <w:gridSpan w:val="8"/>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01</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866" w:type="dxa"/>
            <w:gridSpan w:val="2"/>
            <w:tcBorders>
              <w:top w:val="nil"/>
              <w:left w:val="nil"/>
              <w:bottom w:val="single" w:color="auto" w:sz="4" w:space="0"/>
              <w:right w:val="nil"/>
            </w:tcBorders>
            <w:vAlign w:val="bottom"/>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）：石家庄市人民政府办公室(本级)</w:t>
            </w:r>
          </w:p>
        </w:tc>
        <w:tc>
          <w:tcPr>
            <w:tcW w:w="4560" w:type="dxa"/>
            <w:gridSpan w:val="3"/>
            <w:tcBorders>
              <w:top w:val="nil"/>
              <w:left w:val="nil"/>
              <w:bottom w:val="single" w:color="auto" w:sz="4" w:space="0"/>
              <w:right w:val="nil"/>
            </w:tcBorders>
            <w:vAlign w:val="bottom"/>
          </w:tcPr>
          <w:p>
            <w:pPr>
              <w:jc w:val="center"/>
              <w:rPr>
                <w:rFonts w:hint="eastAsia" w:ascii="宋体" w:hAnsi="宋体" w:eastAsia="宋体"/>
                <w:color w:val="000000"/>
                <w:sz w:val="18"/>
                <w:szCs w:val="18"/>
                <w:lang w:bidi="ar"/>
              </w:rPr>
            </w:pPr>
            <w:r>
              <w:rPr>
                <w:rFonts w:hint="eastAsia" w:ascii="Times New Roman" w:hAnsi="Times New Roman" w:eastAsia="宋体"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566" w:type="dxa"/>
            <w:gridSpan w:val="3"/>
            <w:tcBorders>
              <w:top w:val="nil"/>
              <w:left w:val="nil"/>
              <w:bottom w:val="single" w:color="auto" w:sz="4" w:space="0"/>
              <w:right w:val="nil"/>
            </w:tcBorders>
            <w:vAlign w:val="bottom"/>
          </w:tcPr>
          <w:p>
            <w:pPr>
              <w:jc w:val="right"/>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308" w:hRule="atLeast"/>
        </w:trPr>
        <w:tc>
          <w:tcPr>
            <w:tcW w:w="7210" w:type="dxa"/>
            <w:gridSpan w:val="4"/>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收入</w:t>
            </w:r>
          </w:p>
        </w:tc>
        <w:tc>
          <w:tcPr>
            <w:tcW w:w="6782"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支出</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45"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207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09" w:type="dxa"/>
            <w:gridSpan w:val="2"/>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45"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1</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42"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207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Times New Roman" w:hAnsi="Times New Roman" w:eastAsia="宋体" w:cs="Times New Roman"/>
                <w:color w:val="000000"/>
                <w:sz w:val="18"/>
                <w:szCs w:val="18"/>
              </w:rPr>
              <w:t>2</w:t>
            </w:r>
          </w:p>
        </w:tc>
      </w:tr>
      <w:tr>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7,930.87</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90"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四、上级补助收入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五、事业收入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六、经营收入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七、附属</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上缴收入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八、其他收入</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968.73</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256.37</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2045"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1742"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2073"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50</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296.62</w:t>
            </w: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2045"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1742"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207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2045"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1742"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2073"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使用非财政拨款结余（含专用结余）</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结余分配</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年初结转和结余</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120.00</w:t>
            </w:r>
          </w:p>
        </w:tc>
        <w:tc>
          <w:tcPr>
            <w:tcW w:w="296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年末结转和结余</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60</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30</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lang w:bidi="ar"/>
              </w:rPr>
            </w:pP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lang w:bidi="ar"/>
              </w:rPr>
            </w:pPr>
            <w:r>
              <w:rPr>
                <w:rFonts w:ascii="Times New Roman" w:hAnsi="Times New Roman" w:eastAsia="宋体" w:cs="Times New Roman"/>
                <w:color w:val="000000"/>
                <w:sz w:val="18"/>
                <w:szCs w:val="18"/>
                <w:lang w:bidi="ar"/>
              </w:rPr>
              <w:t>61</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345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09"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2045"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296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174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207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r>
      <w:tr>
        <w:tblPrEx>
          <w:tblCellMar>
            <w:top w:w="0" w:type="dxa"/>
            <w:left w:w="108" w:type="dxa"/>
            <w:bottom w:w="0" w:type="dxa"/>
            <w:right w:w="108" w:type="dxa"/>
          </w:tblCellMar>
        </w:tblPrEx>
        <w:trPr>
          <w:trHeight w:val="308" w:hRule="atLeast"/>
        </w:trPr>
        <w:tc>
          <w:tcPr>
            <w:tcW w:w="13992" w:type="dxa"/>
            <w:gridSpan w:val="8"/>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注：1.本表反映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本年度的总收支和年末结转结余情况。2.本套报表金额转换时可能存在尾数误差。</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黑体" w:hAnsi="黑体" w:eastAsia="黑体"/>
          <w:bCs/>
          <w:sz w:val="32"/>
          <w:szCs w:val="32"/>
        </w:rPr>
      </w:pPr>
    </w:p>
    <w:tbl>
      <w:tblPr>
        <w:tblStyle w:val="12"/>
        <w:tblW w:w="13992" w:type="dxa"/>
        <w:tblInd w:w="0" w:type="dxa"/>
        <w:tblLayout w:type="fixed"/>
        <w:tblCellMar>
          <w:top w:w="0" w:type="dxa"/>
          <w:left w:w="108" w:type="dxa"/>
          <w:bottom w:w="0" w:type="dxa"/>
          <w:right w:w="108" w:type="dxa"/>
        </w:tblCellMar>
      </w:tblPr>
      <w:tblGrid>
        <w:gridCol w:w="715"/>
        <w:gridCol w:w="1119"/>
        <w:gridCol w:w="1726"/>
        <w:gridCol w:w="881"/>
        <w:gridCol w:w="881"/>
        <w:gridCol w:w="1727"/>
        <w:gridCol w:w="1727"/>
        <w:gridCol w:w="881"/>
        <w:gridCol w:w="881"/>
        <w:gridCol w:w="1727"/>
        <w:gridCol w:w="1727"/>
      </w:tblGrid>
      <w:tr>
        <w:tblPrEx>
          <w:tblCellMar>
            <w:top w:w="0" w:type="dxa"/>
            <w:left w:w="108" w:type="dxa"/>
            <w:bottom w:w="0" w:type="dxa"/>
            <w:right w:w="108" w:type="dxa"/>
          </w:tblCellMar>
        </w:tblPrEx>
        <w:trPr>
          <w:trHeight w:val="550" w:hRule="atLeast"/>
        </w:trPr>
        <w:tc>
          <w:tcPr>
            <w:tcW w:w="13992" w:type="dxa"/>
            <w:gridSpan w:val="11"/>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收入决算表</w:t>
            </w:r>
          </w:p>
        </w:tc>
      </w:tr>
      <w:tr>
        <w:tblPrEx>
          <w:tblCellMar>
            <w:top w:w="0" w:type="dxa"/>
            <w:left w:w="108" w:type="dxa"/>
            <w:bottom w:w="0" w:type="dxa"/>
            <w:right w:w="108" w:type="dxa"/>
          </w:tblCellMar>
        </w:tblPrEx>
        <w:trPr>
          <w:trHeight w:val="300" w:hRule="atLeast"/>
        </w:trPr>
        <w:tc>
          <w:tcPr>
            <w:tcW w:w="13992" w:type="dxa"/>
            <w:gridSpan w:val="11"/>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hint="eastAsia" w:ascii="Times New Roman" w:hAnsi="Times New Roman" w:eastAsia="宋体" w:cs="Times New Roman"/>
                <w:color w:val="000000"/>
                <w:sz w:val="18"/>
                <w:szCs w:val="18"/>
              </w:rPr>
              <w:t>02</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441" w:type="dxa"/>
            <w:gridSpan w:val="4"/>
            <w:tcBorders>
              <w:top w:val="nil"/>
              <w:left w:val="nil"/>
              <w:bottom w:val="single" w:color="auto" w:sz="4" w:space="0"/>
              <w:right w:val="nil"/>
            </w:tcBorders>
            <w:vAlign w:val="bottom"/>
          </w:tcPr>
          <w:p>
            <w:pP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 xml:space="preserve">）：石家庄市人民政府办公室(本级)                                                                                                         </w:t>
            </w:r>
          </w:p>
        </w:tc>
        <w:tc>
          <w:tcPr>
            <w:tcW w:w="5216" w:type="dxa"/>
            <w:gridSpan w:val="4"/>
            <w:tcBorders>
              <w:top w:val="nil"/>
              <w:left w:val="nil"/>
              <w:bottom w:val="single" w:color="auto" w:sz="4" w:space="0"/>
              <w:right w:val="nil"/>
            </w:tcBorders>
            <w:vAlign w:val="bottom"/>
          </w:tcPr>
          <w:p>
            <w:pPr>
              <w:jc w:val="center"/>
              <w:rPr>
                <w:rFonts w:hint="eastAsia" w:ascii="方正仿宋_GB2312" w:hAnsi="方正仿宋_GB2312" w:eastAsia="方正仿宋_GB2312" w:cs="方正仿宋_GB2312"/>
                <w:color w:val="000000"/>
                <w:sz w:val="18"/>
                <w:szCs w:val="18"/>
                <w:lang w:bidi="ar"/>
              </w:rPr>
            </w:pPr>
            <w:r>
              <w:rPr>
                <w:rFonts w:ascii="Times New Roman" w:hAnsi="Times New Roman" w:eastAsia="方正仿宋_GB2312" w:cs="Times New Roman"/>
                <w:color w:val="000000"/>
                <w:sz w:val="18"/>
                <w:szCs w:val="18"/>
              </w:rPr>
              <w:t>2023</w:t>
            </w:r>
            <w:r>
              <w:rPr>
                <w:rFonts w:hint="eastAsia" w:ascii="方正仿宋_GB2312" w:hAnsi="方正仿宋_GB2312" w:eastAsia="方正仿宋_GB2312" w:cs="方正仿宋_GB2312"/>
                <w:color w:val="000000"/>
                <w:sz w:val="18"/>
                <w:szCs w:val="18"/>
                <w:lang w:bidi="ar"/>
              </w:rPr>
              <w:t>年度</w:t>
            </w:r>
          </w:p>
        </w:tc>
        <w:tc>
          <w:tcPr>
            <w:tcW w:w="4335" w:type="dxa"/>
            <w:gridSpan w:val="3"/>
            <w:tcBorders>
              <w:top w:val="nil"/>
              <w:left w:val="nil"/>
              <w:bottom w:val="single" w:color="auto" w:sz="4" w:space="0"/>
              <w:right w:val="nil"/>
            </w:tcBorders>
            <w:vAlign w:val="bottom"/>
          </w:tcPr>
          <w:p>
            <w:pPr>
              <w:jc w:val="right"/>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308" w:hRule="atLeast"/>
        </w:trPr>
        <w:tc>
          <w:tcPr>
            <w:tcW w:w="1834"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726"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本年收入合计</w:t>
            </w:r>
          </w:p>
        </w:tc>
        <w:tc>
          <w:tcPr>
            <w:tcW w:w="176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财政拨款收入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上级补助收入</w:t>
            </w:r>
          </w:p>
        </w:tc>
        <w:tc>
          <w:tcPr>
            <w:tcW w:w="1727"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事业收入</w:t>
            </w:r>
          </w:p>
        </w:tc>
        <w:tc>
          <w:tcPr>
            <w:tcW w:w="176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附属</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上缴收入</w:t>
            </w:r>
          </w:p>
        </w:tc>
        <w:tc>
          <w:tcPr>
            <w:tcW w:w="1727"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其他收入</w:t>
            </w:r>
          </w:p>
        </w:tc>
      </w:tr>
      <w:tr>
        <w:tblPrEx>
          <w:tblCellMar>
            <w:top w:w="0" w:type="dxa"/>
            <w:left w:w="108" w:type="dxa"/>
            <w:bottom w:w="0" w:type="dxa"/>
            <w:right w:w="108" w:type="dxa"/>
          </w:tblCellMar>
        </w:tblPrEx>
        <w:trPr>
          <w:trHeight w:val="312" w:hRule="atLeast"/>
        </w:trPr>
        <w:tc>
          <w:tcPr>
            <w:tcW w:w="715"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119"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pPr>
              <w:widowControl/>
              <w:jc w:val="center"/>
              <w:textAlignment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71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19"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715"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19"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726"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6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727"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90" w:hRule="atLeast"/>
        </w:trPr>
        <w:tc>
          <w:tcPr>
            <w:tcW w:w="183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726"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176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4</w:t>
            </w:r>
          </w:p>
        </w:tc>
        <w:tc>
          <w:tcPr>
            <w:tcW w:w="176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6</w:t>
            </w:r>
          </w:p>
        </w:tc>
        <w:tc>
          <w:tcPr>
            <w:tcW w:w="1727"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7</w:t>
            </w:r>
          </w:p>
        </w:tc>
      </w:tr>
      <w:tr>
        <w:tblPrEx>
          <w:tblCellMar>
            <w:top w:w="0" w:type="dxa"/>
            <w:left w:w="108" w:type="dxa"/>
            <w:bottom w:w="0" w:type="dxa"/>
            <w:right w:w="108" w:type="dxa"/>
          </w:tblCellMar>
        </w:tblPrEx>
        <w:trPr>
          <w:trHeight w:val="308" w:hRule="atLeast"/>
        </w:trPr>
        <w:tc>
          <w:tcPr>
            <w:tcW w:w="1834"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9,332.59</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9,332.59</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一般公共服务支出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政府办公厅（室）及相关机构事务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7,810.87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行政运行</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2,954.15</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2,954.15</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2010302</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一般行政管理事务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4,456.72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4,456.72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2010308</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信访事务</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400.00</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400.00</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社会保障和就业支出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w:t>
            </w:r>
            <w:r>
              <w:rPr>
                <w:rFonts w:hint="eastAsia" w:ascii="方正仿宋_GB2312" w:hAnsi="方正仿宋_GB2312" w:eastAsia="方正仿宋_GB2312" w:cs="方正仿宋_GB2312"/>
                <w:spacing w:val="-2"/>
                <w:sz w:val="18"/>
                <w:szCs w:val="18"/>
                <w:lang w:eastAsia="zh-CN"/>
              </w:rPr>
              <w:t>部门</w:t>
            </w:r>
            <w:r>
              <w:rPr>
                <w:rFonts w:hint="eastAsia" w:ascii="方正仿宋_GB2312" w:hAnsi="方正仿宋_GB2312" w:eastAsia="方正仿宋_GB2312" w:cs="方正仿宋_GB2312"/>
                <w:spacing w:val="-2"/>
                <w:sz w:val="18"/>
                <w:szCs w:val="18"/>
              </w:rPr>
              <w:t>养老支出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968.73</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w:t>
            </w:r>
            <w:r>
              <w:rPr>
                <w:rFonts w:hint="eastAsia" w:ascii="方正仿宋_GB2312" w:hAnsi="方正仿宋_GB2312" w:eastAsia="方正仿宋_GB2312" w:cs="方正仿宋_GB2312"/>
                <w:spacing w:val="-2"/>
                <w:sz w:val="18"/>
                <w:szCs w:val="18"/>
                <w:lang w:eastAsia="zh-CN"/>
              </w:rPr>
              <w:t>部门</w:t>
            </w:r>
            <w:r>
              <w:rPr>
                <w:rFonts w:hint="eastAsia" w:ascii="方正仿宋_GB2312" w:hAnsi="方正仿宋_GB2312" w:eastAsia="方正仿宋_GB2312" w:cs="方正仿宋_GB2312"/>
                <w:spacing w:val="-2"/>
                <w:sz w:val="18"/>
                <w:szCs w:val="18"/>
              </w:rPr>
              <w:t>离退休</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618.92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618.92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2080505</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机关事业</w:t>
            </w:r>
            <w:r>
              <w:rPr>
                <w:rFonts w:hint="eastAsia" w:ascii="方正仿宋_GB2312" w:hAnsi="方正仿宋_GB2312" w:eastAsia="方正仿宋_GB2312" w:cs="方正仿宋_GB2312"/>
                <w:spacing w:val="-2"/>
                <w:sz w:val="18"/>
                <w:szCs w:val="18"/>
                <w:lang w:eastAsia="zh-CN"/>
              </w:rPr>
              <w:t>部门</w:t>
            </w:r>
            <w:r>
              <w:rPr>
                <w:rFonts w:hint="eastAsia" w:ascii="方正仿宋_GB2312" w:hAnsi="方正仿宋_GB2312" w:eastAsia="方正仿宋_GB2312" w:cs="方正仿宋_GB2312"/>
                <w:spacing w:val="-2"/>
                <w:sz w:val="18"/>
                <w:szCs w:val="18"/>
              </w:rPr>
              <w:t>基本养老保险缴费支出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349.81</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349.81</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卫生健康支出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行政事业</w:t>
            </w:r>
            <w:r>
              <w:rPr>
                <w:rFonts w:hint="eastAsia" w:ascii="方正仿宋_GB2312" w:hAnsi="方正仿宋_GB2312" w:eastAsia="方正仿宋_GB2312" w:cs="方正仿宋_GB2312"/>
                <w:spacing w:val="-2"/>
                <w:sz w:val="18"/>
                <w:szCs w:val="18"/>
                <w:lang w:eastAsia="zh-CN"/>
              </w:rPr>
              <w:t>部门</w:t>
            </w:r>
            <w:r>
              <w:rPr>
                <w:rFonts w:hint="eastAsia" w:ascii="方正仿宋_GB2312" w:hAnsi="方正仿宋_GB2312" w:eastAsia="方正仿宋_GB2312" w:cs="方正仿宋_GB2312"/>
                <w:spacing w:val="-2"/>
                <w:sz w:val="18"/>
                <w:szCs w:val="18"/>
              </w:rPr>
              <w:t>医疗</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2101101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行政</w:t>
            </w:r>
            <w:r>
              <w:rPr>
                <w:rFonts w:hint="eastAsia" w:ascii="方正仿宋_GB2312" w:hAnsi="方正仿宋_GB2312" w:eastAsia="方正仿宋_GB2312" w:cs="方正仿宋_GB2312"/>
                <w:spacing w:val="-2"/>
                <w:sz w:val="18"/>
                <w:szCs w:val="18"/>
                <w:lang w:eastAsia="zh-CN"/>
              </w:rPr>
              <w:t>部门</w:t>
            </w:r>
            <w:r>
              <w:rPr>
                <w:rFonts w:hint="eastAsia" w:ascii="方正仿宋_GB2312" w:hAnsi="方正仿宋_GB2312" w:eastAsia="方正仿宋_GB2312" w:cs="方正仿宋_GB2312"/>
                <w:spacing w:val="-2"/>
                <w:sz w:val="18"/>
                <w:szCs w:val="18"/>
              </w:rPr>
              <w:t>医疗</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256.37</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住房保障支出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住房改革支出</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715"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2210201</w:t>
            </w:r>
          </w:p>
        </w:tc>
        <w:tc>
          <w:tcPr>
            <w:tcW w:w="1119"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spacing w:val="-2"/>
                <w:sz w:val="18"/>
                <w:szCs w:val="18"/>
              </w:rPr>
              <w:t>住房公积金</w:t>
            </w:r>
          </w:p>
        </w:tc>
        <w:tc>
          <w:tcPr>
            <w:tcW w:w="1726"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spacing w:val="-2"/>
                <w:sz w:val="18"/>
                <w:szCs w:val="18"/>
              </w:rPr>
              <w:t>296.62</w:t>
            </w: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6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72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1"/>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本年度取得的各项收入情况。</w:t>
            </w:r>
          </w:p>
        </w:tc>
      </w:tr>
    </w:tbl>
    <w:p>
      <w:pPr>
        <w:rPr>
          <w:rFonts w:hint="eastAsia" w:ascii="黑体" w:hAnsi="黑体" w:eastAsia="黑体"/>
          <w:bCs/>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2"/>
        <w:tblW w:w="13992" w:type="dxa"/>
        <w:tblInd w:w="0" w:type="dxa"/>
        <w:tblLayout w:type="fixed"/>
        <w:tblCellMar>
          <w:top w:w="0" w:type="dxa"/>
          <w:left w:w="108" w:type="dxa"/>
          <w:bottom w:w="0" w:type="dxa"/>
          <w:right w:w="108" w:type="dxa"/>
        </w:tblCellMar>
      </w:tblPr>
      <w:tblGrid>
        <w:gridCol w:w="800"/>
        <w:gridCol w:w="1272"/>
        <w:gridCol w:w="1984"/>
        <w:gridCol w:w="700"/>
        <w:gridCol w:w="1292"/>
        <w:gridCol w:w="1984"/>
        <w:gridCol w:w="1349"/>
        <w:gridCol w:w="643"/>
        <w:gridCol w:w="1984"/>
        <w:gridCol w:w="1984"/>
      </w:tblGrid>
      <w:tr>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jc w:val="center"/>
              <w:outlineLvl w:val="1"/>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br w:type="page"/>
            </w:r>
            <w:r>
              <w:rPr>
                <w:rFonts w:hint="eastAsia" w:ascii="方正仿宋_GB2312" w:hAnsi="方正仿宋_GB2312" w:eastAsia="方正仿宋_GB2312" w:cs="方正仿宋_GB2312"/>
                <w:bCs/>
                <w:sz w:val="32"/>
                <w:szCs w:val="32"/>
              </w:rPr>
              <w:t>支出决算表</w:t>
            </w:r>
          </w:p>
        </w:tc>
      </w:tr>
      <w:tr>
        <w:tblPrEx>
          <w:tblCellMar>
            <w:top w:w="0" w:type="dxa"/>
            <w:left w:w="108" w:type="dxa"/>
            <w:bottom w:w="0" w:type="dxa"/>
            <w:right w:w="108" w:type="dxa"/>
          </w:tblCellMar>
        </w:tblPrEx>
        <w:trPr>
          <w:trHeight w:val="30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03</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56"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 xml:space="preserve">）：石家庄市人民政府办公室(本级) </w:t>
            </w:r>
            <w:r>
              <w:rPr>
                <w:rFonts w:hint="eastAsia" w:asciiTheme="minorEastAsia" w:hAnsiTheme="minorEastAsia" w:cstheme="minorEastAsia"/>
                <w:color w:val="000000"/>
                <w:sz w:val="18"/>
                <w:szCs w:val="18"/>
                <w:lang w:bidi="ar"/>
              </w:rPr>
              <w:t xml:space="preserve">                                                                                                         </w:t>
            </w:r>
          </w:p>
        </w:tc>
        <w:tc>
          <w:tcPr>
            <w:tcW w:w="4625" w:type="dxa"/>
            <w:gridSpan w:val="3"/>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11" w:type="dxa"/>
            <w:gridSpan w:val="3"/>
            <w:tcBorders>
              <w:top w:val="nil"/>
              <w:left w:val="nil"/>
              <w:bottom w:val="single" w:color="auto" w:sz="4" w:space="0"/>
              <w:right w:val="nil"/>
            </w:tcBorders>
            <w:vAlign w:val="bottom"/>
          </w:tcPr>
          <w:p>
            <w:pPr>
              <w:widowControl/>
              <w:jc w:val="right"/>
              <w:textAlignment w:val="bottom"/>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 xml:space="preserve"> 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308" w:hRule="atLeast"/>
        </w:trPr>
        <w:tc>
          <w:tcPr>
            <w:tcW w:w="2072"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本年支出合计</w:t>
            </w:r>
          </w:p>
        </w:tc>
        <w:tc>
          <w:tcPr>
            <w:tcW w:w="199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92"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上缴上级支出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经营支出</w:t>
            </w:r>
          </w:p>
        </w:tc>
        <w:tc>
          <w:tcPr>
            <w:tcW w:w="1984"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对附属</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补助支出</w:t>
            </w:r>
          </w:p>
        </w:tc>
      </w:tr>
      <w:tr>
        <w:tblPrEx>
          <w:tblCellMar>
            <w:top w:w="0" w:type="dxa"/>
            <w:left w:w="108" w:type="dxa"/>
            <w:bottom w:w="0" w:type="dxa"/>
            <w:right w:w="108" w:type="dxa"/>
          </w:tblCellMar>
        </w:tblPrEx>
        <w:trPr>
          <w:trHeight w:val="312" w:hRule="atLeast"/>
        </w:trPr>
        <w:tc>
          <w:tcPr>
            <w:tcW w:w="80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7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80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72"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80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272" w:type="dxa"/>
            <w:vMerge w:val="continue"/>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92"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984" w:type="dxa"/>
            <w:vMerge w:val="continue"/>
            <w:tcBorders>
              <w:top w:val="single" w:color="000000" w:sz="4" w:space="0"/>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207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992"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992"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98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r>
      <w:tr>
        <w:tblPrEx>
          <w:tblCellMar>
            <w:top w:w="0" w:type="dxa"/>
            <w:left w:w="108" w:type="dxa"/>
            <w:bottom w:w="0" w:type="dxa"/>
            <w:right w:w="108" w:type="dxa"/>
          </w:tblCellMar>
        </w:tblPrEx>
        <w:trPr>
          <w:trHeight w:val="308" w:hRule="atLeast"/>
        </w:trPr>
        <w:tc>
          <w:tcPr>
            <w:tcW w:w="2072"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4,595.87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2010308</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信访事务</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养老支出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离退休</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基本养老保险缴费支出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医疗</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医疗</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800" w:type="dxa"/>
            <w:tcBorders>
              <w:top w:val="nil"/>
              <w:left w:val="single" w:color="000000" w:sz="4" w:space="0"/>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1272" w:type="dxa"/>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9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本年度各项支出情况。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2"/>
        <w:tblW w:w="13989" w:type="dxa"/>
        <w:tblInd w:w="0" w:type="dxa"/>
        <w:tblLayout w:type="fixed"/>
        <w:tblCellMar>
          <w:top w:w="0" w:type="dxa"/>
          <w:left w:w="108" w:type="dxa"/>
          <w:bottom w:w="0" w:type="dxa"/>
          <w:right w:w="108" w:type="dxa"/>
        </w:tblCellMar>
      </w:tblPr>
      <w:tblGrid>
        <w:gridCol w:w="2466"/>
        <w:gridCol w:w="464"/>
        <w:gridCol w:w="1544"/>
        <w:gridCol w:w="2202"/>
        <w:gridCol w:w="425"/>
        <w:gridCol w:w="464"/>
        <w:gridCol w:w="1542"/>
        <w:gridCol w:w="215"/>
        <w:gridCol w:w="1407"/>
        <w:gridCol w:w="1623"/>
        <w:gridCol w:w="1637"/>
      </w:tblGrid>
      <w:tr>
        <w:tblPrEx>
          <w:tblCellMar>
            <w:top w:w="0" w:type="dxa"/>
            <w:left w:w="108" w:type="dxa"/>
            <w:bottom w:w="0" w:type="dxa"/>
            <w:right w:w="108" w:type="dxa"/>
          </w:tblCellMar>
        </w:tblPrEx>
        <w:trPr>
          <w:trHeight w:val="550" w:hRule="atLeast"/>
        </w:trPr>
        <w:tc>
          <w:tcPr>
            <w:tcW w:w="13989" w:type="dxa"/>
            <w:gridSpan w:val="11"/>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财政拨款收入支出决算总表</w:t>
            </w:r>
          </w:p>
        </w:tc>
      </w:tr>
      <w:tr>
        <w:tblPrEx>
          <w:tblCellMar>
            <w:top w:w="0" w:type="dxa"/>
            <w:left w:w="108" w:type="dxa"/>
            <w:bottom w:w="0" w:type="dxa"/>
            <w:right w:w="108" w:type="dxa"/>
          </w:tblCellMar>
        </w:tblPrEx>
        <w:trPr>
          <w:trHeight w:val="300" w:hRule="atLeast"/>
        </w:trPr>
        <w:tc>
          <w:tcPr>
            <w:tcW w:w="13989" w:type="dxa"/>
            <w:gridSpan w:val="11"/>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公开04表</w:t>
            </w:r>
          </w:p>
        </w:tc>
      </w:tr>
      <w:tr>
        <w:tblPrEx>
          <w:tblCellMar>
            <w:top w:w="0" w:type="dxa"/>
            <w:left w:w="108" w:type="dxa"/>
            <w:bottom w:w="0" w:type="dxa"/>
            <w:right w:w="108" w:type="dxa"/>
          </w:tblCellMar>
        </w:tblPrEx>
        <w:trPr>
          <w:trHeight w:val="300" w:hRule="atLeast"/>
        </w:trPr>
        <w:tc>
          <w:tcPr>
            <w:tcW w:w="6676" w:type="dxa"/>
            <w:gridSpan w:val="4"/>
            <w:tcBorders>
              <w:top w:val="nil"/>
              <w:left w:val="nil"/>
              <w:bottom w:val="single" w:color="auto" w:sz="4" w:space="0"/>
              <w:right w:val="nil"/>
            </w:tcBorders>
            <w:vAlign w:val="bottom"/>
          </w:tcPr>
          <w:p>
            <w:pPr>
              <w:rPr>
                <w:rFonts w:hint="eastAsia" w:ascii="仿宋" w:hAnsi="仿宋" w:eastAsia="仿宋" w:cs="仿宋"/>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 xml:space="preserve">）：石家庄市人民政府办公室(本级) </w:t>
            </w:r>
            <w:r>
              <w:rPr>
                <w:rFonts w:hint="eastAsia" w:asciiTheme="minorEastAsia" w:hAnsiTheme="minorEastAsia" w:cstheme="minorEastAsia"/>
                <w:color w:val="000000"/>
                <w:sz w:val="18"/>
                <w:szCs w:val="18"/>
                <w:lang w:bidi="ar"/>
              </w:rPr>
              <w:t xml:space="preserve">                                                                                                   </w:t>
            </w:r>
          </w:p>
        </w:tc>
        <w:tc>
          <w:tcPr>
            <w:tcW w:w="2646" w:type="dxa"/>
            <w:gridSpan w:val="4"/>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7"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308" w:hRule="atLeast"/>
        </w:trPr>
        <w:tc>
          <w:tcPr>
            <w:tcW w:w="4474" w:type="dxa"/>
            <w:gridSpan w:val="3"/>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收     入</w:t>
            </w:r>
          </w:p>
        </w:tc>
        <w:tc>
          <w:tcPr>
            <w:tcW w:w="9515" w:type="dxa"/>
            <w:gridSpan w:val="8"/>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支     出</w:t>
            </w:r>
          </w:p>
        </w:tc>
      </w:tr>
      <w:tr>
        <w:tblPrEx>
          <w:tblCellMar>
            <w:top w:w="0" w:type="dxa"/>
            <w:left w:w="108" w:type="dxa"/>
            <w:bottom w:w="0" w:type="dxa"/>
            <w:right w:w="108" w:type="dxa"/>
          </w:tblCellMar>
        </w:tblPrEx>
        <w:trPr>
          <w:trHeight w:val="312" w:hRule="atLeast"/>
        </w:trPr>
        <w:tc>
          <w:tcPr>
            <w:tcW w:w="2466"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    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金额</w:t>
            </w:r>
          </w:p>
        </w:tc>
        <w:tc>
          <w:tcPr>
            <w:tcW w:w="2627"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464"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行次</w:t>
            </w:r>
          </w:p>
        </w:tc>
        <w:tc>
          <w:tcPr>
            <w:tcW w:w="1542"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1622" w:type="dxa"/>
            <w:gridSpan w:val="2"/>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一般公共预算财政拨款</w:t>
            </w:r>
          </w:p>
        </w:tc>
        <w:tc>
          <w:tcPr>
            <w:tcW w:w="1623"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政府性基金预算财政拨款</w:t>
            </w:r>
          </w:p>
        </w:tc>
        <w:tc>
          <w:tcPr>
            <w:tcW w:w="1637" w:type="dxa"/>
            <w:vMerge w:val="restart"/>
            <w:tcBorders>
              <w:top w:val="nil"/>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国有资本经营预算财政拨款</w:t>
            </w:r>
          </w:p>
        </w:tc>
      </w:tr>
      <w:tr>
        <w:tblPrEx>
          <w:tblCellMar>
            <w:top w:w="0" w:type="dxa"/>
            <w:left w:w="108" w:type="dxa"/>
            <w:bottom w:w="0" w:type="dxa"/>
            <w:right w:w="108" w:type="dxa"/>
          </w:tblCellMar>
        </w:tblPrEx>
        <w:trPr>
          <w:trHeight w:val="312" w:hRule="atLeast"/>
        </w:trPr>
        <w:tc>
          <w:tcPr>
            <w:tcW w:w="2466"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627"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464"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542"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2" w:type="dxa"/>
            <w:gridSpan w:val="2"/>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23"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1637" w:type="dxa"/>
            <w:vMerge w:val="continue"/>
            <w:tcBorders>
              <w:left w:val="nil"/>
              <w:bottom w:val="single" w:color="000000" w:sz="4" w:space="0"/>
              <w:right w:val="single" w:color="000000" w:sz="8"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4"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1</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    次</w:t>
            </w:r>
          </w:p>
        </w:tc>
        <w:tc>
          <w:tcPr>
            <w:tcW w:w="464" w:type="dxa"/>
            <w:tcBorders>
              <w:top w:val="nil"/>
              <w:left w:val="nil"/>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1542"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2</w:t>
            </w:r>
          </w:p>
        </w:tc>
        <w:tc>
          <w:tcPr>
            <w:tcW w:w="1622"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3</w:t>
            </w:r>
          </w:p>
        </w:tc>
        <w:tc>
          <w:tcPr>
            <w:tcW w:w="1623" w:type="dxa"/>
            <w:tcBorders>
              <w:top w:val="nil"/>
              <w:left w:val="nil"/>
              <w:bottom w:val="single" w:color="000000" w:sz="4" w:space="0"/>
              <w:right w:val="single" w:color="000000"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4</w:t>
            </w:r>
          </w:p>
        </w:tc>
        <w:tc>
          <w:tcPr>
            <w:tcW w:w="1637" w:type="dxa"/>
            <w:tcBorders>
              <w:top w:val="nil"/>
              <w:left w:val="nil"/>
              <w:bottom w:val="single" w:color="000000" w:sz="4" w:space="0"/>
              <w:right w:val="single" w:color="000000" w:sz="8"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lang w:bidi="ar"/>
              </w:rPr>
              <w:t>5</w:t>
            </w: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一、一般公共服务支出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7,930.87</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7,930.87</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二、外交支出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34</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35</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四、公共安全支出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36</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五、教育支出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六、科学技术支出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七、文化旅游体育与传媒支出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八、社会保障和就业支出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968.73</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968.73</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九、卫生健康支出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256.37</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256.37</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十、节能环保支出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十一、城乡社区支出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auto"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12</w:t>
            </w:r>
          </w:p>
        </w:tc>
        <w:tc>
          <w:tcPr>
            <w:tcW w:w="1544"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auto"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十二、农林水支出</w:t>
            </w:r>
          </w:p>
        </w:tc>
        <w:tc>
          <w:tcPr>
            <w:tcW w:w="464" w:type="dxa"/>
            <w:tcBorders>
              <w:top w:val="nil"/>
              <w:left w:val="nil"/>
              <w:bottom w:val="single" w:color="auto"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44</w:t>
            </w:r>
          </w:p>
        </w:tc>
        <w:tc>
          <w:tcPr>
            <w:tcW w:w="1542"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auto"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auto"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十三、交通运输支出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14</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十四、资源勘探工业信息等支出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46</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15</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十五、商业服务业等支出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47</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16</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十六、金融支出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48</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17</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十七、援助其他地区支出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49</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18</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十八、自然资源海洋气象等支出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50</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19</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十九、住房保障支出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51</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296.62</w:t>
            </w: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296.62</w:t>
            </w: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20</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二十、粮油物资储备支出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52</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21</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二十一、国有资本经营预算支出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53</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22</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二十二、灾害防治及应急管理支出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54</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auto" w:sz="4" w:space="0"/>
              <w:bottom w:val="single" w:color="auto" w:sz="4" w:space="0"/>
              <w:right w:val="single" w:color="auto"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23</w:t>
            </w:r>
          </w:p>
        </w:tc>
        <w:tc>
          <w:tcPr>
            <w:tcW w:w="154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二十三、其他支出</w:t>
            </w:r>
          </w:p>
        </w:tc>
        <w:tc>
          <w:tcPr>
            <w:tcW w:w="46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55</w:t>
            </w:r>
          </w:p>
        </w:tc>
        <w:tc>
          <w:tcPr>
            <w:tcW w:w="1542"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single" w:color="auto" w:sz="4" w:space="0"/>
              <w:left w:val="single" w:color="000000" w:sz="4" w:space="0"/>
              <w:bottom w:val="single" w:color="000000" w:sz="4" w:space="0"/>
              <w:right w:val="single" w:color="000000" w:sz="4" w:space="0"/>
            </w:tcBorders>
            <w:vAlign w:val="center"/>
          </w:tcPr>
          <w:p>
            <w:pPr>
              <w:jc w:val="left"/>
              <w:rPr>
                <w:rFonts w:hint="eastAsia" w:ascii="宋体" w:hAnsi="宋体" w:eastAsia="宋体"/>
                <w:color w:val="000000"/>
                <w:sz w:val="18"/>
                <w:szCs w:val="18"/>
              </w:rPr>
            </w:pP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24</w:t>
            </w:r>
          </w:p>
        </w:tc>
        <w:tc>
          <w:tcPr>
            <w:tcW w:w="1544"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single" w:color="auto" w:sz="4" w:space="0"/>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二十四、债务还本支出</w:t>
            </w:r>
          </w:p>
        </w:tc>
        <w:tc>
          <w:tcPr>
            <w:tcW w:w="464" w:type="dxa"/>
            <w:tcBorders>
              <w:top w:val="single" w:color="auto" w:sz="4" w:space="0"/>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56</w:t>
            </w:r>
          </w:p>
        </w:tc>
        <w:tc>
          <w:tcPr>
            <w:tcW w:w="1542"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single" w:color="auto" w:sz="4" w:space="0"/>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single" w:color="auto" w:sz="4" w:space="0"/>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b/>
                <w:bCs/>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25</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二十五、债务付息支出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57</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jc w:val="center"/>
              <w:rPr>
                <w:rFonts w:hint="eastAsia" w:ascii="宋体" w:hAnsi="宋体" w:eastAsia="宋体"/>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26</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二十六、抗疫特别国债安排的支出</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58</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本年收入合计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27</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9,332.59</w:t>
            </w:r>
          </w:p>
        </w:tc>
        <w:tc>
          <w:tcPr>
            <w:tcW w:w="2627"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本年支出合计</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59</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28</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120.00</w:t>
            </w:r>
          </w:p>
        </w:tc>
        <w:tc>
          <w:tcPr>
            <w:tcW w:w="2627" w:type="dxa"/>
            <w:gridSpan w:val="2"/>
            <w:tcBorders>
              <w:top w:val="nil"/>
              <w:left w:val="nil"/>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年末财政拨款结转和结余</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60</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一、一般公共预算财政拨款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29</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120.00</w:t>
            </w: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61</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二、政府性基金预算财政拨款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30</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62</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4" w:space="0"/>
              <w:right w:val="single" w:color="000000"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三、国有资本经营预算财政拨款</w:t>
            </w: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31</w:t>
            </w:r>
          </w:p>
        </w:tc>
        <w:tc>
          <w:tcPr>
            <w:tcW w:w="1544"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627" w:type="dxa"/>
            <w:gridSpan w:val="2"/>
            <w:tcBorders>
              <w:top w:val="nil"/>
              <w:left w:val="nil"/>
              <w:bottom w:val="single" w:color="000000" w:sz="4" w:space="0"/>
              <w:right w:val="single" w:color="000000" w:sz="4" w:space="0"/>
            </w:tcBorders>
            <w:vAlign w:val="center"/>
          </w:tcPr>
          <w:p>
            <w:pPr>
              <w:jc w:val="left"/>
              <w:rPr>
                <w:rFonts w:hint="eastAsia" w:ascii="方正仿宋_GB2312" w:hAnsi="方正仿宋_GB2312" w:eastAsia="方正仿宋_GB2312" w:cs="方正仿宋_GB2312"/>
                <w:color w:val="000000"/>
                <w:sz w:val="18"/>
                <w:szCs w:val="18"/>
              </w:rPr>
            </w:pPr>
          </w:p>
        </w:tc>
        <w:tc>
          <w:tcPr>
            <w:tcW w:w="464"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63</w:t>
            </w:r>
          </w:p>
        </w:tc>
        <w:tc>
          <w:tcPr>
            <w:tcW w:w="1542"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2"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23"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4" w:space="0"/>
              <w:right w:val="single" w:color="000000" w:sz="8" w:space="0"/>
            </w:tcBorders>
            <w:vAlign w:val="center"/>
          </w:tcPr>
          <w:p>
            <w:pPr>
              <w:jc w:val="lef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2466" w:type="dxa"/>
            <w:tcBorders>
              <w:top w:val="nil"/>
              <w:left w:val="single" w:color="000000" w:sz="4" w:space="0"/>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32</w:t>
            </w:r>
          </w:p>
        </w:tc>
        <w:tc>
          <w:tcPr>
            <w:tcW w:w="1544"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2627" w:type="dxa"/>
            <w:gridSpan w:val="2"/>
            <w:tcBorders>
              <w:top w:val="nil"/>
              <w:left w:val="nil"/>
              <w:bottom w:val="single" w:color="000000" w:sz="8"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b/>
                <w:bCs/>
                <w:color w:val="000000"/>
                <w:sz w:val="18"/>
                <w:szCs w:val="18"/>
              </w:rPr>
            </w:pPr>
            <w:r>
              <w:rPr>
                <w:rFonts w:hint="eastAsia" w:ascii="方正仿宋_GB2312" w:hAnsi="方正仿宋_GB2312" w:eastAsia="方正仿宋_GB2312" w:cs="方正仿宋_GB2312"/>
                <w:b/>
                <w:bCs/>
                <w:color w:val="000000"/>
                <w:sz w:val="18"/>
                <w:szCs w:val="18"/>
                <w:lang w:bidi="ar"/>
              </w:rPr>
              <w:t>总计</w:t>
            </w:r>
          </w:p>
        </w:tc>
        <w:tc>
          <w:tcPr>
            <w:tcW w:w="464" w:type="dxa"/>
            <w:tcBorders>
              <w:top w:val="nil"/>
              <w:left w:val="nil"/>
              <w:bottom w:val="single" w:color="000000" w:sz="8" w:space="0"/>
              <w:right w:val="single" w:color="000000" w:sz="4" w:space="0"/>
            </w:tcBorders>
            <w:vAlign w:val="center"/>
          </w:tcPr>
          <w:p>
            <w:pPr>
              <w:widowControl/>
              <w:jc w:val="center"/>
              <w:textAlignment w:val="center"/>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lang w:bidi="ar"/>
              </w:rPr>
              <w:t>64</w:t>
            </w:r>
          </w:p>
        </w:tc>
        <w:tc>
          <w:tcPr>
            <w:tcW w:w="1542"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1622" w:type="dxa"/>
            <w:gridSpan w:val="2"/>
            <w:tcBorders>
              <w:top w:val="nil"/>
              <w:left w:val="nil"/>
              <w:bottom w:val="single" w:color="000000" w:sz="8" w:space="0"/>
              <w:right w:val="single" w:color="000000"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9,452.58</w:t>
            </w:r>
          </w:p>
          <w:p>
            <w:pPr>
              <w:jc w:val="right"/>
              <w:rPr>
                <w:rFonts w:ascii="Times New Roman" w:hAnsi="Times New Roman" w:eastAsia="宋体" w:cs="Times New Roman"/>
                <w:color w:val="000000"/>
                <w:sz w:val="18"/>
                <w:szCs w:val="18"/>
              </w:rPr>
            </w:pPr>
          </w:p>
        </w:tc>
        <w:tc>
          <w:tcPr>
            <w:tcW w:w="1623" w:type="dxa"/>
            <w:tcBorders>
              <w:top w:val="nil"/>
              <w:left w:val="nil"/>
              <w:bottom w:val="single" w:color="000000" w:sz="8"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637" w:type="dxa"/>
            <w:tcBorders>
              <w:top w:val="nil"/>
              <w:left w:val="nil"/>
              <w:bottom w:val="single" w:color="000000" w:sz="8" w:space="0"/>
              <w:right w:val="single" w:color="000000" w:sz="8"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89" w:type="dxa"/>
            <w:gridSpan w:val="11"/>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本年度一般公共预算财政拨款、政府性基金预算财政拨款和国有资本经营预算财政拨款的总收支和年末结转结余情况。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宋体" w:hAnsi="宋体" w:eastAsia="宋体"/>
          <w:spacing w:val="-2"/>
          <w:sz w:val="20"/>
        </w:rPr>
      </w:pPr>
    </w:p>
    <w:tbl>
      <w:tblPr>
        <w:tblStyle w:val="12"/>
        <w:tblW w:w="13992" w:type="dxa"/>
        <w:tblInd w:w="0" w:type="dxa"/>
        <w:tblLayout w:type="fixed"/>
        <w:tblCellMar>
          <w:top w:w="0" w:type="dxa"/>
          <w:left w:w="108" w:type="dxa"/>
          <w:bottom w:w="0" w:type="dxa"/>
          <w:right w:w="108" w:type="dxa"/>
        </w:tblCellMar>
      </w:tblPr>
      <w:tblGrid>
        <w:gridCol w:w="1355"/>
        <w:gridCol w:w="2077"/>
        <w:gridCol w:w="1228"/>
        <w:gridCol w:w="2283"/>
        <w:gridCol w:w="2376"/>
        <w:gridCol w:w="1139"/>
        <w:gridCol w:w="3534"/>
      </w:tblGrid>
      <w:tr>
        <w:tblPrEx>
          <w:tblCellMar>
            <w:top w:w="0" w:type="dxa"/>
            <w:left w:w="108" w:type="dxa"/>
            <w:bottom w:w="0" w:type="dxa"/>
            <w:right w:w="108" w:type="dxa"/>
          </w:tblCellMar>
        </w:tblPrEx>
        <w:trPr>
          <w:trHeight w:val="550" w:hRule="atLeast"/>
        </w:trPr>
        <w:tc>
          <w:tcPr>
            <w:tcW w:w="13992" w:type="dxa"/>
            <w:gridSpan w:val="7"/>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一般公共预算财政拨款支出决算表</w:t>
            </w:r>
          </w:p>
        </w:tc>
      </w:tr>
      <w:tr>
        <w:tblPrEx>
          <w:tblCellMar>
            <w:top w:w="0" w:type="dxa"/>
            <w:left w:w="108" w:type="dxa"/>
            <w:bottom w:w="0" w:type="dxa"/>
            <w:right w:w="108" w:type="dxa"/>
          </w:tblCellMar>
        </w:tblPrEx>
        <w:trPr>
          <w:trHeight w:val="300" w:hRule="atLeast"/>
        </w:trPr>
        <w:tc>
          <w:tcPr>
            <w:tcW w:w="13992" w:type="dxa"/>
            <w:gridSpan w:val="7"/>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05</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660" w:type="dxa"/>
            <w:gridSpan w:val="3"/>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）：石家庄市人民政府办公室(本级)</w:t>
            </w:r>
          </w:p>
        </w:tc>
        <w:tc>
          <w:tcPr>
            <w:tcW w:w="4659" w:type="dxa"/>
            <w:gridSpan w:val="2"/>
            <w:tcBorders>
              <w:top w:val="nil"/>
              <w:left w:val="nil"/>
              <w:bottom w:val="single" w:color="auto" w:sz="4" w:space="0"/>
              <w:right w:val="nil"/>
            </w:tcBorders>
            <w:vAlign w:val="bottom"/>
          </w:tcPr>
          <w:p>
            <w:pPr>
              <w:widowControl/>
              <w:jc w:val="center"/>
              <w:textAlignment w:val="bottom"/>
              <w:rPr>
                <w:rFonts w:hint="eastAsia" w:asciiTheme="minorEastAsia" w:hAnsiTheme="minorEastAsia" w:cstheme="minorEastAsia"/>
                <w:color w:val="000000"/>
                <w:sz w:val="18"/>
                <w:szCs w:val="18"/>
                <w:lang w:bidi="ar"/>
              </w:rPr>
            </w:pPr>
            <w:r>
              <w:rPr>
                <w:rFonts w:ascii="Times New Roman" w:hAnsi="Times New Roman"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73" w:type="dxa"/>
            <w:gridSpan w:val="2"/>
            <w:tcBorders>
              <w:top w:val="nil"/>
              <w:left w:val="nil"/>
              <w:bottom w:val="single" w:color="auto" w:sz="4" w:space="0"/>
              <w:right w:val="nil"/>
            </w:tcBorders>
            <w:vAlign w:val="bottom"/>
          </w:tcPr>
          <w:p>
            <w:pPr>
              <w:widowControl/>
              <w:jc w:val="right"/>
              <w:textAlignment w:val="bottom"/>
              <w:rPr>
                <w:rFonts w:hint="eastAsia" w:ascii="方正仿宋_GB2312" w:hAnsi="方正仿宋_GB2312" w:eastAsia="方正仿宋_GB2312" w:cs="方正仿宋_GB2312"/>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445"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0560"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r>
      <w:tr>
        <w:tblPrEx>
          <w:tblCellMar>
            <w:top w:w="0" w:type="dxa"/>
            <w:left w:w="108" w:type="dxa"/>
            <w:bottom w:w="0" w:type="dxa"/>
            <w:right w:w="108" w:type="dxa"/>
          </w:tblCellMar>
        </w:tblPrEx>
        <w:trPr>
          <w:trHeight w:val="312" w:hRule="atLeast"/>
        </w:trPr>
        <w:tc>
          <w:tcPr>
            <w:tcW w:w="135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077"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3511"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351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3534"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r>
      <w:tr>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12" w:hRule="atLeast"/>
        </w:trPr>
        <w:tc>
          <w:tcPr>
            <w:tcW w:w="135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2077"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1"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1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c>
          <w:tcPr>
            <w:tcW w:w="3534"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eastAsia="宋体"/>
                <w:color w:val="000000"/>
                <w:sz w:val="18"/>
                <w:szCs w:val="18"/>
              </w:rPr>
            </w:pPr>
          </w:p>
        </w:tc>
      </w:tr>
      <w:tr>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1</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2</w:t>
            </w:r>
          </w:p>
        </w:tc>
        <w:tc>
          <w:tcPr>
            <w:tcW w:w="353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宋体" w:hAnsi="宋体" w:eastAsia="宋体"/>
                <w:color w:val="000000"/>
                <w:sz w:val="18"/>
                <w:szCs w:val="18"/>
              </w:rPr>
            </w:pPr>
            <w:r>
              <w:rPr>
                <w:rFonts w:hint="eastAsia" w:ascii="宋体" w:hAnsi="宋体" w:eastAsia="宋体"/>
                <w:color w:val="000000"/>
                <w:sz w:val="18"/>
                <w:szCs w:val="18"/>
              </w:rPr>
              <w:t>3</w:t>
            </w:r>
          </w:p>
        </w:tc>
      </w:tr>
      <w:tr>
        <w:tblPrEx>
          <w:tblCellMar>
            <w:top w:w="0" w:type="dxa"/>
            <w:left w:w="108" w:type="dxa"/>
            <w:bottom w:w="0" w:type="dxa"/>
            <w:right w:w="108" w:type="dxa"/>
          </w:tblCellMar>
        </w:tblPrEx>
        <w:trPr>
          <w:trHeight w:val="308" w:hRule="atLeast"/>
        </w:trPr>
        <w:tc>
          <w:tcPr>
            <w:tcW w:w="3432"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9,452.58</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4,595.87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cs="Times New Roman"/>
                <w:sz w:val="18"/>
                <w:szCs w:val="18"/>
              </w:rPr>
              <w:t>4,856.72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一般公共服务支出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政府办公厅（室）及相关机构事务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7,930.87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4,856.72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行政运行</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3,074.15</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2010302</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一般行政管理事务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4,456.72</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2010308</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信访事务</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400.00</w:t>
            </w: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社会保障和就业支出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养老支出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968.73</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离退休</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618.92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2080505</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机关事业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基本养老保险缴费支出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349.81</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卫生健康支出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行政事业</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医疗</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2101101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行政</w:t>
            </w:r>
            <w:r>
              <w:rPr>
                <w:rFonts w:hint="eastAsia" w:ascii="方正仿宋_GB2312" w:hAnsi="方正仿宋_GB2312" w:eastAsia="方正仿宋_GB2312" w:cs="方正仿宋_GB2312"/>
                <w:color w:val="000000"/>
                <w:sz w:val="18"/>
                <w:szCs w:val="18"/>
                <w:lang w:eastAsia="zh-CN"/>
              </w:rPr>
              <w:t>部门</w:t>
            </w:r>
            <w:r>
              <w:rPr>
                <w:rFonts w:hint="eastAsia" w:ascii="方正仿宋_GB2312" w:hAnsi="方正仿宋_GB2312" w:eastAsia="方正仿宋_GB2312" w:cs="方正仿宋_GB2312"/>
                <w:color w:val="000000"/>
                <w:sz w:val="18"/>
                <w:szCs w:val="18"/>
              </w:rPr>
              <w:t>医疗</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256.37</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住房保障支出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住房改革支出</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55"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2210201</w:t>
            </w:r>
          </w:p>
        </w:tc>
        <w:tc>
          <w:tcPr>
            <w:tcW w:w="2077" w:type="dxa"/>
            <w:tcBorders>
              <w:top w:val="single" w:color="auto" w:sz="4" w:space="0"/>
              <w:left w:val="single" w:color="auto" w:sz="4" w:space="0"/>
              <w:bottom w:val="single" w:color="auto" w:sz="4" w:space="0"/>
              <w:right w:val="single" w:color="auto" w:sz="4" w:space="0"/>
            </w:tcBorders>
            <w:vAlign w:val="center"/>
          </w:tcPr>
          <w:p>
            <w:pPr>
              <w:jc w:val="left"/>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住房公积金</w:t>
            </w:r>
          </w:p>
        </w:tc>
        <w:tc>
          <w:tcPr>
            <w:tcW w:w="3511"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15" w:type="dxa"/>
            <w:gridSpan w:val="2"/>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r>
              <w:rPr>
                <w:rFonts w:ascii="Times New Roman" w:hAnsi="Times New Roman" w:eastAsia="宋体" w:cs="Times New Roman"/>
                <w:color w:val="000000"/>
                <w:sz w:val="18"/>
                <w:szCs w:val="18"/>
              </w:rPr>
              <w:t>296.62</w:t>
            </w:r>
          </w:p>
        </w:tc>
        <w:tc>
          <w:tcPr>
            <w:tcW w:w="3534"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7"/>
            <w:tcBorders>
              <w:top w:val="single" w:color="auto" w:sz="4" w:space="0"/>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本年度一般公共预算财政拨款支出情况。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2"/>
        <w:tblW w:w="14009" w:type="dxa"/>
        <w:tblInd w:w="0" w:type="dxa"/>
        <w:tblLayout w:type="fixed"/>
        <w:tblCellMar>
          <w:top w:w="0" w:type="dxa"/>
          <w:left w:w="108" w:type="dxa"/>
          <w:bottom w:w="0" w:type="dxa"/>
          <w:right w:w="108" w:type="dxa"/>
        </w:tblCellMar>
      </w:tblPr>
      <w:tblGrid>
        <w:gridCol w:w="738"/>
        <w:gridCol w:w="2324"/>
        <w:gridCol w:w="1648"/>
        <w:gridCol w:w="1203"/>
        <w:gridCol w:w="325"/>
        <w:gridCol w:w="1364"/>
        <w:gridCol w:w="1067"/>
        <w:gridCol w:w="981"/>
        <w:gridCol w:w="2401"/>
        <w:gridCol w:w="1936"/>
        <w:gridCol w:w="22"/>
      </w:tblGrid>
      <w:tr>
        <w:tblPrEx>
          <w:tblCellMar>
            <w:top w:w="0" w:type="dxa"/>
            <w:left w:w="108" w:type="dxa"/>
            <w:bottom w:w="0" w:type="dxa"/>
            <w:right w:w="108" w:type="dxa"/>
          </w:tblCellMar>
        </w:tblPrEx>
        <w:trPr>
          <w:gridAfter w:val="1"/>
          <w:wAfter w:w="22" w:type="dxa"/>
          <w:trHeight w:val="624" w:hRule="atLeast"/>
        </w:trPr>
        <w:tc>
          <w:tcPr>
            <w:tcW w:w="13987" w:type="dxa"/>
            <w:gridSpan w:val="10"/>
            <w:tcBorders>
              <w:top w:val="nil"/>
              <w:left w:val="nil"/>
              <w:bottom w:val="nil"/>
              <w:right w:val="nil"/>
            </w:tcBorders>
            <w:vAlign w:val="bottom"/>
          </w:tcPr>
          <w:p>
            <w:pPr>
              <w:widowControl/>
              <w:jc w:val="center"/>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bCs/>
                <w:sz w:val="32"/>
                <w:szCs w:val="32"/>
              </w:rPr>
              <w:t>一般公共预算财政拨款基本支出决算表</w:t>
            </w:r>
          </w:p>
        </w:tc>
      </w:tr>
      <w:tr>
        <w:tblPrEx>
          <w:tblCellMar>
            <w:top w:w="0" w:type="dxa"/>
            <w:left w:w="108" w:type="dxa"/>
            <w:bottom w:w="0" w:type="dxa"/>
            <w:right w:w="108" w:type="dxa"/>
          </w:tblCellMar>
        </w:tblPrEx>
        <w:trPr>
          <w:gridAfter w:val="1"/>
          <w:wAfter w:w="22" w:type="dxa"/>
          <w:trHeight w:val="300" w:hRule="atLeast"/>
        </w:trPr>
        <w:tc>
          <w:tcPr>
            <w:tcW w:w="13987" w:type="dxa"/>
            <w:gridSpan w:val="10"/>
            <w:tcBorders>
              <w:top w:val="nil"/>
              <w:left w:val="nil"/>
              <w:bottom w:val="nil"/>
              <w:right w:val="nil"/>
            </w:tcBorders>
            <w:vAlign w:val="bottom"/>
          </w:tcPr>
          <w:p>
            <w:pPr>
              <w:widowControl/>
              <w:jc w:val="right"/>
              <w:textAlignment w:val="bottom"/>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06</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90" w:hRule="atLeast"/>
        </w:trPr>
        <w:tc>
          <w:tcPr>
            <w:tcW w:w="6238" w:type="dxa"/>
            <w:gridSpan w:val="5"/>
            <w:tcBorders>
              <w:top w:val="nil"/>
              <w:left w:val="nil"/>
              <w:bottom w:val="single" w:color="auto" w:sz="4" w:space="0"/>
              <w:right w:val="nil"/>
            </w:tcBorders>
            <w:vAlign w:val="bottom"/>
          </w:tcPr>
          <w:p>
            <w:pP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 xml:space="preserve">）：石家庄市人民政府办公室(本级) </w:t>
            </w:r>
            <w:r>
              <w:rPr>
                <w:rFonts w:hint="eastAsia" w:asciiTheme="minorEastAsia" w:hAnsiTheme="minorEastAsia" w:cstheme="minorEastAsia"/>
                <w:color w:val="000000"/>
                <w:sz w:val="18"/>
                <w:szCs w:val="18"/>
                <w:lang w:bidi="ar"/>
              </w:rPr>
              <w:t xml:space="preserve">                                                                   </w:t>
            </w:r>
          </w:p>
        </w:tc>
        <w:tc>
          <w:tcPr>
            <w:tcW w:w="3412" w:type="dxa"/>
            <w:gridSpan w:val="3"/>
            <w:tcBorders>
              <w:top w:val="nil"/>
              <w:left w:val="nil"/>
              <w:bottom w:val="single" w:color="auto" w:sz="4" w:space="0"/>
              <w:right w:val="nil"/>
            </w:tcBorders>
            <w:vAlign w:val="bottom"/>
          </w:tcPr>
          <w:p>
            <w:pPr>
              <w:jc w:val="center"/>
              <w:rPr>
                <w:rFonts w:hint="eastAsia" w:asciiTheme="minorEastAsia" w:hAnsiTheme="minorEastAsia" w:cstheme="minorEastAsia"/>
                <w:color w:val="000000"/>
                <w:sz w:val="18"/>
                <w:szCs w:val="18"/>
                <w:lang w:bidi="ar"/>
              </w:rPr>
            </w:pPr>
            <w:r>
              <w:rPr>
                <w:rFonts w:hint="eastAsia" w:asciiTheme="minorEastAsia" w:hAnsiTheme="minorEastAsia" w:cstheme="minorEastAsia"/>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359" w:type="dxa"/>
            <w:gridSpan w:val="3"/>
            <w:tcBorders>
              <w:top w:val="nil"/>
              <w:left w:val="nil"/>
              <w:bottom w:val="single" w:color="auto" w:sz="4" w:space="0"/>
              <w:right w:val="nil"/>
            </w:tcBorders>
            <w:vAlign w:val="bottom"/>
          </w:tcPr>
          <w:p>
            <w:pPr>
              <w:jc w:val="right"/>
              <w:rPr>
                <w:rFonts w:hint="eastAsia" w:asciiTheme="minorEastAsia" w:hAnsiTheme="minorEastAsia" w:cstheme="minorEastAsia"/>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gridAfter w:val="1"/>
          <w:wAfter w:w="22" w:type="dxa"/>
          <w:trHeight w:val="510" w:hRule="atLeast"/>
        </w:trPr>
        <w:tc>
          <w:tcPr>
            <w:tcW w:w="5913" w:type="dxa"/>
            <w:gridSpan w:val="4"/>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人员经费</w:t>
            </w:r>
          </w:p>
        </w:tc>
        <w:tc>
          <w:tcPr>
            <w:tcW w:w="8074"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公用经费</w:t>
            </w: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科目代码</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64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067"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36"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金额</w:t>
            </w: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3,571.79</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405.15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债务利息及费用支出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基本工资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781.35</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23.35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国内债务付息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津贴补贴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832.91</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印刷费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30702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国外债务付息</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奖金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hint="eastAsia" w:ascii="Times New Roman" w:hAnsi="Times New Roman" w:cs="Times New Roman"/>
                <w:sz w:val="18"/>
                <w:szCs w:val="18"/>
              </w:rPr>
              <w:t>790.18</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咨询费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伙食补助费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手续费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房屋建筑物购建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绩效工资</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水费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办公设备购置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机关事业</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基本养老保险缴费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349.81</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专用设备购置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职业年金缴费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邮电费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hint="eastAsia" w:ascii="Times New Roman" w:hAnsi="Times New Roman" w:cs="Times New Roman"/>
                <w:sz w:val="18"/>
                <w:szCs w:val="18"/>
              </w:rPr>
              <w:t>119.23</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基础设施建设</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职工基本医疗保险缴费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144.53</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取暖费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31006</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大型修缮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公务员医疗补助缴费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111.84</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30209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物业管理费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信息网络及软件购置更新</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其他社会保障缴费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差旅费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68.90</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物资储备</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住房公积金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296.62</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30212</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土地补偿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30114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30213</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维修（护）费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安置补助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30199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其他工资福利支出</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264.56</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租赁费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地上附着物和青苗补偿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618.92</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会议费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拆迁补偿</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离休费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52.03</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培训费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0.35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30302</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退休费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566.89</w:t>
            </w: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31019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其他交通工具购置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30303</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退职（役）费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30218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专用材料费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文物和陈列品购置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30304</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抚恤金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30224</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被装购置费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31022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无形资产购置</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30305</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生活补助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30225</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专用燃料费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31099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其他资本性支出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30306</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救济费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30226</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劳务费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30307</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医疗费补助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30227</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委托业务费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31201</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资本金注入</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30308</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助学金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30228</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工会经费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30.28</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31203</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政府投资基金股权投资</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30309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奖励金</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30229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福利费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19.65</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31204</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费用补贴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30310</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个人农业生产补贴</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30231</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31205</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利息补贴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30311</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代缴社会保险费</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30239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其他交通费用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131.99</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31299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其他对企业补助</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30399</w:t>
            </w:r>
          </w:p>
        </w:tc>
        <w:tc>
          <w:tcPr>
            <w:tcW w:w="232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其他对个人和家庭的补助</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30240</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税金及附加费用</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30299</w:t>
            </w:r>
          </w:p>
        </w:tc>
        <w:tc>
          <w:tcPr>
            <w:tcW w:w="1689"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其他商品和服务支出</w:t>
            </w:r>
          </w:p>
        </w:tc>
        <w:tc>
          <w:tcPr>
            <w:tcW w:w="1067"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r>
              <w:rPr>
                <w:rFonts w:ascii="Times New Roman" w:hAnsi="Times New Roman" w:cs="Times New Roman"/>
                <w:sz w:val="18"/>
                <w:szCs w:val="18"/>
              </w:rPr>
              <w:t>11.40</w:t>
            </w: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39907</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国家赔偿费用支出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39908</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对民间非营利组织和群众性自治组织补贴</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39909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经常性赠与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39910</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资本性赠与</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738" w:type="dxa"/>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p>
        </w:tc>
        <w:tc>
          <w:tcPr>
            <w:tcW w:w="2324"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48"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203" w:type="dxa"/>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689" w:type="dxa"/>
            <w:gridSpan w:val="2"/>
            <w:tcBorders>
              <w:top w:val="single" w:color="auto" w:sz="4" w:space="0"/>
              <w:left w:val="single" w:color="auto" w:sz="4" w:space="0"/>
              <w:bottom w:val="single" w:color="auto" w:sz="4" w:space="0"/>
              <w:right w:val="single" w:color="auto" w:sz="4" w:space="0"/>
            </w:tcBorders>
            <w:vAlign w:val="center"/>
          </w:tcPr>
          <w:p>
            <w:pPr>
              <w:jc w:val="left"/>
              <w:rPr>
                <w:rFonts w:hint="eastAsia" w:asciiTheme="minorEastAsia" w:hAnsiTheme="minorEastAsia" w:cstheme="minorEastAsia"/>
                <w:color w:val="000000"/>
                <w:sz w:val="18"/>
                <w:szCs w:val="18"/>
              </w:rPr>
            </w:pPr>
          </w:p>
        </w:tc>
        <w:tc>
          <w:tcPr>
            <w:tcW w:w="1067" w:type="dxa"/>
            <w:tcBorders>
              <w:top w:val="single" w:color="auto" w:sz="4" w:space="0"/>
              <w:left w:val="single" w:color="auto" w:sz="4" w:space="0"/>
              <w:bottom w:val="single" w:color="auto" w:sz="4" w:space="0"/>
              <w:right w:val="single" w:color="auto" w:sz="4" w:space="0"/>
            </w:tcBorders>
            <w:vAlign w:val="center"/>
          </w:tcPr>
          <w:p>
            <w:pPr>
              <w:jc w:val="left"/>
              <w:rPr>
                <w:rFonts w:ascii="Times New Roman" w:hAnsi="Times New Roman" w:cs="Times New Roman"/>
                <w:color w:val="000000"/>
                <w:sz w:val="18"/>
                <w:szCs w:val="18"/>
              </w:rPr>
            </w:pPr>
          </w:p>
        </w:tc>
        <w:tc>
          <w:tcPr>
            <w:tcW w:w="981"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cs="Times New Roman"/>
                <w:color w:val="000000"/>
                <w:sz w:val="18"/>
                <w:szCs w:val="18"/>
              </w:rPr>
            </w:pPr>
            <w:r>
              <w:rPr>
                <w:rFonts w:ascii="Times New Roman" w:hAnsi="Times New Roman" w:cs="Times New Roman"/>
                <w:color w:val="000000"/>
                <w:sz w:val="18"/>
                <w:szCs w:val="18"/>
                <w:lang w:bidi="ar"/>
              </w:rPr>
              <w:t>39999</w:t>
            </w:r>
          </w:p>
        </w:tc>
        <w:tc>
          <w:tcPr>
            <w:tcW w:w="2401"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其他支出</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color w:val="000000"/>
                <w:sz w:val="18"/>
                <w:szCs w:val="18"/>
              </w:rPr>
            </w:pPr>
          </w:p>
        </w:tc>
      </w:tr>
      <w:tr>
        <w:tblPrEx>
          <w:tblCellMar>
            <w:top w:w="0" w:type="dxa"/>
            <w:left w:w="108" w:type="dxa"/>
            <w:bottom w:w="0" w:type="dxa"/>
            <w:right w:w="108" w:type="dxa"/>
          </w:tblCellMar>
        </w:tblPrEx>
        <w:trPr>
          <w:gridAfter w:val="1"/>
          <w:wAfter w:w="22" w:type="dxa"/>
          <w:trHeight w:val="510" w:hRule="atLeast"/>
        </w:trPr>
        <w:tc>
          <w:tcPr>
            <w:tcW w:w="3062" w:type="dxa"/>
            <w:gridSpan w:val="2"/>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cs="Times New Roman"/>
                <w:sz w:val="18"/>
                <w:szCs w:val="18"/>
              </w:rPr>
            </w:pPr>
            <w:r>
              <w:rPr>
                <w:rFonts w:hint="eastAsia" w:ascii="方正仿宋_GB2312" w:hAnsi="方正仿宋_GB2312" w:eastAsia="方正仿宋_GB2312" w:cs="方正仿宋_GB2312"/>
                <w:color w:val="000000"/>
                <w:sz w:val="18"/>
                <w:szCs w:val="18"/>
                <w:lang w:bidi="ar"/>
              </w:rPr>
              <w:t>人员经费合计</w:t>
            </w:r>
          </w:p>
        </w:tc>
        <w:tc>
          <w:tcPr>
            <w:tcW w:w="1648" w:type="dxa"/>
            <w:tcBorders>
              <w:top w:val="single" w:color="auto" w:sz="4" w:space="0"/>
              <w:left w:val="single" w:color="auto" w:sz="4" w:space="0"/>
              <w:bottom w:val="single" w:color="auto" w:sz="4" w:space="0"/>
              <w:right w:val="single" w:color="auto" w:sz="4" w:space="0"/>
            </w:tcBorders>
            <w:vAlign w:val="center"/>
          </w:tcPr>
          <w:p>
            <w:pPr>
              <w:jc w:val="right"/>
              <w:rPr>
                <w:rFonts w:ascii="Times New Roman" w:hAnsi="Times New Roman" w:cs="Times New Roman"/>
                <w:sz w:val="18"/>
                <w:szCs w:val="18"/>
              </w:rPr>
            </w:pPr>
            <w:r>
              <w:rPr>
                <w:rFonts w:ascii="Times New Roman" w:hAnsi="Times New Roman" w:cs="Times New Roman"/>
                <w:sz w:val="18"/>
                <w:szCs w:val="18"/>
              </w:rPr>
              <w:t>4,190.72</w:t>
            </w:r>
          </w:p>
        </w:tc>
        <w:tc>
          <w:tcPr>
            <w:tcW w:w="7341" w:type="dxa"/>
            <w:gridSpan w:val="6"/>
            <w:tcBorders>
              <w:top w:val="single" w:color="auto" w:sz="4" w:space="0"/>
              <w:left w:val="single" w:color="auto" w:sz="4" w:space="0"/>
              <w:bottom w:val="single" w:color="auto" w:sz="4" w:space="0"/>
              <w:right w:val="single" w:color="auto" w:sz="4" w:space="0"/>
            </w:tcBorders>
            <w:vAlign w:val="center"/>
          </w:tcPr>
          <w:p>
            <w:pPr>
              <w:jc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公用经费合计</w:t>
            </w:r>
          </w:p>
        </w:tc>
        <w:tc>
          <w:tcPr>
            <w:tcW w:w="1936" w:type="dxa"/>
            <w:tcBorders>
              <w:top w:val="single" w:color="auto" w:sz="4" w:space="0"/>
              <w:left w:val="single" w:color="auto" w:sz="4" w:space="0"/>
              <w:bottom w:val="single" w:color="auto" w:sz="4" w:space="0"/>
              <w:right w:val="single" w:color="auto" w:sz="4" w:space="0"/>
            </w:tcBorders>
            <w:vAlign w:val="center"/>
          </w:tcPr>
          <w:p>
            <w:pPr>
              <w:jc w:val="right"/>
              <w:rPr>
                <w:rFonts w:hint="eastAsia" w:asciiTheme="minorEastAsia" w:hAnsiTheme="minorEastAsia" w:cstheme="minorEastAsia"/>
                <w:color w:val="000000"/>
                <w:sz w:val="18"/>
                <w:szCs w:val="18"/>
              </w:rPr>
            </w:pPr>
            <w:r>
              <w:rPr>
                <w:rFonts w:ascii="Times New Roman" w:hAnsi="Times New Roman" w:cs="Times New Roman"/>
                <w:sz w:val="18"/>
                <w:szCs w:val="18"/>
              </w:rPr>
              <w:t>405.15</w:t>
            </w:r>
          </w:p>
        </w:tc>
      </w:tr>
      <w:tr>
        <w:tblPrEx>
          <w:tblCellMar>
            <w:top w:w="0" w:type="dxa"/>
            <w:left w:w="108" w:type="dxa"/>
            <w:bottom w:w="0" w:type="dxa"/>
            <w:right w:w="108" w:type="dxa"/>
          </w:tblCellMar>
        </w:tblPrEx>
        <w:trPr>
          <w:gridAfter w:val="1"/>
          <w:wAfter w:w="22" w:type="dxa"/>
          <w:trHeight w:val="510" w:hRule="atLeast"/>
        </w:trPr>
        <w:tc>
          <w:tcPr>
            <w:tcW w:w="13987" w:type="dxa"/>
            <w:gridSpan w:val="10"/>
            <w:tcBorders>
              <w:top w:val="single" w:color="auto" w:sz="4" w:space="0"/>
              <w:left w:val="nil"/>
              <w:bottom w:val="nil"/>
              <w:right w:val="nil"/>
            </w:tcBorders>
            <w:vAlign w:val="center"/>
          </w:tcPr>
          <w:p>
            <w:pPr>
              <w:widowControl/>
              <w:jc w:val="left"/>
              <w:textAlignment w:val="center"/>
              <w:rPr>
                <w:rFonts w:hint="eastAsia" w:asciiTheme="minorEastAsia" w:hAnsiTheme="minorEastAsia" w:cstheme="minorEastAsia"/>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本年度一般公共预算财政拨款基本支出明细情况。</w:t>
            </w:r>
          </w:p>
        </w:tc>
      </w:tr>
    </w:tbl>
    <w:p>
      <w:pPr>
        <w:rPr>
          <w:rFonts w:hint="eastAsia" w:ascii="仿宋_GB2312" w:hAnsi="宋体" w:eastAsia="仿宋_GB2312"/>
          <w:b/>
          <w:sz w:val="32"/>
          <w:szCs w:val="32"/>
        </w:rPr>
      </w:pPr>
      <w:r>
        <w:rPr>
          <w:rFonts w:hint="eastAsia" w:ascii="仿宋_GB2312" w:hAnsi="宋体" w:eastAsia="仿宋_GB2312"/>
          <w:b/>
          <w:sz w:val="32"/>
          <w:szCs w:val="32"/>
        </w:rPr>
        <w:br w:type="page"/>
      </w:r>
    </w:p>
    <w:p>
      <w:pPr>
        <w:jc w:val="center"/>
        <w:rPr>
          <w:rFonts w:hint="eastAsia" w:ascii="仿宋_GB2312" w:hAnsi="宋体" w:eastAsia="仿宋_GB2312"/>
          <w:b/>
          <w:sz w:val="32"/>
          <w:szCs w:val="32"/>
        </w:rPr>
      </w:pPr>
    </w:p>
    <w:tbl>
      <w:tblPr>
        <w:tblStyle w:val="12"/>
        <w:tblW w:w="13992" w:type="dxa"/>
        <w:tblInd w:w="0" w:type="dxa"/>
        <w:tblLayout w:type="fixed"/>
        <w:tblCellMar>
          <w:top w:w="0" w:type="dxa"/>
          <w:left w:w="108" w:type="dxa"/>
          <w:bottom w:w="0" w:type="dxa"/>
          <w:right w:w="108" w:type="dxa"/>
        </w:tblCellMar>
      </w:tblPr>
      <w:tblGrid>
        <w:gridCol w:w="811"/>
        <w:gridCol w:w="1293"/>
        <w:gridCol w:w="1980"/>
        <w:gridCol w:w="673"/>
        <w:gridCol w:w="1311"/>
        <w:gridCol w:w="1980"/>
        <w:gridCol w:w="1335"/>
        <w:gridCol w:w="649"/>
        <w:gridCol w:w="1980"/>
        <w:gridCol w:w="1980"/>
      </w:tblGrid>
      <w:tr>
        <w:tblPrEx>
          <w:tblCellMar>
            <w:top w:w="0" w:type="dxa"/>
            <w:left w:w="108" w:type="dxa"/>
            <w:bottom w:w="0" w:type="dxa"/>
            <w:right w:w="108" w:type="dxa"/>
          </w:tblCellMar>
        </w:tblPrEx>
        <w:trPr>
          <w:trHeight w:val="550" w:hRule="atLeast"/>
        </w:trPr>
        <w:tc>
          <w:tcPr>
            <w:tcW w:w="13992" w:type="dxa"/>
            <w:gridSpan w:val="10"/>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政府性基金预算财政拨款收入支出决算表</w:t>
            </w:r>
          </w:p>
        </w:tc>
      </w:tr>
      <w:tr>
        <w:tblPrEx>
          <w:tblCellMar>
            <w:top w:w="0" w:type="dxa"/>
            <w:left w:w="108" w:type="dxa"/>
            <w:bottom w:w="0" w:type="dxa"/>
            <w:right w:w="108" w:type="dxa"/>
          </w:tblCellMar>
        </w:tblPrEx>
        <w:trPr>
          <w:trHeight w:val="90" w:hRule="atLeast"/>
        </w:trPr>
        <w:tc>
          <w:tcPr>
            <w:tcW w:w="13992" w:type="dxa"/>
            <w:gridSpan w:val="10"/>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宋体" w:cs="Times New Roman"/>
                <w:color w:val="000000"/>
                <w:sz w:val="18"/>
                <w:szCs w:val="18"/>
                <w:lang w:bidi="ar"/>
              </w:rPr>
              <w:t>07</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57" w:type="dxa"/>
            <w:gridSpan w:val="4"/>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 xml:space="preserve">）：石家庄市人民政府办公室(本级) </w:t>
            </w:r>
            <w:r>
              <w:rPr>
                <w:rFonts w:hint="eastAsia" w:ascii="宋体" w:hAnsi="宋体" w:eastAsia="宋体"/>
                <w:color w:val="000000"/>
                <w:sz w:val="18"/>
                <w:szCs w:val="18"/>
                <w:lang w:bidi="ar"/>
              </w:rPr>
              <w:t xml:space="preserve">                                                                                     </w:t>
            </w:r>
          </w:p>
        </w:tc>
        <w:tc>
          <w:tcPr>
            <w:tcW w:w="4626" w:type="dxa"/>
            <w:gridSpan w:val="3"/>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09"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w:t>
            </w:r>
          </w:p>
        </w:tc>
        <w:tc>
          <w:tcPr>
            <w:tcW w:w="1980" w:type="dxa"/>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年初结转和结余</w:t>
            </w:r>
          </w:p>
        </w:tc>
        <w:tc>
          <w:tcPr>
            <w:tcW w:w="1984" w:type="dxa"/>
            <w:gridSpan w:val="2"/>
            <w:vMerge w:val="restart"/>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本年收入</w:t>
            </w:r>
          </w:p>
        </w:tc>
        <w:tc>
          <w:tcPr>
            <w:tcW w:w="5944" w:type="dxa"/>
            <w:gridSpan w:val="4"/>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本年支出</w:t>
            </w:r>
          </w:p>
        </w:tc>
        <w:tc>
          <w:tcPr>
            <w:tcW w:w="1980" w:type="dxa"/>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年末结转和结余</w:t>
            </w:r>
          </w:p>
        </w:tc>
      </w:tr>
      <w:tr>
        <w:tblPrEx>
          <w:tblCellMar>
            <w:top w:w="0" w:type="dxa"/>
            <w:left w:w="108" w:type="dxa"/>
            <w:bottom w:w="0" w:type="dxa"/>
            <w:right w:w="108" w:type="dxa"/>
          </w:tblCellMar>
        </w:tblPrEx>
        <w:trPr>
          <w:trHeight w:val="312" w:hRule="atLeast"/>
        </w:trPr>
        <w:tc>
          <w:tcPr>
            <w:tcW w:w="811"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1293"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科目名称</w:t>
            </w: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小计</w:t>
            </w:r>
          </w:p>
        </w:tc>
        <w:tc>
          <w:tcPr>
            <w:tcW w:w="1984" w:type="dxa"/>
            <w:gridSpan w:val="2"/>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基本支出</w:t>
            </w:r>
          </w:p>
        </w:tc>
        <w:tc>
          <w:tcPr>
            <w:tcW w:w="198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项目支出</w:t>
            </w:r>
          </w:p>
        </w:tc>
        <w:tc>
          <w:tcPr>
            <w:tcW w:w="1980" w:type="dxa"/>
            <w:vMerge w:val="continue"/>
            <w:tcBorders>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结转</w:t>
            </w:r>
          </w:p>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结余</w:t>
            </w:r>
          </w:p>
        </w:tc>
      </w:tr>
      <w:tr>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811" w:type="dxa"/>
            <w:vMerge w:val="continue"/>
            <w:tcBorders>
              <w:top w:val="nil"/>
              <w:left w:val="single" w:color="000000" w:sz="4" w:space="0"/>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293" w:type="dxa"/>
            <w:vMerge w:val="continue"/>
            <w:tcBorders>
              <w:top w:val="nil"/>
              <w:left w:val="nil"/>
              <w:bottom w:val="single" w:color="auto"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single" w:color="000000" w:sz="4" w:space="0"/>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4" w:type="dxa"/>
            <w:gridSpan w:val="2"/>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98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栏次</w:t>
            </w:r>
          </w:p>
        </w:tc>
        <w:tc>
          <w:tcPr>
            <w:tcW w:w="1980" w:type="dxa"/>
            <w:tcBorders>
              <w:top w:val="nil"/>
              <w:left w:val="single" w:color="auto"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984"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98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984"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98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98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6</w:t>
            </w:r>
          </w:p>
        </w:tc>
      </w:tr>
      <w:tr>
        <w:tblPrEx>
          <w:tblCellMar>
            <w:top w:w="0" w:type="dxa"/>
            <w:left w:w="108" w:type="dxa"/>
            <w:bottom w:w="0" w:type="dxa"/>
            <w:right w:w="108" w:type="dxa"/>
          </w:tblCellMar>
        </w:tblPrEx>
        <w:trPr>
          <w:trHeight w:val="869" w:hRule="atLeast"/>
        </w:trPr>
        <w:tc>
          <w:tcPr>
            <w:tcW w:w="2104" w:type="dxa"/>
            <w:gridSpan w:val="2"/>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980" w:type="dxa"/>
            <w:tcBorders>
              <w:top w:val="nil"/>
              <w:left w:val="single" w:color="auto" w:sz="4" w:space="0"/>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4"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1980"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10"/>
            <w:tcBorders>
              <w:top w:val="nil"/>
              <w:left w:val="nil"/>
              <w:bottom w:val="nil"/>
              <w:right w:val="nil"/>
            </w:tcBorders>
            <w:vAlign w:val="center"/>
          </w:tcPr>
          <w:p>
            <w:pP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本年度政府性基金预算财政拨款收入、支出及结转和结余情况。（如无相关数据，则需注明空表列示）</w:t>
            </w:r>
            <w:r>
              <w:rPr>
                <w:rFonts w:hint="eastAsia" w:ascii="方正仿宋_GB2312" w:hAnsi="方正仿宋_GB2312" w:eastAsia="方正仿宋_GB2312" w:cs="方正仿宋_GB2312"/>
                <w:color w:val="000000"/>
                <w:sz w:val="18"/>
                <w:szCs w:val="18"/>
                <w:lang w:bidi="ar"/>
              </w:rPr>
              <w:br w:type="page"/>
            </w:r>
          </w:p>
        </w:tc>
      </w:tr>
    </w:tbl>
    <w:p>
      <w:pPr>
        <w:rPr>
          <w:rFonts w:hint="eastAsia" w:ascii="仿宋_GB2312" w:hAnsi="宋体" w:eastAsia="仿宋_GB2312"/>
          <w:b/>
          <w:sz w:val="32"/>
          <w:szCs w:val="32"/>
        </w:rPr>
      </w:pPr>
      <w:r>
        <w:rPr>
          <w:rFonts w:hint="eastAsia" w:ascii="仿宋_GB2312" w:hAnsi="宋体" w:eastAsia="仿宋_GB2312"/>
          <w:b/>
          <w:sz w:val="32"/>
          <w:szCs w:val="32"/>
        </w:rPr>
        <w:t>备注：</w:t>
      </w:r>
      <w:r>
        <w:rPr>
          <w:rFonts w:hint="eastAsia" w:ascii="仿宋_GB2312" w:hAnsi="宋体" w:eastAsia="仿宋_GB2312"/>
          <w:b/>
          <w:sz w:val="32"/>
          <w:szCs w:val="32"/>
          <w:lang w:eastAsia="zh-CN"/>
        </w:rPr>
        <w:t>我部门无</w:t>
      </w:r>
      <w:r>
        <w:rPr>
          <w:rFonts w:hint="eastAsia" w:ascii="方正仿宋_GB2312" w:hAnsi="方正仿宋_GB2312" w:eastAsia="方正仿宋_GB2312" w:cs="方正仿宋_GB2312"/>
          <w:b/>
          <w:bCs w:val="0"/>
          <w:sz w:val="32"/>
          <w:szCs w:val="32"/>
        </w:rPr>
        <w:t>政府性基金预算财政拨款收入支出</w:t>
      </w:r>
      <w:r>
        <w:rPr>
          <w:rFonts w:hint="eastAsia" w:ascii="仿宋_GB2312" w:hAnsi="宋体" w:eastAsia="仿宋_GB2312"/>
          <w:b/>
          <w:bCs w:val="0"/>
          <w:sz w:val="32"/>
          <w:szCs w:val="32"/>
        </w:rPr>
        <w:t>。</w:t>
      </w:r>
    </w:p>
    <w:p>
      <w:pPr>
        <w:rPr>
          <w:rFonts w:hint="eastAsia" w:ascii="仿宋_GB2312" w:hAnsi="宋体" w:eastAsia="仿宋_GB2312"/>
          <w:b/>
          <w:sz w:val="32"/>
          <w:szCs w:val="32"/>
        </w:rPr>
      </w:pPr>
      <w:r>
        <w:rPr>
          <w:rFonts w:hint="eastAsia" w:ascii="仿宋_GB2312" w:hAnsi="宋体" w:eastAsia="仿宋_GB2312"/>
          <w:b/>
          <w:sz w:val="32"/>
          <w:szCs w:val="32"/>
        </w:rPr>
        <w:br w:type="page"/>
      </w:r>
    </w:p>
    <w:p>
      <w:pPr>
        <w:widowControl/>
        <w:jc w:val="center"/>
        <w:textAlignment w:val="bottom"/>
        <w:rPr>
          <w:rFonts w:hint="eastAsia" w:ascii="宋体" w:hAnsi="宋体" w:eastAsia="宋体"/>
          <w:spacing w:val="-2"/>
          <w:sz w:val="20"/>
        </w:rPr>
      </w:pPr>
    </w:p>
    <w:tbl>
      <w:tblPr>
        <w:tblStyle w:val="12"/>
        <w:tblW w:w="13992" w:type="dxa"/>
        <w:tblInd w:w="0" w:type="dxa"/>
        <w:tblLayout w:type="fixed"/>
        <w:tblCellMar>
          <w:top w:w="0" w:type="dxa"/>
          <w:left w:w="108" w:type="dxa"/>
          <w:bottom w:w="0" w:type="dxa"/>
          <w:right w:w="108" w:type="dxa"/>
        </w:tblCellMar>
      </w:tblPr>
      <w:tblGrid>
        <w:gridCol w:w="3510"/>
        <w:gridCol w:w="1271"/>
        <w:gridCol w:w="2258"/>
        <w:gridCol w:w="2317"/>
        <w:gridCol w:w="8"/>
        <w:gridCol w:w="78"/>
        <w:gridCol w:w="2230"/>
        <w:gridCol w:w="17"/>
        <w:gridCol w:w="2303"/>
      </w:tblGrid>
      <w:tr>
        <w:tblPrEx>
          <w:tblCellMar>
            <w:top w:w="0" w:type="dxa"/>
            <w:left w:w="108" w:type="dxa"/>
            <w:bottom w:w="0" w:type="dxa"/>
            <w:right w:w="108" w:type="dxa"/>
          </w:tblCellMar>
        </w:tblPrEx>
        <w:trPr>
          <w:trHeight w:val="550" w:hRule="atLeast"/>
        </w:trPr>
        <w:tc>
          <w:tcPr>
            <w:tcW w:w="13992" w:type="dxa"/>
            <w:gridSpan w:val="9"/>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国有资本经营预算财政拨款支出决算表</w:t>
            </w:r>
          </w:p>
        </w:tc>
      </w:tr>
      <w:tr>
        <w:tblPrEx>
          <w:tblCellMar>
            <w:top w:w="0" w:type="dxa"/>
            <w:left w:w="108" w:type="dxa"/>
            <w:bottom w:w="0" w:type="dxa"/>
            <w:right w:w="108" w:type="dxa"/>
          </w:tblCellMar>
        </w:tblPrEx>
        <w:trPr>
          <w:trHeight w:val="300" w:hRule="atLeast"/>
        </w:trPr>
        <w:tc>
          <w:tcPr>
            <w:tcW w:w="13992" w:type="dxa"/>
            <w:gridSpan w:val="9"/>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08</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300" w:hRule="atLeast"/>
        </w:trPr>
        <w:tc>
          <w:tcPr>
            <w:tcW w:w="4781" w:type="dxa"/>
            <w:gridSpan w:val="2"/>
            <w:tcBorders>
              <w:top w:val="nil"/>
              <w:left w:val="nil"/>
              <w:bottom w:val="single" w:color="auto" w:sz="4" w:space="0"/>
              <w:right w:val="nil"/>
            </w:tcBorders>
            <w:vAlign w:val="bottom"/>
          </w:tcPr>
          <w:p>
            <w:pPr>
              <w:widowControl/>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）：石家庄市人民政府办公室(本级)</w:t>
            </w:r>
          </w:p>
        </w:tc>
        <w:tc>
          <w:tcPr>
            <w:tcW w:w="4661" w:type="dxa"/>
            <w:gridSpan w:val="4"/>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550" w:type="dxa"/>
            <w:gridSpan w:val="3"/>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312" w:hRule="atLeast"/>
        </w:trPr>
        <w:tc>
          <w:tcPr>
            <w:tcW w:w="7039" w:type="dxa"/>
            <w:gridSpan w:val="3"/>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 xml:space="preserve"> 项目</w:t>
            </w:r>
          </w:p>
        </w:tc>
        <w:tc>
          <w:tcPr>
            <w:tcW w:w="6953" w:type="dxa"/>
            <w:gridSpan w:val="6"/>
            <w:vMerge w:val="restart"/>
            <w:tcBorders>
              <w:top w:val="single" w:color="auto" w:sz="4" w:space="0"/>
              <w:left w:val="nil"/>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本年支出</w:t>
            </w:r>
          </w:p>
        </w:tc>
      </w:tr>
      <w:tr>
        <w:tblPrEx>
          <w:tblCellMar>
            <w:top w:w="0" w:type="dxa"/>
            <w:left w:w="108" w:type="dxa"/>
            <w:bottom w:w="0" w:type="dxa"/>
            <w:right w:w="108" w:type="dxa"/>
          </w:tblCellMar>
        </w:tblPrEx>
        <w:trPr>
          <w:trHeight w:val="312" w:hRule="atLeast"/>
        </w:trPr>
        <w:tc>
          <w:tcPr>
            <w:tcW w:w="7039" w:type="dxa"/>
            <w:gridSpan w:val="3"/>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c>
          <w:tcPr>
            <w:tcW w:w="6953" w:type="dxa"/>
            <w:gridSpan w:val="6"/>
            <w:vMerge w:val="continue"/>
            <w:tcBorders>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12" w:hRule="atLeast"/>
        </w:trPr>
        <w:tc>
          <w:tcPr>
            <w:tcW w:w="3510"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科目代码</w:t>
            </w:r>
          </w:p>
        </w:tc>
        <w:tc>
          <w:tcPr>
            <w:tcW w:w="3529"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科目名称</w:t>
            </w:r>
          </w:p>
        </w:tc>
        <w:tc>
          <w:tcPr>
            <w:tcW w:w="2325" w:type="dxa"/>
            <w:gridSpan w:val="2"/>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合计</w:t>
            </w:r>
          </w:p>
        </w:tc>
        <w:tc>
          <w:tcPr>
            <w:tcW w:w="2325" w:type="dxa"/>
            <w:gridSpan w:val="3"/>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基本支出</w:t>
            </w:r>
          </w:p>
        </w:tc>
        <w:tc>
          <w:tcPr>
            <w:tcW w:w="2303" w:type="dxa"/>
            <w:vMerge w:val="restart"/>
            <w:tcBorders>
              <w:top w:val="nil"/>
              <w:left w:val="nil"/>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rPr>
              <w:t>项目支出</w:t>
            </w:r>
          </w:p>
        </w:tc>
      </w:tr>
      <w:tr>
        <w:tblPrEx>
          <w:tblCellMar>
            <w:top w:w="0" w:type="dxa"/>
            <w:left w:w="108" w:type="dxa"/>
            <w:bottom w:w="0" w:type="dxa"/>
            <w:right w:w="108" w:type="dxa"/>
          </w:tblCellMar>
        </w:tblPrEx>
        <w:trPr>
          <w:trHeight w:val="312" w:hRule="atLeast"/>
        </w:trPr>
        <w:tc>
          <w:tcPr>
            <w:tcW w:w="3510"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3529"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2"/>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25" w:type="dxa"/>
            <w:gridSpan w:val="3"/>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2303" w:type="dxa"/>
            <w:vMerge w:val="continue"/>
            <w:tcBorders>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栏次</w:t>
            </w:r>
          </w:p>
        </w:tc>
        <w:tc>
          <w:tcPr>
            <w:tcW w:w="2317"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1</w:t>
            </w:r>
          </w:p>
        </w:tc>
        <w:tc>
          <w:tcPr>
            <w:tcW w:w="2316" w:type="dxa"/>
            <w:gridSpan w:val="3"/>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2</w:t>
            </w:r>
          </w:p>
        </w:tc>
        <w:tc>
          <w:tcPr>
            <w:tcW w:w="232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hint="eastAsia" w:ascii="Times New Roman" w:hAnsi="Times New Roman" w:eastAsia="方正仿宋_GB2312" w:cs="Times New Roman"/>
                <w:color w:val="000000"/>
                <w:sz w:val="18"/>
                <w:szCs w:val="18"/>
              </w:rPr>
              <w:t>3</w:t>
            </w:r>
          </w:p>
        </w:tc>
      </w:tr>
      <w:tr>
        <w:tblPrEx>
          <w:tblCellMar>
            <w:top w:w="0" w:type="dxa"/>
            <w:left w:w="108" w:type="dxa"/>
            <w:bottom w:w="0" w:type="dxa"/>
            <w:right w:w="108" w:type="dxa"/>
          </w:tblCellMar>
        </w:tblPrEx>
        <w:trPr>
          <w:trHeight w:val="308" w:hRule="atLeast"/>
        </w:trPr>
        <w:tc>
          <w:tcPr>
            <w:tcW w:w="7039" w:type="dxa"/>
            <w:gridSpan w:val="3"/>
            <w:tcBorders>
              <w:top w:val="nil"/>
              <w:left w:val="nil"/>
              <w:bottom w:val="single" w:color="000000" w:sz="4" w:space="0"/>
              <w:right w:val="single" w:color="000000" w:sz="4" w:space="0"/>
            </w:tcBorders>
            <w:vAlign w:val="center"/>
          </w:tcPr>
          <w:p>
            <w:pPr>
              <w:jc w:val="center"/>
              <w:rPr>
                <w:rFonts w:ascii="Times New Roman" w:hAnsi="Times New Roman" w:eastAsia="宋体" w:cs="Times New Roman"/>
                <w:color w:val="000000"/>
                <w:sz w:val="18"/>
                <w:szCs w:val="18"/>
              </w:rPr>
            </w:pPr>
            <w:r>
              <w:rPr>
                <w:rFonts w:hint="eastAsia" w:ascii="Times New Roman" w:hAnsi="Times New Roman" w:eastAsia="方正仿宋_GB2312" w:cs="Times New Roman"/>
                <w:color w:val="000000"/>
                <w:sz w:val="18"/>
                <w:szCs w:val="18"/>
              </w:rPr>
              <w:t>合计</w:t>
            </w:r>
          </w:p>
        </w:tc>
        <w:tc>
          <w:tcPr>
            <w:tcW w:w="2317" w:type="dxa"/>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16" w:type="dxa"/>
            <w:gridSpan w:val="3"/>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c>
          <w:tcPr>
            <w:tcW w:w="2320" w:type="dxa"/>
            <w:gridSpan w:val="2"/>
            <w:tcBorders>
              <w:top w:val="nil"/>
              <w:left w:val="nil"/>
              <w:bottom w:val="single" w:color="000000" w:sz="4" w:space="0"/>
              <w:right w:val="single" w:color="000000" w:sz="4" w:space="0"/>
            </w:tcBorders>
            <w:vAlign w:val="center"/>
          </w:tcPr>
          <w:p>
            <w:pPr>
              <w:jc w:val="right"/>
              <w:rPr>
                <w:rFonts w:ascii="Times New Roman" w:hAnsi="Times New Roman" w:eastAsia="宋体" w:cs="Times New Roman"/>
                <w:color w:val="000000"/>
                <w:sz w:val="18"/>
                <w:szCs w:val="18"/>
              </w:rPr>
            </w:pPr>
          </w:p>
        </w:tc>
      </w:tr>
      <w:tr>
        <w:tblPrEx>
          <w:tblCellMar>
            <w:top w:w="0" w:type="dxa"/>
            <w:left w:w="108" w:type="dxa"/>
            <w:bottom w:w="0" w:type="dxa"/>
            <w:right w:w="108" w:type="dxa"/>
          </w:tblCellMar>
        </w:tblPrEx>
        <w:trPr>
          <w:trHeight w:val="308" w:hRule="atLeast"/>
        </w:trPr>
        <w:tc>
          <w:tcPr>
            <w:tcW w:w="13992" w:type="dxa"/>
            <w:gridSpan w:val="9"/>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本年度国有资本经营预算财政拨款收入、支出及结转和结余情况。（如无相关数据，则需注明空表列示）</w:t>
            </w:r>
          </w:p>
        </w:tc>
      </w:tr>
    </w:tbl>
    <w:p>
      <w:pPr>
        <w:rPr>
          <w:rFonts w:hint="eastAsia" w:ascii="仿宋_GB2312" w:hAnsi="宋体" w:eastAsia="仿宋_GB2312"/>
          <w:b/>
          <w:sz w:val="32"/>
          <w:szCs w:val="32"/>
        </w:rPr>
      </w:pPr>
      <w:r>
        <w:rPr>
          <w:rFonts w:hint="eastAsia" w:ascii="仿宋_GB2312" w:hAnsi="宋体" w:eastAsia="仿宋_GB2312"/>
          <w:b/>
          <w:sz w:val="32"/>
          <w:szCs w:val="32"/>
        </w:rPr>
        <w:t>备注：</w:t>
      </w:r>
      <w:r>
        <w:rPr>
          <w:rFonts w:hint="eastAsia" w:ascii="仿宋_GB2312" w:hAnsi="宋体" w:eastAsia="仿宋_GB2312"/>
          <w:b/>
          <w:sz w:val="32"/>
          <w:szCs w:val="32"/>
          <w:lang w:eastAsia="zh-CN"/>
        </w:rPr>
        <w:t>我部门无</w:t>
      </w:r>
      <w:r>
        <w:rPr>
          <w:rFonts w:hint="eastAsia" w:ascii="方正仿宋_GB2312" w:hAnsi="方正仿宋_GB2312" w:eastAsia="方正仿宋_GB2312" w:cs="方正仿宋_GB2312"/>
          <w:b/>
          <w:bCs w:val="0"/>
          <w:sz w:val="32"/>
          <w:szCs w:val="32"/>
        </w:rPr>
        <w:t>国有资本经营预算财政拨款支出</w:t>
      </w:r>
      <w:r>
        <w:rPr>
          <w:rFonts w:hint="eastAsia" w:ascii="仿宋_GB2312" w:hAnsi="宋体" w:eastAsia="仿宋_GB2312"/>
          <w:b/>
          <w:bCs w:val="0"/>
          <w:sz w:val="32"/>
          <w:szCs w:val="32"/>
        </w:rPr>
        <w:t>。</w:t>
      </w:r>
    </w:p>
    <w:p>
      <w:pPr>
        <w:rPr>
          <w:rFonts w:hint="eastAsia" w:ascii="仿宋_GB2312" w:hAnsi="宋体" w:eastAsia="仿宋_GB2312"/>
          <w:b/>
          <w:sz w:val="32"/>
          <w:szCs w:val="32"/>
        </w:rPr>
      </w:pPr>
      <w:r>
        <w:rPr>
          <w:rFonts w:hint="eastAsia" w:ascii="仿宋_GB2312" w:hAnsi="宋体" w:eastAsia="仿宋_GB2312"/>
          <w:b/>
          <w:sz w:val="32"/>
          <w:szCs w:val="32"/>
        </w:rPr>
        <w:br w:type="page"/>
      </w:r>
    </w:p>
    <w:tbl>
      <w:tblPr>
        <w:tblStyle w:val="12"/>
        <w:tblpPr w:leftFromText="180" w:rightFromText="180" w:vertAnchor="text" w:horzAnchor="page" w:tblpX="1586" w:tblpY="39"/>
        <w:tblOverlap w:val="never"/>
        <w:tblW w:w="13986" w:type="dxa"/>
        <w:tblInd w:w="0" w:type="dxa"/>
        <w:tblLayout w:type="fixed"/>
        <w:tblCellMar>
          <w:top w:w="0" w:type="dxa"/>
          <w:left w:w="108" w:type="dxa"/>
          <w:bottom w:w="0" w:type="dxa"/>
          <w:right w:w="108" w:type="dxa"/>
        </w:tblCellMar>
      </w:tblPr>
      <w:tblGrid>
        <w:gridCol w:w="1150"/>
        <w:gridCol w:w="1150"/>
        <w:gridCol w:w="1150"/>
        <w:gridCol w:w="1152"/>
        <w:gridCol w:w="945"/>
        <w:gridCol w:w="210"/>
        <w:gridCol w:w="1155"/>
        <w:gridCol w:w="1152"/>
        <w:gridCol w:w="1152"/>
        <w:gridCol w:w="101"/>
        <w:gridCol w:w="1049"/>
        <w:gridCol w:w="1203"/>
        <w:gridCol w:w="1206"/>
        <w:gridCol w:w="1211"/>
      </w:tblGrid>
      <w:tr>
        <w:tblPrEx>
          <w:tblCellMar>
            <w:top w:w="0" w:type="dxa"/>
            <w:left w:w="108" w:type="dxa"/>
            <w:bottom w:w="0" w:type="dxa"/>
            <w:right w:w="108" w:type="dxa"/>
          </w:tblCellMar>
        </w:tblPrEx>
        <w:trPr>
          <w:trHeight w:val="550" w:hRule="atLeast"/>
        </w:trPr>
        <w:tc>
          <w:tcPr>
            <w:tcW w:w="13986" w:type="dxa"/>
            <w:gridSpan w:val="14"/>
            <w:tcBorders>
              <w:top w:val="nil"/>
              <w:left w:val="nil"/>
              <w:bottom w:val="nil"/>
              <w:right w:val="nil"/>
            </w:tcBorders>
            <w:vAlign w:val="bottom"/>
          </w:tcPr>
          <w:p>
            <w:pPr>
              <w:widowControl/>
              <w:jc w:val="center"/>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bCs/>
                <w:sz w:val="32"/>
                <w:szCs w:val="32"/>
              </w:rPr>
              <w:t>财政拨款“三公”经费支出决算表</w:t>
            </w:r>
          </w:p>
        </w:tc>
      </w:tr>
      <w:tr>
        <w:tblPrEx>
          <w:tblCellMar>
            <w:top w:w="0" w:type="dxa"/>
            <w:left w:w="108" w:type="dxa"/>
            <w:bottom w:w="0" w:type="dxa"/>
            <w:right w:w="108" w:type="dxa"/>
          </w:tblCellMar>
        </w:tblPrEx>
        <w:trPr>
          <w:trHeight w:val="260" w:hRule="atLeast"/>
        </w:trPr>
        <w:tc>
          <w:tcPr>
            <w:tcW w:w="13986" w:type="dxa"/>
            <w:gridSpan w:val="14"/>
            <w:tcBorders>
              <w:top w:val="nil"/>
              <w:left w:val="nil"/>
              <w:bottom w:val="nil"/>
              <w:right w:val="nil"/>
            </w:tcBorders>
            <w:vAlign w:val="bottom"/>
          </w:tcPr>
          <w:p>
            <w:pPr>
              <w:widowControl/>
              <w:jc w:val="righ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公开</w:t>
            </w:r>
            <w:r>
              <w:rPr>
                <w:rFonts w:ascii="Times New Roman" w:hAnsi="Times New Roman" w:eastAsia="方正仿宋_GB2312" w:cs="Times New Roman"/>
                <w:color w:val="000000"/>
                <w:sz w:val="18"/>
                <w:szCs w:val="18"/>
                <w:lang w:bidi="ar"/>
              </w:rPr>
              <w:t>09</w:t>
            </w:r>
            <w:r>
              <w:rPr>
                <w:rFonts w:hint="eastAsia" w:ascii="方正仿宋_GB2312" w:hAnsi="方正仿宋_GB2312" w:eastAsia="方正仿宋_GB2312" w:cs="方正仿宋_GB2312"/>
                <w:color w:val="000000"/>
                <w:sz w:val="18"/>
                <w:szCs w:val="18"/>
                <w:lang w:bidi="ar"/>
              </w:rPr>
              <w:t>表</w:t>
            </w:r>
          </w:p>
        </w:tc>
      </w:tr>
      <w:tr>
        <w:tblPrEx>
          <w:tblCellMar>
            <w:top w:w="0" w:type="dxa"/>
            <w:left w:w="108" w:type="dxa"/>
            <w:bottom w:w="0" w:type="dxa"/>
            <w:right w:w="108" w:type="dxa"/>
          </w:tblCellMar>
        </w:tblPrEx>
        <w:trPr>
          <w:trHeight w:val="260" w:hRule="atLeast"/>
        </w:trPr>
        <w:tc>
          <w:tcPr>
            <w:tcW w:w="5547" w:type="dxa"/>
            <w:gridSpan w:val="5"/>
            <w:tcBorders>
              <w:top w:val="nil"/>
              <w:left w:val="nil"/>
              <w:bottom w:val="single" w:color="auto" w:sz="4" w:space="0"/>
              <w:right w:val="nil"/>
            </w:tcBorders>
            <w:vAlign w:val="bottom"/>
          </w:tcPr>
          <w:p>
            <w:pPr>
              <w:widowControl/>
              <w:jc w:val="left"/>
              <w:textAlignment w:val="bottom"/>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编制</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）：石家庄市人民政府办公室(本级)</w:t>
            </w:r>
          </w:p>
        </w:tc>
        <w:tc>
          <w:tcPr>
            <w:tcW w:w="3770" w:type="dxa"/>
            <w:gridSpan w:val="5"/>
            <w:tcBorders>
              <w:top w:val="nil"/>
              <w:left w:val="nil"/>
              <w:bottom w:val="single" w:color="auto" w:sz="4" w:space="0"/>
              <w:right w:val="nil"/>
            </w:tcBorders>
            <w:vAlign w:val="bottom"/>
          </w:tcPr>
          <w:p>
            <w:pPr>
              <w:widowControl/>
              <w:jc w:val="center"/>
              <w:textAlignment w:val="bottom"/>
              <w:rPr>
                <w:rFonts w:hint="eastAsia" w:ascii="宋体" w:hAnsi="宋体" w:eastAsia="宋体"/>
                <w:color w:val="000000"/>
                <w:sz w:val="18"/>
                <w:szCs w:val="18"/>
                <w:lang w:bidi="ar"/>
              </w:rPr>
            </w:pPr>
            <w:r>
              <w:rPr>
                <w:rFonts w:ascii="Times New Roman" w:hAnsi="Times New Roman" w:eastAsia="宋体" w:cs="Times New Roman"/>
                <w:color w:val="000000"/>
                <w:sz w:val="18"/>
                <w:szCs w:val="18"/>
                <w:lang w:bidi="ar"/>
              </w:rPr>
              <w:t>2023</w:t>
            </w:r>
            <w:r>
              <w:rPr>
                <w:rFonts w:hint="eastAsia" w:ascii="方正仿宋_GB2312" w:hAnsi="方正仿宋_GB2312" w:eastAsia="方正仿宋_GB2312" w:cs="方正仿宋_GB2312"/>
                <w:color w:val="000000"/>
                <w:sz w:val="18"/>
                <w:szCs w:val="18"/>
                <w:lang w:bidi="ar"/>
              </w:rPr>
              <w:t>年度</w:t>
            </w:r>
          </w:p>
        </w:tc>
        <w:tc>
          <w:tcPr>
            <w:tcW w:w="4669" w:type="dxa"/>
            <w:gridSpan w:val="4"/>
            <w:tcBorders>
              <w:top w:val="nil"/>
              <w:left w:val="nil"/>
              <w:bottom w:val="single" w:color="auto" w:sz="4" w:space="0"/>
              <w:right w:val="nil"/>
            </w:tcBorders>
            <w:vAlign w:val="bottom"/>
          </w:tcPr>
          <w:p>
            <w:pPr>
              <w:widowControl/>
              <w:jc w:val="right"/>
              <w:textAlignment w:val="bottom"/>
              <w:rPr>
                <w:rFonts w:hint="eastAsia" w:ascii="宋体" w:hAnsi="宋体" w:eastAsia="宋体"/>
                <w:color w:val="000000"/>
                <w:sz w:val="18"/>
                <w:szCs w:val="18"/>
                <w:lang w:bidi="ar"/>
              </w:rPr>
            </w:pPr>
            <w:r>
              <w:rPr>
                <w:rFonts w:hint="eastAsia" w:ascii="方正仿宋_GB2312" w:hAnsi="方正仿宋_GB2312" w:eastAsia="方正仿宋_GB2312" w:cs="方正仿宋_GB2312"/>
                <w:color w:val="000000"/>
                <w:sz w:val="18"/>
                <w:szCs w:val="18"/>
                <w:lang w:bidi="ar"/>
              </w:rPr>
              <w:t>金额</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：万元</w:t>
            </w:r>
          </w:p>
        </w:tc>
      </w:tr>
      <w:tr>
        <w:tblPrEx>
          <w:tblCellMar>
            <w:top w:w="0" w:type="dxa"/>
            <w:left w:w="108" w:type="dxa"/>
            <w:bottom w:w="0" w:type="dxa"/>
            <w:right w:w="108" w:type="dxa"/>
          </w:tblCellMar>
        </w:tblPrEx>
        <w:trPr>
          <w:trHeight w:val="431" w:hRule="atLeast"/>
        </w:trPr>
        <w:tc>
          <w:tcPr>
            <w:tcW w:w="6912" w:type="dxa"/>
            <w:gridSpan w:val="7"/>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预算数</w:t>
            </w:r>
          </w:p>
        </w:tc>
        <w:tc>
          <w:tcPr>
            <w:tcW w:w="7074" w:type="dxa"/>
            <w:gridSpan w:val="7"/>
            <w:tcBorders>
              <w:top w:val="single" w:color="auto" w:sz="4" w:space="0"/>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决算数</w:t>
            </w:r>
          </w:p>
        </w:tc>
      </w:tr>
      <w:tr>
        <w:tblPrEx>
          <w:tblCellMar>
            <w:top w:w="0" w:type="dxa"/>
            <w:left w:w="108" w:type="dxa"/>
            <w:bottom w:w="0" w:type="dxa"/>
            <w:right w:w="108" w:type="dxa"/>
          </w:tblCellMar>
        </w:tblPrEx>
        <w:trPr>
          <w:trHeight w:val="431" w:hRule="atLeast"/>
        </w:trPr>
        <w:tc>
          <w:tcPr>
            <w:tcW w:w="1150" w:type="dxa"/>
            <w:vMerge w:val="restart"/>
            <w:tcBorders>
              <w:top w:val="nil"/>
              <w:left w:val="single" w:color="000000" w:sz="4" w:space="0"/>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0"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457"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155"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合计</w:t>
            </w:r>
          </w:p>
        </w:tc>
        <w:tc>
          <w:tcPr>
            <w:tcW w:w="1152"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因公出国（境）费</w:t>
            </w:r>
          </w:p>
        </w:tc>
        <w:tc>
          <w:tcPr>
            <w:tcW w:w="3559" w:type="dxa"/>
            <w:gridSpan w:val="4"/>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公务用车购置及运行维护费</w:t>
            </w:r>
          </w:p>
        </w:tc>
        <w:tc>
          <w:tcPr>
            <w:tcW w:w="1211" w:type="dxa"/>
            <w:vMerge w:val="restart"/>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公务接待费</w:t>
            </w:r>
          </w:p>
        </w:tc>
      </w:tr>
      <w:tr>
        <w:tblPrEx>
          <w:tblCellMar>
            <w:top w:w="0" w:type="dxa"/>
            <w:left w:w="108" w:type="dxa"/>
            <w:bottom w:w="0" w:type="dxa"/>
            <w:right w:w="108" w:type="dxa"/>
          </w:tblCellMar>
        </w:tblPrEx>
        <w:trPr>
          <w:trHeight w:val="431" w:hRule="atLeast"/>
        </w:trPr>
        <w:tc>
          <w:tcPr>
            <w:tcW w:w="1150" w:type="dxa"/>
            <w:vMerge w:val="continue"/>
            <w:tcBorders>
              <w:top w:val="nil"/>
              <w:left w:val="single" w:color="000000" w:sz="4" w:space="0"/>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155"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2"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小计</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公务用车购置费</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hint="eastAsia" w:ascii="方正仿宋_GB2312" w:hAnsi="方正仿宋_GB2312" w:eastAsia="方正仿宋_GB2312" w:cs="方正仿宋_GB2312"/>
                <w:color w:val="000000"/>
                <w:sz w:val="18"/>
                <w:szCs w:val="18"/>
              </w:rPr>
            </w:pPr>
            <w:r>
              <w:rPr>
                <w:rFonts w:hint="eastAsia" w:ascii="方正仿宋_GB2312" w:hAnsi="方正仿宋_GB2312" w:eastAsia="方正仿宋_GB2312" w:cs="方正仿宋_GB2312"/>
                <w:color w:val="000000"/>
                <w:sz w:val="18"/>
                <w:szCs w:val="18"/>
                <w:lang w:bidi="ar"/>
              </w:rPr>
              <w:t>公务用车运行维护费</w:t>
            </w:r>
          </w:p>
        </w:tc>
        <w:tc>
          <w:tcPr>
            <w:tcW w:w="1211" w:type="dxa"/>
            <w:vMerge w:val="continue"/>
            <w:tcBorders>
              <w:top w:val="nil"/>
              <w:left w:val="nil"/>
              <w:bottom w:val="single" w:color="000000" w:sz="4" w:space="0"/>
              <w:right w:val="single" w:color="000000" w:sz="4" w:space="0"/>
            </w:tcBorders>
            <w:vAlign w:val="center"/>
          </w:tcPr>
          <w:p>
            <w:pPr>
              <w:jc w:val="center"/>
              <w:rPr>
                <w:rFonts w:hint="eastAsia" w:ascii="方正仿宋_GB2312" w:hAnsi="方正仿宋_GB2312" w:eastAsia="方正仿宋_GB2312" w:cs="方正仿宋_GB2312"/>
                <w:color w:val="000000"/>
                <w:sz w:val="18"/>
                <w:szCs w:val="18"/>
              </w:rPr>
            </w:pPr>
          </w:p>
        </w:tc>
      </w:tr>
      <w:tr>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2</w:t>
            </w:r>
          </w:p>
        </w:tc>
        <w:tc>
          <w:tcPr>
            <w:tcW w:w="1150"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3</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4</w:t>
            </w:r>
          </w:p>
        </w:tc>
        <w:tc>
          <w:tcPr>
            <w:tcW w:w="1155"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5</w:t>
            </w:r>
          </w:p>
        </w:tc>
        <w:tc>
          <w:tcPr>
            <w:tcW w:w="1155"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6</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7</w:t>
            </w:r>
          </w:p>
        </w:tc>
        <w:tc>
          <w:tcPr>
            <w:tcW w:w="1152"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8</w:t>
            </w:r>
          </w:p>
        </w:tc>
        <w:tc>
          <w:tcPr>
            <w:tcW w:w="1150" w:type="dxa"/>
            <w:gridSpan w:val="2"/>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9</w:t>
            </w:r>
          </w:p>
        </w:tc>
        <w:tc>
          <w:tcPr>
            <w:tcW w:w="1203"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10</w:t>
            </w:r>
          </w:p>
        </w:tc>
        <w:tc>
          <w:tcPr>
            <w:tcW w:w="1206"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11</w:t>
            </w:r>
          </w:p>
        </w:tc>
        <w:tc>
          <w:tcPr>
            <w:tcW w:w="1211" w:type="dxa"/>
            <w:tcBorders>
              <w:top w:val="nil"/>
              <w:left w:val="nil"/>
              <w:bottom w:val="single" w:color="000000" w:sz="4" w:space="0"/>
              <w:right w:val="single" w:color="000000" w:sz="4" w:space="0"/>
            </w:tcBorders>
            <w:vAlign w:val="center"/>
          </w:tcPr>
          <w:p>
            <w:pPr>
              <w:widowControl/>
              <w:jc w:val="center"/>
              <w:textAlignment w:val="center"/>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lang w:bidi="ar"/>
              </w:rPr>
              <w:t>12</w:t>
            </w:r>
          </w:p>
        </w:tc>
      </w:tr>
      <w:tr>
        <w:tblPrEx>
          <w:tblCellMar>
            <w:top w:w="0" w:type="dxa"/>
            <w:left w:w="108" w:type="dxa"/>
            <w:bottom w:w="0" w:type="dxa"/>
            <w:right w:w="108" w:type="dxa"/>
          </w:tblCellMar>
        </w:tblPrEx>
        <w:trPr>
          <w:trHeight w:val="431" w:hRule="atLeast"/>
        </w:trPr>
        <w:tc>
          <w:tcPr>
            <w:tcW w:w="1150" w:type="dxa"/>
            <w:tcBorders>
              <w:top w:val="nil"/>
              <w:left w:val="single" w:color="000000" w:sz="4" w:space="0"/>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30.00</w:t>
            </w: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27.70</w:t>
            </w:r>
          </w:p>
        </w:tc>
        <w:tc>
          <w:tcPr>
            <w:tcW w:w="1150"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5"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155"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2.30</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24.58</w:t>
            </w:r>
          </w:p>
        </w:tc>
        <w:tc>
          <w:tcPr>
            <w:tcW w:w="1152"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r>
              <w:rPr>
                <w:rFonts w:ascii="Times New Roman" w:hAnsi="Times New Roman" w:eastAsia="方正仿宋_GB2312" w:cs="Times New Roman"/>
                <w:color w:val="000000"/>
                <w:sz w:val="18"/>
                <w:szCs w:val="18"/>
              </w:rPr>
              <w:t>24.58</w:t>
            </w:r>
          </w:p>
        </w:tc>
        <w:tc>
          <w:tcPr>
            <w:tcW w:w="1150" w:type="dxa"/>
            <w:gridSpan w:val="2"/>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03"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06"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c>
          <w:tcPr>
            <w:tcW w:w="1211" w:type="dxa"/>
            <w:tcBorders>
              <w:top w:val="nil"/>
              <w:left w:val="nil"/>
              <w:bottom w:val="single" w:color="000000" w:sz="4" w:space="0"/>
              <w:right w:val="single" w:color="000000" w:sz="4" w:space="0"/>
            </w:tcBorders>
            <w:vAlign w:val="center"/>
          </w:tcPr>
          <w:p>
            <w:pPr>
              <w:jc w:val="right"/>
              <w:rPr>
                <w:rFonts w:ascii="Times New Roman" w:hAnsi="Times New Roman" w:eastAsia="方正仿宋_GB2312" w:cs="Times New Roman"/>
                <w:color w:val="000000"/>
                <w:sz w:val="18"/>
                <w:szCs w:val="18"/>
              </w:rPr>
            </w:pPr>
          </w:p>
        </w:tc>
      </w:tr>
      <w:tr>
        <w:tblPrEx>
          <w:tblCellMar>
            <w:top w:w="0" w:type="dxa"/>
            <w:left w:w="108" w:type="dxa"/>
            <w:bottom w:w="0" w:type="dxa"/>
            <w:right w:w="108" w:type="dxa"/>
          </w:tblCellMar>
        </w:tblPrEx>
        <w:trPr>
          <w:trHeight w:val="431" w:hRule="atLeast"/>
        </w:trPr>
        <w:tc>
          <w:tcPr>
            <w:tcW w:w="13986" w:type="dxa"/>
            <w:gridSpan w:val="14"/>
            <w:tcBorders>
              <w:top w:val="nil"/>
              <w:left w:val="nil"/>
              <w:bottom w:val="nil"/>
              <w:right w:val="nil"/>
            </w:tcBorders>
            <w:vAlign w:val="center"/>
          </w:tcPr>
          <w:p>
            <w:pPr>
              <w:widowControl/>
              <w:jc w:val="left"/>
              <w:textAlignment w:val="center"/>
              <w:rPr>
                <w:rFonts w:hint="eastAsia" w:ascii="宋体" w:hAnsi="宋体" w:eastAsia="宋体"/>
                <w:color w:val="000000"/>
                <w:sz w:val="18"/>
                <w:szCs w:val="18"/>
              </w:rPr>
            </w:pPr>
            <w:r>
              <w:rPr>
                <w:rFonts w:hint="eastAsia" w:ascii="方正仿宋_GB2312" w:hAnsi="方正仿宋_GB2312" w:eastAsia="方正仿宋_GB2312" w:cs="方正仿宋_GB2312"/>
                <w:color w:val="000000"/>
                <w:sz w:val="18"/>
                <w:szCs w:val="18"/>
                <w:lang w:bidi="ar"/>
              </w:rPr>
              <w:t>注：本表反映</w:t>
            </w:r>
            <w:r>
              <w:rPr>
                <w:rFonts w:hint="eastAsia" w:ascii="方正仿宋_GB2312" w:hAnsi="方正仿宋_GB2312" w:eastAsia="方正仿宋_GB2312" w:cs="方正仿宋_GB2312"/>
                <w:color w:val="000000"/>
                <w:sz w:val="18"/>
                <w:szCs w:val="18"/>
                <w:lang w:eastAsia="zh-CN" w:bidi="ar"/>
              </w:rPr>
              <w:t>部门</w:t>
            </w:r>
            <w:r>
              <w:rPr>
                <w:rFonts w:hint="eastAsia" w:ascii="方正仿宋_GB2312" w:hAnsi="方正仿宋_GB2312" w:eastAsia="方正仿宋_GB2312" w:cs="方正仿宋_GB2312"/>
                <w:color w:val="000000"/>
                <w:sz w:val="18"/>
                <w:szCs w:val="18"/>
                <w:lang w:bidi="ar"/>
              </w:rPr>
              <w:t>本年度财政拨款“三公”经费支出预决算情况。其中：预算数为“三公”经费全年预算数，反映按规定程序调整后的预算数；决算数是包括当年财政拨款和以前年度结转资金安排的实际支出。</w:t>
            </w:r>
          </w:p>
        </w:tc>
      </w:tr>
    </w:tbl>
    <w:p>
      <w:pPr>
        <w:rPr>
          <w:rFonts w:hint="eastAsia" w:ascii="仿宋_GB2312" w:hAnsi="宋体" w:eastAsia="仿宋_GB2312"/>
          <w:b/>
          <w:sz w:val="32"/>
          <w:szCs w:val="32"/>
        </w:rPr>
        <w:sectPr>
          <w:pgSz w:w="16838" w:h="11906" w:orient="landscape"/>
          <w:pgMar w:top="2098" w:right="1531" w:bottom="1984" w:left="1531" w:header="851" w:footer="992" w:gutter="0"/>
          <w:cols w:space="720" w:num="1"/>
          <w:docGrid w:type="lines" w:linePitch="312" w:charSpace="0"/>
        </w:sectPr>
      </w:pPr>
    </w:p>
    <w:p>
      <w:pPr>
        <w:pStyle w:val="11"/>
        <w:widowControl/>
        <w:spacing w:beforeAutospacing="0" w:afterAutospacing="0"/>
        <w:jc w:val="both"/>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outlineLvl w:val="0"/>
        <w:rPr>
          <w:rFonts w:ascii="Arial" w:hAnsi="Arial" w:eastAsia="Arial" w:cs="Arial"/>
        </w:rPr>
      </w:pPr>
      <w:r>
        <w:rPr>
          <w:rFonts w:hint="eastAsia" w:ascii="黑体" w:hAnsi="宋体" w:eastAsia="黑体" w:cs="黑体"/>
          <w:color w:val="000000"/>
          <w:sz w:val="72"/>
          <w:szCs w:val="72"/>
          <w:shd w:val="clear" w:color="auto" w:fill="FFFFFF"/>
        </w:rPr>
        <w:t>第三部分</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hint="eastAsia" w:ascii="黑体" w:hAnsi="宋体" w:eastAsia="黑体" w:cs="黑体"/>
          <w:color w:val="000000"/>
          <w:sz w:val="72"/>
          <w:szCs w:val="72"/>
          <w:shd w:val="clear" w:color="auto" w:fill="FFFFFF"/>
        </w:rPr>
        <w:t>2023年度</w:t>
      </w:r>
      <w:r>
        <w:rPr>
          <w:rFonts w:hint="eastAsia" w:ascii="黑体" w:hAnsi="宋体" w:eastAsia="黑体" w:cs="黑体"/>
          <w:color w:val="000000"/>
          <w:sz w:val="72"/>
          <w:szCs w:val="72"/>
          <w:shd w:val="clear" w:color="auto" w:fill="FFFFFF"/>
          <w:lang w:eastAsia="zh-CN"/>
        </w:rPr>
        <w:t>部门</w:t>
      </w:r>
      <w:r>
        <w:rPr>
          <w:rFonts w:hint="eastAsia" w:ascii="黑体" w:hAnsi="宋体" w:eastAsia="黑体" w:cs="黑体"/>
          <w:color w:val="000000"/>
          <w:sz w:val="72"/>
          <w:szCs w:val="72"/>
          <w:shd w:val="clear" w:color="auto" w:fill="FFFFFF"/>
        </w:rPr>
        <w:t>决算情况说明</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cente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t> </w:t>
      </w:r>
    </w:p>
    <w:p>
      <w:pPr>
        <w:rPr>
          <w:rFonts w:ascii="Arial" w:hAnsi="Arial" w:eastAsia="Arial" w:cs="Arial"/>
          <w:color w:val="000000"/>
          <w:sz w:val="18"/>
          <w:szCs w:val="18"/>
          <w:shd w:val="clear" w:color="auto" w:fill="FFFFFF"/>
        </w:rPr>
      </w:pPr>
      <w:r>
        <w:rPr>
          <w:rFonts w:ascii="Arial" w:hAnsi="Arial" w:eastAsia="Arial" w:cs="Arial"/>
          <w:color w:val="000000"/>
          <w:sz w:val="18"/>
          <w:szCs w:val="18"/>
          <w:shd w:val="clear" w:color="auto" w:fill="FFFFFF"/>
        </w:rPr>
        <w:br w:type="page"/>
      </w:r>
    </w:p>
    <w:p>
      <w:pPr>
        <w:pStyle w:val="11"/>
        <w:widowControl/>
        <w:spacing w:beforeAutospacing="0" w:afterAutospacing="0"/>
        <w:jc w:val="center"/>
        <w:rPr>
          <w:rFonts w:ascii="Arial" w:hAnsi="Arial" w:eastAsia="Arial" w:cs="Arial"/>
          <w:color w:val="000000"/>
          <w:sz w:val="18"/>
          <w:szCs w:val="18"/>
          <w:shd w:val="clear" w:color="auto" w:fill="FFFFFF"/>
        </w:rPr>
      </w:pPr>
    </w:p>
    <w:p>
      <w:pPr>
        <w:pStyle w:val="11"/>
        <w:widowControl/>
        <w:spacing w:beforeAutospacing="0" w:afterAutospacing="0"/>
        <w:jc w:val="center"/>
        <w:rPr>
          <w:rFonts w:ascii="Arial" w:hAnsi="Arial" w:eastAsia="Arial" w:cs="Arial"/>
        </w:rPr>
      </w:pPr>
      <w:r>
        <w:rPr>
          <w:rFonts w:ascii="Arial" w:hAnsi="Arial" w:eastAsia="Arial" w:cs="Arial"/>
          <w:color w:val="000000"/>
          <w:sz w:val="18"/>
          <w:szCs w:val="18"/>
          <w:shd w:val="clear" w:color="auto" w:fill="FFFFFF"/>
        </w:rPr>
        <w:t> </w:t>
      </w:r>
    </w:p>
    <w:p>
      <w:pPr>
        <w:pStyle w:val="11"/>
        <w:widowControl/>
        <w:spacing w:beforeAutospacing="0" w:afterAutospacing="0"/>
        <w:jc w:val="both"/>
        <w:outlineLvl w:val="1"/>
        <w:rPr>
          <w:rFonts w:ascii="黑体" w:hAnsi="Calibri" w:eastAsia="黑体"/>
          <w:kern w:val="2"/>
          <w:sz w:val="32"/>
          <w:szCs w:val="32"/>
        </w:rPr>
      </w:pPr>
      <w:r>
        <w:rPr>
          <w:rFonts w:hint="eastAsia" w:ascii="黑体" w:hAnsi="Calibri" w:eastAsia="黑体"/>
          <w:kern w:val="2"/>
          <w:sz w:val="32"/>
          <w:szCs w:val="32"/>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w:t>
      </w:r>
      <w:r>
        <w:rPr>
          <w:rFonts w:hint="eastAsia" w:ascii="Times New Roman" w:hAnsi="Times New Roman" w:eastAsia="仿宋_GB2312" w:cs="Times New Roman"/>
          <w:kern w:val="2"/>
          <w:sz w:val="32"/>
          <w:szCs w:val="32"/>
          <w:lang w:eastAsia="zh-CN"/>
        </w:rPr>
        <w:t>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9,452.58</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减少1,478.04万元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下降13.52%，</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eastAsia="zh-CN"/>
        </w:rPr>
        <w:t>行政支出减少</w:t>
      </w:r>
      <w:r>
        <w:rPr>
          <w:rFonts w:hint="default" w:ascii="Times New Roman" w:hAnsi="Times New Roman" w:eastAsia="仿宋_GB2312" w:cs="Times New Roman"/>
          <w:kern w:val="2"/>
          <w:sz w:val="32"/>
          <w:szCs w:val="32"/>
          <w:lang w:val="en-US" w:eastAsia="zh-CN" w:bidi="ar-SA"/>
        </w:rPr>
        <w:t>。</w:t>
      </w:r>
    </w:p>
    <w:p>
      <w:pPr>
        <w:pStyle w:val="11"/>
        <w:widowControl/>
        <w:spacing w:beforeAutospacing="0" w:afterAutospacing="0"/>
        <w:jc w:val="both"/>
        <w:rPr>
          <w:rFonts w:ascii="Times New Roman" w:hAnsi="Times New Roman" w:eastAsia="宋体"/>
        </w:rPr>
      </w:pPr>
      <w:r>
        <w:rPr>
          <w:rFonts w:hint="eastAsia" w:ascii="Times New Roman" w:hAnsi="Times New Roman" w:eastAsia="宋体"/>
        </w:rPr>
        <w:drawing>
          <wp:inline distT="0" distB="0" distL="114300" distR="114300">
            <wp:extent cx="5256530" cy="2988310"/>
            <wp:effectExtent l="5080" t="4445" r="11430" b="952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二、收入决算情况说明</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本</w:t>
      </w:r>
      <w:r>
        <w:rPr>
          <w:rFonts w:hint="eastAsia" w:ascii="Times New Roman" w:hAnsi="Times New Roman" w:eastAsia="仿宋_GB2312" w:cs="Times New Roman"/>
          <w:kern w:val="2"/>
          <w:sz w:val="32"/>
          <w:szCs w:val="32"/>
          <w:lang w:eastAsia="zh-CN"/>
        </w:rPr>
        <w:t>部门</w:t>
      </w: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年度本年收入合计</w:t>
      </w:r>
      <w:r>
        <w:rPr>
          <w:rFonts w:ascii="Times New Roman" w:hAnsi="Times New Roman" w:eastAsia="仿宋_GB2312" w:cs="Times New Roman"/>
          <w:sz w:val="30"/>
          <w:szCs w:val="30"/>
        </w:rPr>
        <w:t>9,332.59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其中</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财政拨款收入</w:t>
      </w:r>
      <w:r>
        <w:rPr>
          <w:rFonts w:ascii="Times New Roman" w:hAnsi="Times New Roman" w:eastAsia="仿宋_GB2312" w:cs="Times New Roman"/>
          <w:kern w:val="2"/>
          <w:sz w:val="32"/>
          <w:szCs w:val="32"/>
        </w:rPr>
        <w:t>9,332.59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100%；</w:t>
      </w:r>
      <w:r>
        <w:rPr>
          <w:rFonts w:ascii="Times New Roman" w:hAnsi="Times New Roman" w:eastAsia="仿宋_GB2312" w:cs="Times New Roman"/>
          <w:kern w:val="2"/>
          <w:sz w:val="32"/>
          <w:szCs w:val="32"/>
          <w:lang w:val="zh-CN"/>
        </w:rPr>
        <w:t>上级补助收入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事业收入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经营收入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附属</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上缴收入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其他收入</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占</w:t>
      </w:r>
      <w:r>
        <w:rPr>
          <w:rFonts w:ascii="Times New Roman" w:hAnsi="Times New Roman" w:eastAsia="仿宋_GB2312" w:cs="Times New Roman"/>
          <w:kern w:val="2"/>
          <w:sz w:val="32"/>
          <w:szCs w:val="32"/>
        </w:rPr>
        <w:t>0%</w:t>
      </w:r>
      <w:r>
        <w:rPr>
          <w:rFonts w:hint="eastAsia" w:ascii="Times New Roman" w:hAnsi="Times New Roman" w:eastAsia="仿宋_GB2312" w:cs="Times New Roman"/>
          <w:kern w:val="2"/>
          <w:sz w:val="32"/>
          <w:szCs w:val="32"/>
          <w:lang w:val="zh-CN"/>
        </w:rPr>
        <w:t>。</w:t>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92075</wp:posOffset>
            </wp:positionH>
            <wp:positionV relativeFrom="paragraph">
              <wp:posOffset>106045</wp:posOffset>
            </wp:positionV>
            <wp:extent cx="5256530" cy="2988310"/>
            <wp:effectExtent l="5080" t="4445" r="11430" b="952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Pr>
          <w:rFonts w:ascii="Times New Roman" w:hAnsi="Times New Roman" w:eastAsia="黑体"/>
          <w:kern w:val="2"/>
          <w:sz w:val="32"/>
          <w:szCs w:val="32"/>
        </w:rPr>
        <w:t>三、支出决算情况说明</w:t>
      </w:r>
    </w:p>
    <w:p>
      <w:pPr>
        <w:autoSpaceDE w:val="0"/>
        <w:autoSpaceDN w:val="0"/>
        <w:adjustRightInd w:val="0"/>
        <w:spacing w:line="580" w:lineRule="exact"/>
        <w:ind w:firstLine="6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2023年度本年支出合计9,452.58万元，其中：基本支出4,595.87万元，占48.62%；项目支出4,856.72万元，占51.38%；上缴上级支出0万元，占0%；经营支出0万元，占0%</w:t>
      </w:r>
      <w:r>
        <w:rPr>
          <w:rFonts w:hint="eastAsia" w:ascii="Times New Roman" w:hAnsi="Times New Roman" w:eastAsia="仿宋_GB2312" w:cs="Times New Roman"/>
          <w:kern w:val="2"/>
          <w:sz w:val="32"/>
          <w:szCs w:val="32"/>
          <w:lang w:val="zh-CN"/>
        </w:rPr>
        <w:t>；</w:t>
      </w:r>
      <w:r>
        <w:rPr>
          <w:rFonts w:ascii="Times New Roman" w:hAnsi="Times New Roman" w:eastAsia="仿宋_GB2312" w:cs="Times New Roman"/>
          <w:kern w:val="2"/>
          <w:sz w:val="32"/>
          <w:szCs w:val="32"/>
          <w:lang w:val="zh-CN"/>
        </w:rPr>
        <w:t>对附属</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补助支出0万元，占0%</w:t>
      </w:r>
      <w:r>
        <w:rPr>
          <w:rFonts w:hint="eastAsia" w:ascii="Times New Roman" w:hAnsi="Times New Roman" w:eastAsia="仿宋_GB2312" w:cs="Times New Roman"/>
          <w:kern w:val="2"/>
          <w:sz w:val="32"/>
          <w:szCs w:val="32"/>
          <w:lang w:val="zh-CN"/>
        </w:rPr>
        <w:t>。</w:t>
      </w:r>
    </w:p>
    <w:p>
      <w:pPr>
        <w:autoSpaceDE w:val="0"/>
        <w:autoSpaceDN w:val="0"/>
        <w:adjustRightInd w:val="0"/>
        <w:jc w:val="left"/>
        <w:rPr>
          <w:rFonts w:ascii="Times New Roman" w:hAnsi="Times New Roman" w:eastAsia="仿宋_GB2312" w:cs="Times New Roman"/>
          <w:sz w:val="32"/>
          <w:szCs w:val="32"/>
          <w:highlight w:val="none"/>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11"/>
        <w:widowControl/>
        <w:spacing w:beforeAutospacing="0" w:afterAutospacing="0"/>
        <w:jc w:val="both"/>
        <w:outlineLvl w:val="1"/>
        <w:rPr>
          <w:rFonts w:ascii="Times New Roman" w:hAnsi="Times New Roman" w:eastAsia="Arial"/>
        </w:rPr>
      </w:pPr>
      <w:r>
        <w:rPr>
          <w:rFonts w:ascii="Times New Roman" w:hAnsi="Times New Roman" w:eastAsia="黑体"/>
          <w:kern w:val="2"/>
          <w:sz w:val="32"/>
          <w:szCs w:val="32"/>
        </w:rPr>
        <w:t>四、财政拨款收入支出决算总体情况说明</w:t>
      </w:r>
    </w:p>
    <w:p>
      <w:pPr>
        <w:pStyle w:val="11"/>
        <w:widowControl/>
        <w:spacing w:beforeAutospacing="0" w:afterAutospacing="0"/>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（一）财政拨款收支与2022年度决算对比情况</w:t>
      </w:r>
    </w:p>
    <w:p>
      <w:pPr>
        <w:pStyle w:val="11"/>
        <w:widowControl/>
        <w:spacing w:beforeAutospacing="0" w:afterAutospacing="0"/>
        <w:ind w:firstLine="640" w:firstLineChars="200"/>
        <w:rPr>
          <w:rFonts w:ascii="Times New Roman" w:hAnsi="Times New Roman" w:eastAsia="仿宋_GB2312"/>
          <w:sz w:val="30"/>
          <w:szCs w:val="30"/>
        </w:rPr>
      </w:pPr>
      <w:r>
        <w:rPr>
          <w:rFonts w:ascii="Times New Roman" w:hAnsi="Times New Roman" w:eastAsia="仿宋_GB2312"/>
          <w:kern w:val="2"/>
          <w:sz w:val="32"/>
          <w:szCs w:val="32"/>
        </w:rPr>
        <w:t>本</w:t>
      </w:r>
      <w:r>
        <w:rPr>
          <w:rFonts w:hint="eastAsia" w:ascii="Times New Roman" w:hAnsi="Times New Roman" w:eastAsia="仿宋_GB2312"/>
          <w:kern w:val="2"/>
          <w:sz w:val="32"/>
          <w:szCs w:val="32"/>
          <w:lang w:eastAsia="zh-CN"/>
        </w:rPr>
        <w:t>部门</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年度财政拨款本年收入</w:t>
      </w:r>
      <w:r>
        <w:rPr>
          <w:rFonts w:ascii="Times New Roman" w:hAnsi="Times New Roman" w:eastAsia="仿宋_GB2312"/>
          <w:kern w:val="2"/>
          <w:sz w:val="32"/>
          <w:szCs w:val="32"/>
        </w:rPr>
        <w:t>9,332.59万</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减少86.84万元</w:t>
      </w:r>
      <w:r>
        <w:rPr>
          <w:rFonts w:ascii="Times New Roman" w:hAnsi="Times New Roman" w:eastAsia="仿宋_GB2312"/>
          <w:kern w:val="2"/>
          <w:sz w:val="32"/>
          <w:szCs w:val="32"/>
        </w:rPr>
        <w:t>，</w:t>
      </w:r>
      <w:r>
        <w:rPr>
          <w:rFonts w:hint="eastAsia" w:ascii="Times New Roman" w:hAnsi="Times New Roman" w:eastAsia="仿宋_GB2312"/>
          <w:sz w:val="30"/>
          <w:szCs w:val="30"/>
        </w:rPr>
        <w:t>降低0.92%，</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人员经费预算减少</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本年支出</w:t>
      </w:r>
      <w:r>
        <w:rPr>
          <w:rFonts w:ascii="Times New Roman" w:hAnsi="Times New Roman" w:eastAsia="仿宋_GB2312"/>
          <w:kern w:val="2"/>
          <w:sz w:val="32"/>
          <w:szCs w:val="32"/>
        </w:rPr>
        <w:t xml:space="preserve"> 9,452.58</w:t>
      </w:r>
      <w:r>
        <w:rPr>
          <w:rFonts w:ascii="Times New Roman" w:hAnsi="Times New Roman" w:eastAsia="仿宋_GB2312"/>
          <w:kern w:val="2"/>
          <w:sz w:val="32"/>
          <w:szCs w:val="32"/>
          <w:lang w:val="zh-CN"/>
        </w:rPr>
        <w:t>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sz w:val="30"/>
          <w:szCs w:val="30"/>
        </w:rPr>
        <w:t>减少1,358.04万元</w:t>
      </w:r>
      <w:r>
        <w:rPr>
          <w:rFonts w:ascii="Times New Roman" w:hAnsi="Times New Roman" w:eastAsia="仿宋_GB2312"/>
          <w:kern w:val="2"/>
          <w:sz w:val="32"/>
          <w:szCs w:val="32"/>
        </w:rPr>
        <w:t>，</w:t>
      </w:r>
      <w:r>
        <w:rPr>
          <w:rFonts w:hint="eastAsia" w:ascii="Times New Roman" w:hAnsi="Times New Roman" w:eastAsia="仿宋_GB2312"/>
          <w:sz w:val="30"/>
          <w:szCs w:val="30"/>
        </w:rPr>
        <w:t>降低12.56%，</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行政支出减少</w:t>
      </w:r>
      <w:r>
        <w:rPr>
          <w:rFonts w:ascii="Times New Roman" w:hAnsi="Times New Roman" w:eastAsia="仿宋_GB2312"/>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1. 一般公共预算财政拨款本年收入9,332.59万元,比上年</w:t>
      </w:r>
      <w:r>
        <w:rPr>
          <w:rFonts w:hint="eastAsia" w:ascii="Times New Roman" w:hAnsi="Times New Roman" w:eastAsia="仿宋_GB2312" w:cs="Times New Roman"/>
          <w:sz w:val="30"/>
          <w:szCs w:val="30"/>
          <w:lang w:val="zh-CN"/>
        </w:rPr>
        <w:t>减少86.84万元，降低0.92%，</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eastAsia="zh-CN"/>
        </w:rPr>
        <w:t>人员经费预算减少</w:t>
      </w:r>
      <w:r>
        <w:rPr>
          <w:rFonts w:ascii="Times New Roman" w:hAnsi="Times New Roman" w:eastAsia="仿宋_GB2312" w:cs="Times New Roman"/>
          <w:kern w:val="2"/>
          <w:sz w:val="32"/>
          <w:szCs w:val="32"/>
          <w:lang w:val="zh-CN"/>
        </w:rPr>
        <w:t>；本年支出 9,452.58</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减少1,358.04万元</w:t>
      </w:r>
      <w:r>
        <w:rPr>
          <w:rFonts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lang w:val="zh-CN"/>
        </w:rPr>
        <w:t>降低12.56%，</w:t>
      </w:r>
      <w:r>
        <w:rPr>
          <w:rFonts w:ascii="Times New Roman" w:hAnsi="Times New Roman" w:eastAsia="仿宋_GB2312" w:cs="Times New Roman"/>
          <w:kern w:val="2"/>
          <w:sz w:val="32"/>
          <w:szCs w:val="32"/>
          <w:lang w:val="zh-CN"/>
        </w:rPr>
        <w:t>主要是</w:t>
      </w:r>
      <w:r>
        <w:rPr>
          <w:rFonts w:hint="eastAsia" w:ascii="Times New Roman" w:hAnsi="Times New Roman" w:eastAsia="仿宋_GB2312"/>
          <w:kern w:val="2"/>
          <w:sz w:val="32"/>
          <w:szCs w:val="32"/>
          <w:lang w:eastAsia="zh-CN"/>
        </w:rPr>
        <w:t>行政支出减少</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kern w:val="2"/>
          <w:sz w:val="32"/>
          <w:szCs w:val="32"/>
          <w:lang w:val="zh-CN"/>
        </w:rPr>
        <w:t>2. 政府性基金预算财政拨款本年收入0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我部门无</w:t>
      </w:r>
      <w:r>
        <w:rPr>
          <w:rFonts w:ascii="Times New Roman" w:hAnsi="Times New Roman" w:eastAsia="仿宋_GB2312" w:cs="Times New Roman"/>
          <w:kern w:val="2"/>
          <w:sz w:val="32"/>
          <w:szCs w:val="32"/>
          <w:lang w:val="zh-CN"/>
        </w:rPr>
        <w:t>政府性基金预算财政拨款</w:t>
      </w:r>
      <w:r>
        <w:rPr>
          <w:rFonts w:hint="eastAsia" w:ascii="Times New Roman" w:hAnsi="Times New Roman" w:eastAsia="仿宋_GB2312" w:cs="Times New Roman"/>
          <w:kern w:val="2"/>
          <w:sz w:val="32"/>
          <w:szCs w:val="32"/>
          <w:lang w:val="zh-CN"/>
        </w:rPr>
        <w:t>收入</w:t>
      </w:r>
      <w:r>
        <w:rPr>
          <w:rFonts w:ascii="Times New Roman" w:hAnsi="Times New Roman" w:eastAsia="仿宋_GB2312" w:cs="Times New Roman"/>
          <w:kern w:val="2"/>
          <w:sz w:val="32"/>
          <w:szCs w:val="32"/>
          <w:lang w:val="zh-CN"/>
        </w:rPr>
        <w:t>；本年支出0</w:t>
      </w:r>
      <w:r>
        <w:rPr>
          <w:rFonts w:ascii="Times New Roman" w:hAnsi="Times New Roman" w:eastAsia="仿宋_GB2312" w:cs="Times New Roman"/>
          <w:kern w:val="2"/>
          <w:sz w:val="32"/>
          <w:szCs w:val="32"/>
        </w:rPr>
        <w:t>万</w:t>
      </w:r>
      <w:r>
        <w:rPr>
          <w:rFonts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，主要是政府性基金预算财政拨款</w:t>
      </w:r>
      <w:r>
        <w:rPr>
          <w:rFonts w:hint="eastAsia" w:ascii="Times New Roman" w:hAnsi="Times New Roman" w:eastAsia="仿宋_GB2312" w:cs="Times New Roman"/>
          <w:kern w:val="2"/>
          <w:sz w:val="32"/>
          <w:szCs w:val="32"/>
          <w:lang w:val="zh-CN"/>
        </w:rPr>
        <w:t>支出</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 xml:space="preserve">3. </w:t>
      </w:r>
      <w:r>
        <w:rPr>
          <w:rFonts w:ascii="Times New Roman" w:hAnsi="Times New Roman" w:eastAsia="仿宋_GB2312" w:cs="Times New Roman"/>
          <w:kern w:val="2"/>
          <w:sz w:val="32"/>
          <w:szCs w:val="32"/>
          <w:lang w:val="zh-CN"/>
        </w:rPr>
        <w:t>国有资本经营预算财政拨款本年收入</w:t>
      </w:r>
      <w:r>
        <w:rPr>
          <w:rFonts w:ascii="Times New Roman" w:hAnsi="Times New Roman" w:eastAsia="仿宋_GB2312" w:cs="Times New Roman"/>
          <w:kern w:val="2"/>
          <w:sz w:val="32"/>
          <w:szCs w:val="32"/>
        </w:rPr>
        <w:t>0万</w:t>
      </w:r>
      <w:r>
        <w:rPr>
          <w:rFonts w:ascii="Times New Roman" w:hAnsi="Times New Roman" w:eastAsia="仿宋_GB2312" w:cs="Times New Roman"/>
          <w:kern w:val="2"/>
          <w:sz w:val="32"/>
          <w:szCs w:val="32"/>
          <w:lang w:val="zh-CN"/>
        </w:rPr>
        <w:t>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rPr>
        <w:t>持平</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我部门无</w:t>
      </w:r>
      <w:r>
        <w:rPr>
          <w:rFonts w:ascii="Times New Roman" w:hAnsi="Times New Roman" w:eastAsia="仿宋_GB2312" w:cs="Times New Roman"/>
          <w:kern w:val="2"/>
          <w:sz w:val="32"/>
          <w:szCs w:val="32"/>
          <w:lang w:val="zh-CN"/>
        </w:rPr>
        <w:t>国有资本经营预算财政拨款收入</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本年支出</w:t>
      </w:r>
      <w:r>
        <w:rPr>
          <w:rFonts w:ascii="Times New Roman" w:hAnsi="Times New Roman" w:eastAsia="仿宋_GB2312" w:cs="Times New Roman"/>
          <w:kern w:val="2"/>
          <w:sz w:val="32"/>
          <w:szCs w:val="32"/>
        </w:rPr>
        <w:t>0万</w:t>
      </w:r>
      <w:r>
        <w:rPr>
          <w:rFonts w:ascii="Times New Roman" w:hAnsi="Times New Roman" w:eastAsia="仿宋_GB2312" w:cs="Times New Roman"/>
          <w:kern w:val="2"/>
          <w:sz w:val="32"/>
          <w:szCs w:val="32"/>
          <w:lang w:val="zh-CN"/>
        </w:rPr>
        <w:t>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rPr>
        <w:t>持平</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我部门无</w:t>
      </w:r>
      <w:r>
        <w:rPr>
          <w:rFonts w:ascii="Times New Roman" w:hAnsi="Times New Roman" w:eastAsia="仿宋_GB2312" w:cs="Times New Roman"/>
          <w:kern w:val="2"/>
          <w:sz w:val="32"/>
          <w:szCs w:val="32"/>
          <w:lang w:val="zh-CN"/>
        </w:rPr>
        <w:t>国有资本经营预算财政拨款</w:t>
      </w:r>
      <w:r>
        <w:rPr>
          <w:rFonts w:hint="eastAsia" w:ascii="Times New Roman" w:hAnsi="Times New Roman" w:eastAsia="仿宋_GB2312" w:cs="Times New Roman"/>
          <w:kern w:val="2"/>
          <w:sz w:val="32"/>
          <w:szCs w:val="32"/>
          <w:lang w:val="zh-CN"/>
        </w:rPr>
        <w:t>支出</w:t>
      </w:r>
      <w:r>
        <w:rPr>
          <w:rFonts w:ascii="Times New Roman" w:hAnsi="Times New Roman" w:eastAsia="仿宋_GB2312" w:cs="Times New Roman"/>
          <w:kern w:val="2"/>
          <w:sz w:val="32"/>
          <w:szCs w:val="32"/>
          <w:lang w:val="zh-CN"/>
        </w:rPr>
        <w:t>。</w:t>
      </w:r>
    </w:p>
    <w:p>
      <w:pPr>
        <w:pStyle w:val="11"/>
        <w:widowControl/>
        <w:spacing w:beforeAutospacing="0" w:afterAutospacing="0"/>
        <w:rPr>
          <w:rFonts w:ascii="Times New Roman" w:hAnsi="Times New Roman" w:eastAsia="仿宋_GB2312"/>
          <w:sz w:val="32"/>
          <w:szCs w:val="32"/>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本</w:t>
      </w:r>
      <w:r>
        <w:rPr>
          <w:rFonts w:hint="eastAsia" w:ascii="Times New Roman" w:hAnsi="Times New Roman" w:eastAsia="仿宋_GB2312" w:cs="Times New Roman"/>
          <w:kern w:val="2"/>
          <w:sz w:val="32"/>
          <w:szCs w:val="32"/>
          <w:lang w:eastAsia="zh-CN"/>
        </w:rPr>
        <w:t>部门</w:t>
      </w: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年度财政拨款本年收入</w:t>
      </w:r>
      <w:r>
        <w:rPr>
          <w:rFonts w:ascii="Times New Roman" w:hAnsi="Times New Roman" w:eastAsia="仿宋_GB2312" w:cs="Times New Roman"/>
          <w:kern w:val="2"/>
          <w:sz w:val="32"/>
          <w:szCs w:val="32"/>
        </w:rPr>
        <w:t>9,332.59</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104.66%，</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增加415.77万元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ascii="Times New Roman" w:hAnsi="Times New Roman" w:eastAsia="仿宋_GB2312" w:cs="Times New Roman"/>
          <w:kern w:val="2"/>
          <w:sz w:val="32"/>
          <w:szCs w:val="32"/>
        </w:rPr>
        <w:t>大于</w:t>
      </w:r>
      <w:r>
        <w:rPr>
          <w:rFonts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本年支出</w:t>
      </w:r>
      <w:r>
        <w:rPr>
          <w:rFonts w:ascii="Times New Roman" w:hAnsi="Times New Roman" w:eastAsia="仿宋_GB2312" w:cs="Times New Roman"/>
          <w:kern w:val="2"/>
          <w:sz w:val="32"/>
          <w:szCs w:val="32"/>
        </w:rPr>
        <w:t>9,452.58</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完成年初预算的</w:t>
      </w:r>
      <w:r>
        <w:rPr>
          <w:rFonts w:ascii="Times New Roman" w:hAnsi="Times New Roman" w:eastAsia="仿宋_GB2312" w:cs="Times New Roman"/>
          <w:kern w:val="2"/>
          <w:sz w:val="32"/>
          <w:szCs w:val="32"/>
        </w:rPr>
        <w:t>106.01%，</w:t>
      </w:r>
      <w:r>
        <w:rPr>
          <w:rFonts w:ascii="Times New Roman" w:hAnsi="Times New Roman" w:eastAsia="仿宋_GB2312" w:cs="Times New Roman"/>
          <w:kern w:val="2"/>
          <w:sz w:val="32"/>
          <w:szCs w:val="32"/>
          <w:lang w:val="zh-CN"/>
        </w:rPr>
        <w:t>比年初预算</w:t>
      </w:r>
      <w:r>
        <w:rPr>
          <w:rFonts w:hint="eastAsia" w:ascii="Times New Roman" w:hAnsi="Times New Roman" w:eastAsia="仿宋_GB2312" w:cs="Times New Roman"/>
          <w:sz w:val="30"/>
          <w:szCs w:val="30"/>
        </w:rPr>
        <w:t>增加535.76万元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决算数</w:t>
      </w:r>
      <w:r>
        <w:rPr>
          <w:rFonts w:ascii="Times New Roman" w:hAnsi="Times New Roman" w:eastAsia="仿宋_GB2312" w:cs="Times New Roman"/>
          <w:kern w:val="2"/>
          <w:sz w:val="32"/>
          <w:szCs w:val="32"/>
        </w:rPr>
        <w:t>大于</w:t>
      </w:r>
      <w:r>
        <w:rPr>
          <w:rFonts w:ascii="Times New Roman" w:hAnsi="Times New Roman" w:eastAsia="仿宋_GB2312" w:cs="Times New Roman"/>
          <w:kern w:val="2"/>
          <w:sz w:val="32"/>
          <w:szCs w:val="32"/>
          <w:lang w:val="zh-CN"/>
        </w:rPr>
        <w:t>预算数主要原因是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rPr>
        <w:t>1.</w:t>
      </w:r>
      <w:r>
        <w:rPr>
          <w:rFonts w:ascii="Times New Roman" w:hAnsi="Times New Roman" w:eastAsia="仿宋_GB2312" w:cs="Times New Roman"/>
          <w:kern w:val="2"/>
          <w:sz w:val="32"/>
          <w:szCs w:val="32"/>
          <w:lang w:val="zh-CN"/>
        </w:rPr>
        <w:t>一般公共预算财政拨款</w:t>
      </w:r>
      <w:r>
        <w:rPr>
          <w:rFonts w:ascii="Times New Roman" w:hAnsi="Times New Roman" w:eastAsia="仿宋_GB2312" w:cs="Times New Roman"/>
          <w:kern w:val="2"/>
          <w:sz w:val="32"/>
          <w:szCs w:val="32"/>
        </w:rPr>
        <w:t>本年</w:t>
      </w:r>
      <w:r>
        <w:rPr>
          <w:rFonts w:ascii="Times New Roman" w:hAnsi="Times New Roman" w:eastAsia="仿宋_GB2312" w:cs="Times New Roman"/>
          <w:kern w:val="2"/>
          <w:sz w:val="32"/>
          <w:szCs w:val="32"/>
          <w:lang w:val="zh-CN"/>
        </w:rPr>
        <w:t>收入9,332.59万元，完成年初预算的 104.66%，比年初预算</w:t>
      </w:r>
      <w:r>
        <w:rPr>
          <w:rFonts w:hint="eastAsia" w:ascii="Times New Roman" w:hAnsi="Times New Roman" w:eastAsia="仿宋_GB2312" w:cs="Times New Roman"/>
          <w:sz w:val="30"/>
          <w:szCs w:val="30"/>
          <w:lang w:val="zh-CN"/>
        </w:rPr>
        <w:t>增加415.77万元</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lang w:val="zh-CN"/>
        </w:rPr>
        <w:t>；本年支出9,452.58万元，完成年初预算的106.01%，比年初预算</w:t>
      </w:r>
      <w:r>
        <w:rPr>
          <w:rFonts w:hint="eastAsia" w:ascii="Times New Roman" w:hAnsi="Times New Roman" w:eastAsia="仿宋_GB2312" w:cs="Times New Roman"/>
          <w:sz w:val="30"/>
          <w:szCs w:val="30"/>
          <w:lang w:val="zh-CN"/>
        </w:rPr>
        <w:t>增加535.76万元</w:t>
      </w:r>
      <w:r>
        <w:rPr>
          <w:rFonts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kern w:val="2"/>
          <w:sz w:val="32"/>
          <w:szCs w:val="32"/>
          <w:lang w:eastAsia="zh-CN"/>
        </w:rPr>
        <w:t>年中追加项目资金</w:t>
      </w:r>
      <w:r>
        <w:rPr>
          <w:rFonts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我部门无</w:t>
      </w:r>
      <w:r>
        <w:rPr>
          <w:rFonts w:ascii="Times New Roman" w:hAnsi="Times New Roman" w:eastAsia="仿宋_GB2312" w:cs="Times New Roman"/>
          <w:kern w:val="2"/>
          <w:sz w:val="32"/>
          <w:szCs w:val="32"/>
          <w:lang w:val="zh-CN"/>
        </w:rPr>
        <w:t>政府性基金预算财政拨款</w:t>
      </w:r>
      <w:r>
        <w:rPr>
          <w:rFonts w:hint="eastAsia" w:ascii="Times New Roman" w:hAnsi="Times New Roman" w:eastAsia="仿宋_GB2312" w:cs="Times New Roman"/>
          <w:kern w:val="2"/>
          <w:sz w:val="32"/>
          <w:szCs w:val="32"/>
          <w:lang w:val="zh-CN"/>
        </w:rPr>
        <w:t>收入</w:t>
      </w:r>
      <w:r>
        <w:rPr>
          <w:rFonts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我部门无</w:t>
      </w:r>
      <w:r>
        <w:rPr>
          <w:rFonts w:ascii="Times New Roman" w:hAnsi="Times New Roman" w:eastAsia="仿宋_GB2312" w:cs="Times New Roman"/>
          <w:kern w:val="2"/>
          <w:sz w:val="32"/>
          <w:szCs w:val="32"/>
          <w:lang w:val="zh-CN"/>
        </w:rPr>
        <w:t>政府性基金预算财政拨款</w:t>
      </w:r>
      <w:r>
        <w:rPr>
          <w:rFonts w:hint="eastAsia" w:ascii="Times New Roman" w:hAnsi="Times New Roman" w:eastAsia="仿宋_GB2312" w:cs="Times New Roman"/>
          <w:kern w:val="2"/>
          <w:sz w:val="32"/>
          <w:szCs w:val="32"/>
          <w:lang w:val="zh-CN"/>
        </w:rPr>
        <w:t>支出。</w:t>
      </w:r>
    </w:p>
    <w:p>
      <w:pPr>
        <w:autoSpaceDE w:val="0"/>
        <w:autoSpaceDN w:val="0"/>
        <w:adjustRightInd w:val="0"/>
        <w:spacing w:line="580" w:lineRule="exact"/>
        <w:ind w:firstLine="640" w:firstLineChars="200"/>
        <w:jc w:val="left"/>
        <w:rPr>
          <w:rFonts w:ascii="Times New Roman" w:hAnsi="Times New Roman" w:eastAsia="仿宋_GB2312" w:cs="Times New Roman"/>
          <w:color w:val="000000"/>
          <w:sz w:val="33"/>
          <w:szCs w:val="33"/>
          <w:shd w:val="clear" w:color="auto" w:fill="FFFFFF"/>
        </w:rPr>
      </w:pPr>
      <w:r>
        <w:rPr>
          <w:rFonts w:ascii="Times New Roman" w:hAnsi="Times New Roman" w:eastAsia="仿宋_GB2312" w:cs="Times New Roman"/>
          <w:kern w:val="2"/>
          <w:sz w:val="32"/>
          <w:szCs w:val="32"/>
          <w:lang w:val="zh-CN"/>
        </w:rPr>
        <w:t>3. 国有资本经营预算财政拨款本年收入0万元，完成年初预算的0%，</w:t>
      </w:r>
      <w:r>
        <w:rPr>
          <w:rFonts w:ascii="Times New Roman" w:hAnsi="Times New Roman" w:eastAsia="仿宋_GB2312" w:cs="Times New Roman"/>
          <w:sz w:val="30"/>
          <w:szCs w:val="30"/>
          <w:lang w:val="zh-CN"/>
        </w:rPr>
        <w:t>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我部门无</w:t>
      </w:r>
      <w:r>
        <w:rPr>
          <w:rFonts w:ascii="Times New Roman" w:hAnsi="Times New Roman" w:eastAsia="仿宋_GB2312" w:cs="Times New Roman"/>
          <w:kern w:val="2"/>
          <w:sz w:val="32"/>
          <w:szCs w:val="32"/>
          <w:lang w:val="zh-CN"/>
        </w:rPr>
        <w:t>国有资本经营预算财政拨款收入；本年支出0万元，完成年初预算的0%，比年初预算</w:t>
      </w:r>
      <w:r>
        <w:rPr>
          <w:rFonts w:hint="eastAsia" w:ascii="Times New Roman" w:hAnsi="Times New Roman" w:eastAsia="仿宋_GB2312" w:cs="Times New Roman"/>
          <w:sz w:val="30"/>
          <w:szCs w:val="30"/>
          <w:lang w:val="zh-CN"/>
        </w:rPr>
        <w:t>持平</w:t>
      </w:r>
      <w:r>
        <w:rPr>
          <w:rFonts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kern w:val="2"/>
          <w:sz w:val="32"/>
          <w:szCs w:val="32"/>
          <w:lang w:val="zh-CN"/>
        </w:rPr>
        <w:t>我部门无</w:t>
      </w:r>
      <w:r>
        <w:rPr>
          <w:rFonts w:ascii="Times New Roman" w:hAnsi="Times New Roman" w:eastAsia="仿宋_GB2312" w:cs="Times New Roman"/>
          <w:kern w:val="2"/>
          <w:sz w:val="32"/>
          <w:szCs w:val="32"/>
          <w:lang w:val="zh-CN"/>
        </w:rPr>
        <w:t>国有资本经营预算财政拨款</w:t>
      </w:r>
      <w:r>
        <w:rPr>
          <w:rFonts w:hint="eastAsia" w:ascii="Times New Roman" w:hAnsi="Times New Roman" w:eastAsia="仿宋_GB2312" w:cs="Times New Roman"/>
          <w:kern w:val="2"/>
          <w:sz w:val="32"/>
          <w:szCs w:val="32"/>
          <w:lang w:val="zh-CN"/>
        </w:rPr>
        <w:t>支出</w:t>
      </w:r>
      <w:r>
        <w:rPr>
          <w:rFonts w:ascii="Times New Roman" w:hAnsi="Times New Roman" w:eastAsia="仿宋_GB2312" w:cs="Times New Roman"/>
          <w:kern w:val="2"/>
          <w:sz w:val="32"/>
          <w:szCs w:val="32"/>
          <w:lang w:val="zh-CN"/>
        </w:rPr>
        <w:t>。</w:t>
      </w:r>
    </w:p>
    <w:p>
      <w:pPr>
        <w:pStyle w:val="11"/>
        <w:widowControl/>
        <w:spacing w:beforeAutospacing="0" w:afterAutospacing="0"/>
        <w:rPr>
          <w:rFonts w:ascii="Times New Roman" w:hAnsi="Times New Roman" w:eastAsia="Arial"/>
        </w:rPr>
      </w:pPr>
    </w:p>
    <w:p>
      <w:pPr>
        <w:pStyle w:val="11"/>
        <w:widowControl/>
        <w:spacing w:beforeAutospacing="0" w:afterAutospacing="0"/>
        <w:rPr>
          <w:rFonts w:ascii="Times New Roman" w:hAnsi="Times New Roman" w:eastAsia="仿宋_GB2312"/>
          <w:sz w:val="32"/>
          <w:szCs w:val="32"/>
          <w:highlight w:val="none"/>
        </w:rPr>
      </w:pPr>
      <w:r>
        <w:rPr>
          <w:rFonts w:ascii="Times New Roman" w:hAnsi="Times New Roman" w:eastAsia="仿宋_GB2312"/>
          <w:sz w:val="32"/>
          <w:szCs w:val="32"/>
          <w:highlight w:val="none"/>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1"/>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（三）财政拨款支出决算结构情况</w:t>
      </w:r>
    </w:p>
    <w:p>
      <w:pPr>
        <w:adjustRightInd w:val="0"/>
        <w:snapToGrid w:val="0"/>
        <w:spacing w:line="580" w:lineRule="exact"/>
        <w:ind w:firstLine="640" w:firstLineChars="200"/>
        <w:jc w:val="left"/>
        <w:rPr>
          <w:rFonts w:ascii="Times New Roman" w:hAnsi="Times New Roman" w:eastAsia="仿宋_GB2312" w:cs="Times New Roman"/>
          <w:sz w:val="32"/>
          <w:szCs w:val="32"/>
          <w:highlight w:val="yellow"/>
        </w:rPr>
      </w:pP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年度财政拨款支出</w:t>
      </w:r>
      <w:r>
        <w:rPr>
          <w:rFonts w:ascii="Times New Roman" w:hAnsi="Times New Roman" w:eastAsia="仿宋_GB2312" w:cs="Times New Roman"/>
          <w:kern w:val="2"/>
          <w:sz w:val="32"/>
          <w:szCs w:val="32"/>
        </w:rPr>
        <w:t>9,452.58</w:t>
      </w:r>
      <w:r>
        <w:rPr>
          <w:rFonts w:ascii="Times New Roman" w:hAnsi="Times New Roman" w:eastAsia="仿宋_GB2312" w:cs="Times New Roman"/>
          <w:kern w:val="2"/>
          <w:sz w:val="32"/>
          <w:szCs w:val="32"/>
          <w:lang w:val="zh-CN"/>
        </w:rPr>
        <w:t>万元</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主要用于以下方面</w:t>
      </w:r>
      <w:r>
        <w:rPr>
          <w:rFonts w:ascii="Times New Roman" w:hAnsi="Times New Roman" w:eastAsia="仿宋_GB2312" w:cs="Times New Roman"/>
          <w:kern w:val="2"/>
          <w:sz w:val="32"/>
          <w:szCs w:val="32"/>
        </w:rPr>
        <w:t>：</w:t>
      </w:r>
    </w:p>
    <w:p>
      <w:pPr>
        <w:pStyle w:val="11"/>
        <w:widowControl/>
        <w:spacing w:beforeAutospacing="0" w:afterAutospacing="0"/>
        <w:rPr>
          <w:rFonts w:ascii="Times New Roman" w:hAnsi="Times New Roman" w:eastAsia="仿宋_GB2312"/>
          <w:kern w:val="2"/>
          <w:sz w:val="32"/>
          <w:szCs w:val="32"/>
        </w:rPr>
      </w:pPr>
      <w:r>
        <w:rPr>
          <w:rFonts w:hint="eastAsia" w:ascii="Times New Roman" w:hAnsi="Times New Roman" w:eastAsia="仿宋_GB2312"/>
          <w:kern w:val="2"/>
          <w:sz w:val="32"/>
          <w:szCs w:val="32"/>
          <w:lang w:val="en-US" w:eastAsia="zh-CN"/>
        </w:rPr>
        <w:t xml:space="preserve">    </w:t>
      </w:r>
      <w:r>
        <w:rPr>
          <w:rFonts w:ascii="Times New Roman" w:hAnsi="Times New Roman" w:eastAsia="仿宋_GB2312"/>
          <w:kern w:val="2"/>
          <w:sz w:val="32"/>
          <w:szCs w:val="32"/>
          <w:lang w:val="zh-CN"/>
        </w:rPr>
        <w:t>一般公共服务</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7,930.87</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83.9%；</w:t>
      </w:r>
      <w:r>
        <w:rPr>
          <w:rFonts w:ascii="Times New Roman" w:hAnsi="Times New Roman" w:eastAsia="仿宋_GB2312"/>
          <w:kern w:val="2"/>
          <w:sz w:val="32"/>
          <w:szCs w:val="32"/>
          <w:lang w:val="zh-CN"/>
        </w:rPr>
        <w:t>社会保障和就业</w:t>
      </w:r>
      <w:r>
        <w:rPr>
          <w:rFonts w:ascii="Times New Roman" w:hAnsi="Times New Roman" w:eastAsia="仿宋_GB2312"/>
          <w:kern w:val="2"/>
          <w:sz w:val="32"/>
          <w:szCs w:val="32"/>
        </w:rPr>
        <w:t xml:space="preserve"> （</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968.73</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10.25%；</w:t>
      </w:r>
      <w:r>
        <w:rPr>
          <w:rFonts w:ascii="Times New Roman" w:hAnsi="Times New Roman" w:eastAsia="仿宋_GB2312"/>
          <w:kern w:val="2"/>
          <w:sz w:val="32"/>
          <w:szCs w:val="32"/>
          <w:lang w:val="zh-CN"/>
        </w:rPr>
        <w:t>卫生健康</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256.37</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2.71%；</w:t>
      </w:r>
      <w:r>
        <w:rPr>
          <w:rFonts w:ascii="Times New Roman" w:hAnsi="Times New Roman" w:eastAsia="仿宋_GB2312"/>
          <w:kern w:val="2"/>
          <w:sz w:val="32"/>
          <w:szCs w:val="32"/>
          <w:lang w:val="zh-CN"/>
        </w:rPr>
        <w:t>住房保障</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类</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w:t>
      </w:r>
      <w:r>
        <w:rPr>
          <w:rFonts w:ascii="Times New Roman" w:hAnsi="Times New Roman" w:eastAsia="仿宋_GB2312"/>
          <w:kern w:val="2"/>
          <w:sz w:val="32"/>
          <w:szCs w:val="32"/>
        </w:rPr>
        <w:t>296.62</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w:t>
      </w:r>
      <w:r>
        <w:rPr>
          <w:rFonts w:ascii="Times New Roman" w:hAnsi="Times New Roman" w:eastAsia="仿宋_GB2312"/>
          <w:kern w:val="2"/>
          <w:sz w:val="32"/>
          <w:szCs w:val="32"/>
        </w:rPr>
        <w:t>3.14%</w:t>
      </w:r>
      <w:r>
        <w:rPr>
          <w:rFonts w:hint="eastAsia" w:ascii="Times New Roman" w:hAnsi="Times New Roman" w:eastAsia="仿宋_GB2312"/>
          <w:kern w:val="2"/>
          <w:sz w:val="32"/>
          <w:szCs w:val="32"/>
          <w:lang w:eastAsia="zh-CN"/>
        </w:rPr>
        <w:t>。</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drawing>
          <wp:inline distT="0" distB="0" distL="114300" distR="114300">
            <wp:extent cx="5256530" cy="2988310"/>
            <wp:effectExtent l="0" t="0" r="1270" b="2540"/>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11"/>
        <w:widowControl/>
        <w:numPr>
          <w:ilvl w:val="0"/>
          <w:numId w:val="2"/>
        </w:numPr>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一般公共预算基本支出决算情况说明</w:t>
      </w:r>
    </w:p>
    <w:p>
      <w:pPr>
        <w:pStyle w:val="11"/>
        <w:widowControl/>
        <w:spacing w:beforeAutospacing="0" w:afterAutospacing="0"/>
        <w:ind w:firstLine="640" w:firstLineChars="200"/>
        <w:rPr>
          <w:rFonts w:ascii="Times New Roman" w:hAnsi="Times New Roman" w:eastAsia="仿宋_GB2312"/>
          <w:kern w:val="2"/>
          <w:sz w:val="32"/>
          <w:szCs w:val="32"/>
        </w:rPr>
      </w:pP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年度财政拨款基本支出</w:t>
      </w:r>
      <w:r>
        <w:rPr>
          <w:rFonts w:ascii="Times New Roman" w:hAnsi="Times New Roman" w:eastAsia="仿宋_GB2312"/>
          <w:kern w:val="2"/>
          <w:sz w:val="32"/>
          <w:szCs w:val="32"/>
        </w:rPr>
        <w:t>4,595.87</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p>
    <w:p>
      <w:pPr>
        <w:pStyle w:val="11"/>
        <w:widowControl/>
        <w:spacing w:beforeAutospacing="0" w:afterAutospacing="0"/>
        <w:ind w:firstLine="640" w:firstLineChars="200"/>
        <w:rPr>
          <w:rFonts w:ascii="Times New Roman" w:hAnsi="Times New Roman" w:eastAsia="仿宋_GB2312"/>
          <w:sz w:val="32"/>
          <w:szCs w:val="32"/>
        </w:rPr>
      </w:pPr>
      <w:r>
        <w:rPr>
          <w:rFonts w:ascii="Times New Roman" w:hAnsi="Times New Roman" w:eastAsia="仿宋_GB2312"/>
          <w:kern w:val="2"/>
          <w:sz w:val="32"/>
          <w:szCs w:val="32"/>
          <w:lang w:val="zh-CN"/>
        </w:rPr>
        <w:t>人员经费4,190.72万元，主要包括基本工资、津贴补贴、奖金、机关事业</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基本养老保险缴费、职工基本医疗保险缴费、公务员医疗补助缴费、住房公积金</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其他工资福利支出、离休费、退休费、抚恤金</w:t>
      </w:r>
      <w:r>
        <w:rPr>
          <w:rFonts w:hint="eastAsia" w:ascii="Times New Roman" w:hAnsi="Times New Roman" w:eastAsia="仿宋_GB2312"/>
          <w:kern w:val="2"/>
          <w:sz w:val="32"/>
          <w:szCs w:val="32"/>
          <w:lang w:val="zh-CN"/>
        </w:rPr>
        <w:t>、</w:t>
      </w:r>
      <w:r>
        <w:rPr>
          <w:rFonts w:ascii="Times New Roman" w:hAnsi="Times New Roman" w:eastAsia="仿宋_GB2312"/>
          <w:kern w:val="2"/>
          <w:sz w:val="32"/>
          <w:szCs w:val="32"/>
          <w:lang w:val="zh-CN"/>
        </w:rPr>
        <w:t>其他对</w:t>
      </w:r>
      <w:r>
        <w:rPr>
          <w:rFonts w:ascii="Times New Roman" w:hAnsi="Times New Roman" w:eastAsia="仿宋_GB2312"/>
          <w:color w:val="333333"/>
          <w:sz w:val="33"/>
          <w:szCs w:val="33"/>
          <w:shd w:val="clear" w:color="auto" w:fill="FFFFFF"/>
        </w:rPr>
        <w:t>个人和家庭</w:t>
      </w:r>
      <w:r>
        <w:rPr>
          <w:rFonts w:ascii="Times New Roman" w:hAnsi="Times New Roman" w:eastAsia="仿宋_GB2312"/>
          <w:kern w:val="2"/>
          <w:sz w:val="32"/>
          <w:szCs w:val="32"/>
          <w:lang w:val="zh-CN"/>
        </w:rPr>
        <w:t>的补助支出。</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公用经费405.15万元，主要包括办公费、邮电费、差旅费、因公出国（境）费用、会议费、培训费、工会经费、福利费、其他交通费用。</w:t>
      </w:r>
    </w:p>
    <w:p>
      <w:pPr>
        <w:pStyle w:val="11"/>
        <w:widowControl/>
        <w:spacing w:beforeAutospacing="0" w:afterAutospacing="0"/>
        <w:jc w:val="both"/>
        <w:outlineLvl w:val="1"/>
        <w:rPr>
          <w:rFonts w:ascii="Times New Roman" w:hAnsi="Times New Roman" w:eastAsia="黑体"/>
          <w:kern w:val="2"/>
          <w:sz w:val="32"/>
          <w:szCs w:val="32"/>
        </w:rPr>
      </w:pPr>
      <w:r>
        <w:rPr>
          <w:rFonts w:ascii="Times New Roman" w:hAnsi="Times New Roman" w:eastAsia="黑体"/>
          <w:kern w:val="2"/>
          <w:sz w:val="32"/>
          <w:szCs w:val="32"/>
        </w:rPr>
        <w:t>五、财政拨款“三公” 经费支出决算情况说明</w:t>
      </w:r>
    </w:p>
    <w:p>
      <w:pPr>
        <w:pStyle w:val="11"/>
        <w:widowControl/>
        <w:spacing w:beforeAutospacing="0" w:afterAutospacing="0"/>
        <w:jc w:val="both"/>
        <w:outlineLvl w:val="2"/>
        <w:rPr>
          <w:rFonts w:ascii="Times New Roman" w:hAnsi="Times New Roman" w:eastAsia="楷体_GB2312"/>
          <w:b/>
          <w:bCs/>
          <w:kern w:val="2"/>
          <w:sz w:val="32"/>
          <w:szCs w:val="32"/>
        </w:rPr>
      </w:pPr>
      <w:r>
        <w:rPr>
          <w:rFonts w:ascii="Times New Roman" w:hAnsi="Times New Roman" w:eastAsia="楷体_GB2312"/>
          <w:b/>
          <w:bCs/>
          <w:kern w:val="2"/>
          <w:sz w:val="32"/>
          <w:szCs w:val="32"/>
        </w:rPr>
        <w:t>（一）“三公”经费财政拨款支出决算总体情况说明</w:t>
      </w:r>
    </w:p>
    <w:p>
      <w:pPr>
        <w:pStyle w:val="11"/>
        <w:widowControl/>
        <w:spacing w:beforeAutospacing="0" w:afterAutospacing="0"/>
        <w:rPr>
          <w:rFonts w:ascii="Times New Roman" w:hAnsi="Times New Roman" w:eastAsia="仿宋_GB2312"/>
          <w:kern w:val="2"/>
          <w:sz w:val="32"/>
          <w:szCs w:val="32"/>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 xml:space="preserve"> 本</w:t>
      </w:r>
      <w:r>
        <w:rPr>
          <w:rFonts w:hint="eastAsia" w:ascii="Times New Roman" w:hAnsi="Times New Roman" w:eastAsia="仿宋_GB2312"/>
          <w:kern w:val="2"/>
          <w:sz w:val="32"/>
          <w:szCs w:val="32"/>
          <w:lang w:eastAsia="zh-CN"/>
        </w:rPr>
        <w:t>部门</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三公</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经费财政拨款支出预算为</w:t>
      </w:r>
      <w:r>
        <w:rPr>
          <w:rFonts w:ascii="Times New Roman" w:hAnsi="Times New Roman" w:eastAsia="仿宋_GB2312"/>
          <w:kern w:val="2"/>
          <w:sz w:val="32"/>
          <w:szCs w:val="32"/>
        </w:rPr>
        <w:t>30</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支出决算为</w:t>
      </w:r>
      <w:r>
        <w:rPr>
          <w:rFonts w:ascii="Times New Roman" w:hAnsi="Times New Roman" w:eastAsia="仿宋_GB2312"/>
          <w:kern w:val="2"/>
          <w:sz w:val="32"/>
          <w:szCs w:val="32"/>
        </w:rPr>
        <w:t xml:space="preserve"> 24.58</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完成预算的</w:t>
      </w:r>
      <w:r>
        <w:rPr>
          <w:rFonts w:ascii="Times New Roman" w:hAnsi="Times New Roman" w:eastAsia="仿宋_GB2312"/>
          <w:kern w:val="2"/>
          <w:sz w:val="32"/>
          <w:szCs w:val="32"/>
        </w:rPr>
        <w:t xml:space="preserve"> 81.91%，</w:t>
      </w:r>
      <w:r>
        <w:rPr>
          <w:rFonts w:ascii="Times New Roman" w:hAnsi="Times New Roman" w:eastAsia="仿宋_GB2312"/>
          <w:kern w:val="2"/>
          <w:sz w:val="32"/>
          <w:szCs w:val="32"/>
          <w:lang w:val="zh-CN"/>
        </w:rPr>
        <w:t>较预算</w:t>
      </w:r>
      <w:r>
        <w:rPr>
          <w:rFonts w:hint="eastAsia" w:ascii="Times New Roman" w:hAnsi="Times New Roman" w:eastAsia="仿宋_GB2312"/>
          <w:sz w:val="30"/>
          <w:szCs w:val="30"/>
        </w:rPr>
        <w:t>增加22.28万元</w:t>
      </w:r>
      <w:r>
        <w:rPr>
          <w:rFonts w:hint="eastAsia" w:ascii="Times New Roman" w:hAnsi="Times New Roman" w:eastAsia="仿宋_GB2312"/>
          <w:kern w:val="2"/>
          <w:sz w:val="32"/>
          <w:szCs w:val="32"/>
        </w:rPr>
        <w:t>，增加968.57%，</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年中追加因公出国（境）经费</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年度决算</w:t>
      </w:r>
      <w:r>
        <w:rPr>
          <w:rFonts w:hint="eastAsia" w:ascii="Times New Roman" w:hAnsi="Times New Roman" w:eastAsia="仿宋_GB2312"/>
          <w:kern w:val="2"/>
          <w:sz w:val="32"/>
          <w:szCs w:val="32"/>
        </w:rPr>
        <w:t>增加24.58万元</w:t>
      </w:r>
      <w:r>
        <w:rPr>
          <w:rFonts w:hint="eastAsia" w:ascii="Times New Roman" w:hAnsi="Times New Roman" w:eastAsia="仿宋_GB2312" w:cs="仿宋_GB2312"/>
          <w:sz w:val="30"/>
          <w:szCs w:val="30"/>
        </w:rPr>
        <w:t>，</w:t>
      </w:r>
      <w:r>
        <w:rPr>
          <w:rFonts w:hint="eastAsia" w:ascii="Times New Roman" w:hAnsi="Times New Roman" w:eastAsia="仿宋_GB2312"/>
          <w:kern w:val="2"/>
          <w:sz w:val="32"/>
          <w:szCs w:val="32"/>
        </w:rPr>
        <w:t>增加0%，</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年中追加因公出国（境）经费，</w:t>
      </w:r>
      <w:r>
        <w:rPr>
          <w:rFonts w:hint="eastAsia" w:ascii="Times New Roman" w:hAnsi="Times New Roman" w:eastAsia="仿宋_GB2312"/>
          <w:kern w:val="2"/>
          <w:sz w:val="32"/>
          <w:szCs w:val="32"/>
          <w:lang w:val="en-US" w:eastAsia="zh-CN"/>
        </w:rPr>
        <w:t>2022年无“三公”经费支出</w:t>
      </w:r>
      <w:r>
        <w:rPr>
          <w:rFonts w:ascii="Times New Roman" w:hAnsi="Times New Roman" w:eastAsia="仿宋_GB2312"/>
          <w:kern w:val="2"/>
          <w:sz w:val="32"/>
          <w:szCs w:val="32"/>
          <w:lang w:val="zh-CN"/>
        </w:rPr>
        <w:t>。</w:t>
      </w:r>
    </w:p>
    <w:p>
      <w:pPr>
        <w:adjustRightInd w:val="0"/>
        <w:snapToGrid w:val="0"/>
        <w:spacing w:line="580" w:lineRule="exact"/>
        <w:rPr>
          <w:rFonts w:ascii="Times New Roman" w:hAnsi="Times New Roman" w:eastAsia="楷体_GB2312" w:cs="Times New Roman"/>
          <w:b/>
          <w:bCs/>
          <w:kern w:val="2"/>
          <w:sz w:val="32"/>
          <w:szCs w:val="32"/>
        </w:rPr>
      </w:pPr>
      <w:r>
        <w:rPr>
          <w:rFonts w:ascii="Times New Roman" w:hAnsi="Times New Roman" w:eastAsia="楷体_GB2312" w:cs="Times New Roman"/>
          <w:b/>
          <w:bCs/>
          <w:kern w:val="2"/>
          <w:sz w:val="32"/>
          <w:szCs w:val="32"/>
        </w:rPr>
        <w:t>（二）“三公”经费财政拨款支出决算具体情况说明</w:t>
      </w:r>
    </w:p>
    <w:p>
      <w:pPr>
        <w:pStyle w:val="11"/>
        <w:widowControl/>
        <w:spacing w:beforeAutospacing="0" w:afterAutospacing="0"/>
        <w:ind w:firstLine="643" w:firstLineChars="200"/>
        <w:rPr>
          <w:rFonts w:ascii="Times New Roman" w:hAnsi="Times New Roman" w:eastAsia="仿宋_GB2312"/>
          <w:kern w:val="2"/>
          <w:sz w:val="32"/>
          <w:szCs w:val="32"/>
        </w:rPr>
      </w:pPr>
      <w:r>
        <w:rPr>
          <w:rFonts w:ascii="Times New Roman" w:hAnsi="Times New Roman" w:eastAsia="楷体_GB2312"/>
          <w:b/>
          <w:bCs/>
          <w:kern w:val="2"/>
          <w:sz w:val="32"/>
          <w:szCs w:val="32"/>
        </w:rPr>
        <w:t>1.因公出国（境）费支出情况。</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rPr>
        <w:t>2023年度因公出国（境）费支出预算为27.7万元,支出决算24.58万元。完成预算的88.71%。因公出国（境）费支出较预算</w:t>
      </w:r>
      <w:r>
        <w:rPr>
          <w:rFonts w:hint="eastAsia" w:ascii="Times New Roman" w:hAnsi="Times New Roman" w:eastAsia="仿宋_GB2312"/>
          <w:kern w:val="2"/>
          <w:sz w:val="32"/>
          <w:szCs w:val="32"/>
          <w:lang w:val="zh-CN"/>
        </w:rPr>
        <w:t>减少3.13万元</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zh-CN"/>
        </w:rPr>
        <w:t>减少11.29%，</w:t>
      </w:r>
      <w:r>
        <w:rPr>
          <w:rFonts w:ascii="Times New Roman" w:hAnsi="Times New Roman" w:eastAsia="仿宋_GB2312"/>
          <w:kern w:val="2"/>
          <w:sz w:val="32"/>
          <w:szCs w:val="32"/>
        </w:rPr>
        <w:t>主要是</w:t>
      </w:r>
      <w:r>
        <w:rPr>
          <w:rFonts w:hint="eastAsia" w:ascii="Times New Roman" w:hAnsi="Times New Roman" w:eastAsia="仿宋_GB2312"/>
          <w:kern w:val="2"/>
          <w:sz w:val="32"/>
          <w:szCs w:val="32"/>
          <w:lang w:eastAsia="zh-CN"/>
        </w:rPr>
        <w:t>项目支出以实际发生为准</w:t>
      </w:r>
      <w:r>
        <w:rPr>
          <w:rFonts w:ascii="Times New Roman" w:hAnsi="Times New Roman" w:eastAsia="仿宋_GB2312"/>
          <w:kern w:val="2"/>
          <w:sz w:val="32"/>
          <w:szCs w:val="32"/>
        </w:rPr>
        <w:t>；较上年</w:t>
      </w:r>
      <w:r>
        <w:rPr>
          <w:rFonts w:hint="eastAsia" w:ascii="Times New Roman" w:hAnsi="Times New Roman" w:eastAsia="仿宋_GB2312"/>
          <w:kern w:val="2"/>
          <w:sz w:val="32"/>
          <w:szCs w:val="32"/>
          <w:lang w:val="zh-CN"/>
        </w:rPr>
        <w:t>增加24.58万元</w:t>
      </w:r>
      <w:r>
        <w:rPr>
          <w:rFonts w:ascii="Times New Roman" w:hAnsi="Times New Roman" w:eastAsia="仿宋_GB2312"/>
          <w:kern w:val="2"/>
          <w:sz w:val="32"/>
          <w:szCs w:val="32"/>
        </w:rPr>
        <w:t>，</w:t>
      </w:r>
      <w:r>
        <w:rPr>
          <w:rFonts w:hint="eastAsia" w:ascii="Times New Roman" w:hAnsi="Times New Roman" w:eastAsia="仿宋_GB2312"/>
          <w:kern w:val="2"/>
          <w:sz w:val="32"/>
          <w:szCs w:val="32"/>
          <w:lang w:val="zh-CN"/>
        </w:rPr>
        <w:t>增加0%，</w:t>
      </w:r>
      <w:r>
        <w:rPr>
          <w:rFonts w:ascii="Times New Roman" w:hAnsi="Times New Roman" w:eastAsia="仿宋_GB2312"/>
          <w:kern w:val="2"/>
          <w:sz w:val="32"/>
          <w:szCs w:val="32"/>
        </w:rPr>
        <w:t>主要是</w:t>
      </w:r>
      <w:r>
        <w:rPr>
          <w:rFonts w:hint="eastAsia" w:ascii="Times New Roman" w:hAnsi="Times New Roman" w:eastAsia="仿宋_GB2312"/>
          <w:kern w:val="2"/>
          <w:sz w:val="32"/>
          <w:szCs w:val="32"/>
          <w:lang w:eastAsia="zh-CN"/>
        </w:rPr>
        <w:t>年中追加因公出国（境）经费，</w:t>
      </w:r>
      <w:r>
        <w:rPr>
          <w:rFonts w:hint="eastAsia" w:ascii="Times New Roman" w:hAnsi="Times New Roman" w:eastAsia="仿宋_GB2312"/>
          <w:kern w:val="2"/>
          <w:sz w:val="32"/>
          <w:szCs w:val="32"/>
          <w:lang w:val="en-US" w:eastAsia="zh-CN"/>
        </w:rPr>
        <w:t>2022年无“三公”经费支出</w:t>
      </w:r>
      <w:r>
        <w:rPr>
          <w:rFonts w:ascii="Times New Roman" w:hAnsi="Times New Roman" w:eastAsia="仿宋_GB2312"/>
          <w:kern w:val="2"/>
          <w:sz w:val="32"/>
          <w:szCs w:val="32"/>
        </w:rPr>
        <w:t>。因公出国（境）团组3个、共3人、参加其他</w:t>
      </w:r>
      <w:r>
        <w:rPr>
          <w:rFonts w:hint="eastAsia" w:ascii="Times New Roman" w:hAnsi="Times New Roman" w:eastAsia="仿宋_GB2312"/>
          <w:kern w:val="2"/>
          <w:sz w:val="32"/>
          <w:szCs w:val="32"/>
          <w:lang w:eastAsia="zh-CN"/>
        </w:rPr>
        <w:t>部门</w:t>
      </w:r>
      <w:r>
        <w:rPr>
          <w:rFonts w:ascii="Times New Roman" w:hAnsi="Times New Roman" w:eastAsia="仿宋_GB2312"/>
          <w:kern w:val="2"/>
          <w:sz w:val="32"/>
          <w:szCs w:val="32"/>
        </w:rPr>
        <w:t>组织的因公出国（境）团组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rPr>
        <w:t>个、共</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rPr>
        <w:t>人。</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2.</w:t>
      </w:r>
      <w:r>
        <w:rPr>
          <w:rFonts w:ascii="Times New Roman" w:hAnsi="Times New Roman" w:eastAsia="楷体_GB2312" w:cs="Times New Roman"/>
          <w:b/>
          <w:bCs/>
          <w:sz w:val="32"/>
          <w:szCs w:val="32"/>
        </w:rPr>
        <w:t>公务用车购置及运行维护费支出情况。</w:t>
      </w: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年度公务用车购置及运行维护费预算为0万元，支出决算 0万元，完成预算的0%,较预算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我部门无公务用车、</w:t>
      </w:r>
      <w:r>
        <w:rPr>
          <w:rFonts w:ascii="Times New Roman" w:hAnsi="Times New Roman" w:eastAsia="仿宋_GB2312" w:cs="Times New Roman"/>
          <w:kern w:val="2"/>
          <w:sz w:val="32"/>
          <w:szCs w:val="32"/>
          <w:lang w:val="zh-CN"/>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公务用车购置及运行维护</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我部门无公务用车、</w:t>
      </w:r>
      <w:r>
        <w:rPr>
          <w:rFonts w:ascii="Times New Roman" w:hAnsi="Times New Roman" w:eastAsia="仿宋_GB2312" w:cs="Times New Roman"/>
          <w:kern w:val="2"/>
          <w:sz w:val="32"/>
          <w:szCs w:val="32"/>
          <w:lang w:val="zh-CN"/>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公务用车购置及运行维护</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经费支出。其中：</w:t>
      </w:r>
    </w:p>
    <w:p>
      <w:pPr>
        <w:pStyle w:val="11"/>
        <w:widowControl/>
        <w:spacing w:beforeAutospacing="0" w:afterAutospacing="0"/>
        <w:rPr>
          <w:rFonts w:ascii="Times New Roman" w:hAnsi="Times New Roman" w:eastAsia="Arial"/>
        </w:rPr>
      </w:pPr>
    </w:p>
    <w:p>
      <w:pPr>
        <w:adjustRightInd w:val="0"/>
        <w:snapToGrid w:val="0"/>
        <w:spacing w:line="580" w:lineRule="exact"/>
        <w:ind w:firstLine="643" w:firstLineChars="200"/>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w:t>
      </w:r>
      <w:r>
        <w:rPr>
          <w:rFonts w:hint="eastAsia" w:ascii="Times New Roman" w:hAnsi="Times New Roman" w:eastAsia="仿宋_GB2312" w:cs="Times New Roman"/>
          <w:kern w:val="2"/>
          <w:sz w:val="32"/>
          <w:szCs w:val="32"/>
          <w:lang w:eastAsia="zh-CN"/>
        </w:rPr>
        <w:t>部门</w:t>
      </w: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年度公务用车购置量</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公务用车购置</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经费支出</w:t>
      </w:r>
      <w:r>
        <w:rPr>
          <w:rFonts w:ascii="Times New Roman" w:hAnsi="Times New Roman" w:eastAsia="仿宋_GB2312" w:cs="Times New Roman"/>
          <w:kern w:val="2"/>
          <w:sz w:val="32"/>
          <w:szCs w:val="32"/>
        </w:rPr>
        <w:t xml:space="preserve"> 0</w:t>
      </w:r>
      <w:r>
        <w:rPr>
          <w:rFonts w:ascii="Times New Roman" w:hAnsi="Times New Roman" w:eastAsia="仿宋_GB2312" w:cs="Times New Roman"/>
          <w:kern w:val="2"/>
          <w:sz w:val="32"/>
          <w:szCs w:val="32"/>
          <w:lang w:val="zh-CN"/>
        </w:rPr>
        <w:t>万元。公务用车购置费支出较预算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我部门无公务用车、</w:t>
      </w:r>
      <w:r>
        <w:rPr>
          <w:rFonts w:ascii="Times New Roman" w:hAnsi="Times New Roman" w:eastAsia="仿宋_GB2312"/>
          <w:sz w:val="32"/>
          <w:szCs w:val="32"/>
          <w:highlight w:val="none"/>
        </w:rPr>
        <w:t>未发生</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公务用车购置</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经费支出</w:t>
      </w:r>
      <w:r>
        <w:rPr>
          <w:rFonts w:ascii="Times New Roman" w:hAnsi="Times New Roman" w:eastAsia="仿宋_GB2312" w:cs="Times New Roman"/>
          <w:kern w:val="2"/>
          <w:sz w:val="32"/>
          <w:szCs w:val="32"/>
          <w:lang w:val="zh-CN"/>
        </w:rPr>
        <w:t>；较上年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我部门无公务用车、</w:t>
      </w:r>
      <w:r>
        <w:rPr>
          <w:rFonts w:ascii="Times New Roman" w:hAnsi="Times New Roman" w:eastAsia="仿宋_GB2312"/>
          <w:sz w:val="32"/>
          <w:szCs w:val="32"/>
          <w:highlight w:val="none"/>
        </w:rPr>
        <w:t>未发生</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公务用车购置</w:t>
      </w:r>
      <w:r>
        <w:rPr>
          <w:rFonts w:hint="eastAsia" w:ascii="Times New Roman" w:hAnsi="Times New Roman" w:eastAsia="仿宋_GB2312"/>
          <w:sz w:val="32"/>
          <w:szCs w:val="32"/>
          <w:highlight w:val="none"/>
          <w:lang w:eastAsia="zh-CN"/>
        </w:rPr>
        <w:t>”</w:t>
      </w:r>
      <w:r>
        <w:rPr>
          <w:rFonts w:ascii="Times New Roman" w:hAnsi="Times New Roman" w:eastAsia="仿宋_GB2312"/>
          <w:sz w:val="32"/>
          <w:szCs w:val="32"/>
          <w:highlight w:val="none"/>
        </w:rPr>
        <w:t>经费支出</w:t>
      </w:r>
      <w:r>
        <w:rPr>
          <w:rFonts w:ascii="Times New Roman" w:hAnsi="Times New Roman" w:eastAsia="仿宋_GB2312" w:cs="Times New Roman"/>
          <w:kern w:val="2"/>
          <w:sz w:val="32"/>
          <w:szCs w:val="32"/>
          <w:lang w:val="zh-CN"/>
        </w:rPr>
        <w:t>。</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0</w:t>
      </w:r>
      <w:r>
        <w:rPr>
          <w:rFonts w:ascii="Times New Roman" w:hAnsi="Times New Roman" w:eastAsia="楷体_GB2312" w:cs="Times New Roman"/>
          <w:b/>
          <w:bCs/>
          <w:sz w:val="32"/>
          <w:szCs w:val="32"/>
        </w:rPr>
        <w:t>万元</w:t>
      </w:r>
      <w:r>
        <w:rPr>
          <w:rFonts w:ascii="Times New Roman" w:hAnsi="Times New Roman" w:eastAsia="仿宋_GB2312" w:cs="Times New Roman"/>
          <w:b/>
          <w:sz w:val="32"/>
          <w:szCs w:val="32"/>
        </w:rPr>
        <w:t>：</w:t>
      </w:r>
      <w:r>
        <w:rPr>
          <w:rFonts w:ascii="Times New Roman" w:hAnsi="Times New Roman" w:eastAsia="仿宋_GB2312" w:cs="Times New Roman"/>
          <w:kern w:val="2"/>
          <w:sz w:val="32"/>
          <w:szCs w:val="32"/>
        </w:rPr>
        <w:t>本</w:t>
      </w:r>
      <w:r>
        <w:rPr>
          <w:rFonts w:hint="eastAsia" w:ascii="Times New Roman" w:hAnsi="Times New Roman" w:eastAsia="仿宋_GB2312" w:cs="Times New Roman"/>
          <w:kern w:val="2"/>
          <w:sz w:val="32"/>
          <w:szCs w:val="32"/>
          <w:lang w:eastAsia="zh-CN"/>
        </w:rPr>
        <w:t>部门</w:t>
      </w:r>
      <w:r>
        <w:rPr>
          <w:rFonts w:ascii="Times New Roman" w:hAnsi="Times New Roman" w:eastAsia="仿宋_GB2312" w:cs="Times New Roman"/>
          <w:kern w:val="2"/>
          <w:sz w:val="32"/>
          <w:szCs w:val="32"/>
        </w:rPr>
        <w:t>2023</w:t>
      </w:r>
      <w:r>
        <w:rPr>
          <w:rFonts w:ascii="Times New Roman" w:hAnsi="Times New Roman" w:eastAsia="仿宋_GB2312" w:cs="Times New Roman"/>
          <w:kern w:val="2"/>
          <w:sz w:val="32"/>
          <w:szCs w:val="32"/>
          <w:lang w:val="zh-CN"/>
        </w:rPr>
        <w:t>年度</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公务用车保有量</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辆</w:t>
      </w:r>
      <w:r>
        <w:rPr>
          <w:rFonts w:ascii="Times New Roman" w:hAnsi="Times New Roman" w:eastAsia="仿宋_GB2312" w:cs="Times New Roman"/>
          <w:kern w:val="2"/>
          <w:sz w:val="32"/>
          <w:szCs w:val="32"/>
        </w:rPr>
        <w:t>，</w:t>
      </w:r>
      <w:r>
        <w:rPr>
          <w:rFonts w:ascii="Times New Roman" w:hAnsi="Times New Roman" w:eastAsia="仿宋_GB2312" w:cs="Times New Roman"/>
          <w:kern w:val="2"/>
          <w:sz w:val="32"/>
          <w:szCs w:val="32"/>
          <w:lang w:val="zh-CN"/>
        </w:rPr>
        <w:t>发生运行维护费支出</w:t>
      </w:r>
      <w:r>
        <w:rPr>
          <w:rFonts w:ascii="Times New Roman" w:hAnsi="Times New Roman" w:eastAsia="仿宋_GB2312" w:cs="Times New Roman"/>
          <w:kern w:val="2"/>
          <w:sz w:val="32"/>
          <w:szCs w:val="32"/>
        </w:rPr>
        <w:t>0</w:t>
      </w:r>
      <w:r>
        <w:rPr>
          <w:rFonts w:ascii="Times New Roman" w:hAnsi="Times New Roman" w:eastAsia="仿宋_GB2312" w:cs="Times New Roman"/>
          <w:kern w:val="2"/>
          <w:sz w:val="32"/>
          <w:szCs w:val="32"/>
          <w:lang w:val="zh-CN"/>
        </w:rPr>
        <w:t>万元。公车运行维护费支出较预算</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我部门无公务用车、</w:t>
      </w:r>
      <w:r>
        <w:rPr>
          <w:rFonts w:ascii="Times New Roman" w:hAnsi="Times New Roman" w:eastAsia="仿宋_GB2312"/>
          <w:sz w:val="32"/>
          <w:szCs w:val="32"/>
          <w:highlight w:val="none"/>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公务用车运行维护费</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经费支出；较上年</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我部门无公务用车、</w:t>
      </w:r>
      <w:r>
        <w:rPr>
          <w:rFonts w:ascii="Times New Roman" w:hAnsi="Times New Roman" w:eastAsia="仿宋_GB2312" w:cs="Times New Roman"/>
          <w:kern w:val="2"/>
          <w:sz w:val="32"/>
          <w:szCs w:val="32"/>
          <w:lang w:val="zh-CN"/>
        </w:rPr>
        <w:t>未发生</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公务用车运行维护费</w:t>
      </w:r>
      <w:r>
        <w:rPr>
          <w:rFonts w:hint="eastAsia" w:ascii="Times New Roman" w:hAnsi="Times New Roman" w:eastAsia="仿宋_GB2312" w:cs="Times New Roman"/>
          <w:kern w:val="2"/>
          <w:sz w:val="32"/>
          <w:szCs w:val="32"/>
          <w:lang w:val="zh-CN" w:eastAsia="zh-CN"/>
        </w:rPr>
        <w:t>”</w:t>
      </w:r>
      <w:r>
        <w:rPr>
          <w:rFonts w:ascii="Times New Roman" w:hAnsi="Times New Roman" w:eastAsia="仿宋_GB2312" w:cs="Times New Roman"/>
          <w:kern w:val="2"/>
          <w:sz w:val="32"/>
          <w:szCs w:val="32"/>
          <w:lang w:val="zh-CN"/>
        </w:rPr>
        <w:t>经费支出。</w:t>
      </w:r>
    </w:p>
    <w:p>
      <w:pPr>
        <w:adjustRightInd w:val="0"/>
        <w:snapToGrid w:val="0"/>
        <w:spacing w:line="580" w:lineRule="exact"/>
        <w:ind w:firstLine="643" w:firstLineChars="200"/>
        <w:jc w:val="left"/>
        <w:rPr>
          <w:rFonts w:ascii="Times New Roman" w:hAnsi="Times New Roman" w:eastAsia="仿宋_GB2312" w:cs="Times New Roman"/>
          <w:kern w:val="2"/>
          <w:sz w:val="32"/>
          <w:szCs w:val="32"/>
          <w:lang w:val="zh-CN"/>
        </w:rPr>
      </w:pPr>
      <w:r>
        <w:rPr>
          <w:rFonts w:ascii="Times New Roman" w:hAnsi="Times New Roman" w:eastAsia="楷体_GB2312" w:cs="Times New Roman"/>
          <w:b/>
          <w:bCs/>
          <w:kern w:val="2"/>
          <w:sz w:val="32"/>
          <w:szCs w:val="32"/>
        </w:rPr>
        <w:t>3.公务接待费。</w:t>
      </w:r>
      <w:r>
        <w:rPr>
          <w:rFonts w:ascii="Times New Roman" w:hAnsi="Times New Roman" w:eastAsia="仿宋_GB2312" w:cs="Times New Roman"/>
          <w:kern w:val="2"/>
          <w:sz w:val="32"/>
          <w:szCs w:val="32"/>
          <w:lang w:val="zh-CN"/>
        </w:rPr>
        <w:t>本</w:t>
      </w:r>
      <w:r>
        <w:rPr>
          <w:rFonts w:hint="eastAsia" w:ascii="Times New Roman" w:hAnsi="Times New Roman" w:eastAsia="仿宋_GB2312" w:cs="Times New Roman"/>
          <w:kern w:val="2"/>
          <w:sz w:val="32"/>
          <w:szCs w:val="32"/>
          <w:lang w:val="zh-CN"/>
        </w:rPr>
        <w:t>部门</w:t>
      </w:r>
      <w:r>
        <w:rPr>
          <w:rFonts w:ascii="Times New Roman" w:hAnsi="Times New Roman" w:eastAsia="仿宋_GB2312" w:cs="Times New Roman"/>
          <w:kern w:val="2"/>
          <w:sz w:val="32"/>
          <w:szCs w:val="32"/>
          <w:lang w:val="zh-CN"/>
        </w:rPr>
        <w:t>202</w:t>
      </w:r>
      <w:r>
        <w:rPr>
          <w:rFonts w:ascii="Times New Roman" w:hAnsi="Times New Roman" w:eastAsia="仿宋_GB2312" w:cs="Times New Roman"/>
          <w:kern w:val="2"/>
          <w:sz w:val="32"/>
          <w:szCs w:val="32"/>
        </w:rPr>
        <w:t>3</w:t>
      </w:r>
      <w:r>
        <w:rPr>
          <w:rFonts w:ascii="Times New Roman" w:hAnsi="Times New Roman" w:eastAsia="仿宋_GB2312" w:cs="Times New Roman"/>
          <w:kern w:val="2"/>
          <w:sz w:val="32"/>
          <w:szCs w:val="32"/>
          <w:lang w:val="zh-CN"/>
        </w:rPr>
        <w:t>年度公务接待费支出预算为2.3万元，支出决算0万元，完成预算的0%。公务接待费支出较预算</w:t>
      </w:r>
      <w:r>
        <w:rPr>
          <w:rFonts w:hint="eastAsia" w:ascii="Times New Roman" w:hAnsi="Times New Roman" w:eastAsia="仿宋_GB2312" w:cs="Times New Roman"/>
          <w:kern w:val="2"/>
          <w:sz w:val="32"/>
          <w:szCs w:val="32"/>
          <w:lang w:val="zh-CN"/>
        </w:rPr>
        <w:t>减少2.3万元，减少100%，</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我部门未发生公务接待</w:t>
      </w:r>
      <w:r>
        <w:rPr>
          <w:rFonts w:ascii="Times New Roman" w:hAnsi="Times New Roman" w:eastAsia="仿宋_GB2312" w:cs="Times New Roman"/>
          <w:kern w:val="2"/>
          <w:sz w:val="32"/>
          <w:szCs w:val="32"/>
          <w:lang w:val="zh-CN"/>
        </w:rPr>
        <w:t>；较上年度</w:t>
      </w:r>
      <w:r>
        <w:rPr>
          <w:rFonts w:hint="eastAsia" w:ascii="Times New Roman" w:hAnsi="Times New Roman" w:eastAsia="仿宋_GB2312" w:cs="Times New Roman"/>
          <w:kern w:val="2"/>
          <w:sz w:val="32"/>
          <w:szCs w:val="32"/>
          <w:lang w:val="zh-CN"/>
        </w:rPr>
        <w:t>持平，</w:t>
      </w:r>
      <w:r>
        <w:rPr>
          <w:rFonts w:ascii="Times New Roman" w:hAnsi="Times New Roman" w:eastAsia="仿宋_GB2312" w:cs="Times New Roman"/>
          <w:kern w:val="2"/>
          <w:sz w:val="32"/>
          <w:szCs w:val="32"/>
          <w:lang w:val="zh-CN"/>
        </w:rPr>
        <w:t>主要是</w:t>
      </w:r>
      <w:r>
        <w:rPr>
          <w:rFonts w:hint="eastAsia" w:ascii="Times New Roman" w:hAnsi="Times New Roman" w:eastAsia="仿宋_GB2312" w:cs="Times New Roman"/>
          <w:kern w:val="2"/>
          <w:sz w:val="32"/>
          <w:szCs w:val="32"/>
          <w:lang w:val="zh-CN"/>
        </w:rPr>
        <w:t>我部门本年度、上年度均未发生公务接待</w:t>
      </w:r>
      <w:r>
        <w:rPr>
          <w:rFonts w:ascii="Times New Roman" w:hAnsi="Times New Roman" w:eastAsia="仿宋_GB2312" w:cs="Times New Roman"/>
          <w:kern w:val="2"/>
          <w:sz w:val="32"/>
          <w:szCs w:val="32"/>
          <w:lang w:val="zh-CN"/>
        </w:rPr>
        <w:t>。本年度共发生公务接待</w:t>
      </w:r>
      <w:r>
        <w:rPr>
          <w:rFonts w:hint="eastAsia" w:ascii="Times New Roman" w:hAnsi="Times New Roman" w:eastAsia="仿宋_GB2312" w:cs="Times New Roman"/>
          <w:kern w:val="2"/>
          <w:sz w:val="32"/>
          <w:szCs w:val="32"/>
          <w:lang w:val="en-US" w:eastAsia="zh-CN"/>
        </w:rPr>
        <w:t>0</w:t>
      </w:r>
      <w:r>
        <w:rPr>
          <w:rFonts w:ascii="Times New Roman" w:hAnsi="Times New Roman" w:eastAsia="仿宋_GB2312" w:cs="Times New Roman"/>
          <w:kern w:val="2"/>
          <w:sz w:val="32"/>
          <w:szCs w:val="32"/>
          <w:lang w:val="zh-CN"/>
        </w:rPr>
        <w:t>批次、</w:t>
      </w:r>
      <w:r>
        <w:rPr>
          <w:rFonts w:hint="eastAsia" w:ascii="Times New Roman" w:hAnsi="Times New Roman" w:eastAsia="仿宋_GB2312" w:cs="Times New Roman"/>
          <w:kern w:val="2"/>
          <w:sz w:val="32"/>
          <w:szCs w:val="32"/>
          <w:lang w:val="en-US" w:eastAsia="zh-CN"/>
        </w:rPr>
        <w:t>0</w:t>
      </w:r>
      <w:r>
        <w:rPr>
          <w:rFonts w:ascii="Times New Roman" w:hAnsi="Times New Roman" w:eastAsia="仿宋_GB2312" w:cs="Times New Roman"/>
          <w:kern w:val="2"/>
          <w:sz w:val="32"/>
          <w:szCs w:val="32"/>
          <w:lang w:val="zh-CN"/>
        </w:rPr>
        <w:t>人次。</w:t>
      </w:r>
    </w:p>
    <w:p>
      <w:pPr>
        <w:pStyle w:val="11"/>
        <w:widowControl/>
        <w:spacing w:beforeAutospacing="0" w:afterAutospacing="0"/>
        <w:jc w:val="both"/>
        <w:outlineLvl w:val="1"/>
        <w:rPr>
          <w:rFonts w:ascii="Times New Roman" w:hAnsi="Times New Roman" w:eastAsia="仿宋_GB2312"/>
          <w:sz w:val="32"/>
          <w:szCs w:val="32"/>
          <w:highlight w:val="yellow"/>
        </w:rPr>
      </w:pPr>
      <w:r>
        <w:rPr>
          <w:rFonts w:ascii="Times New Roman" w:hAnsi="Times New Roman" w:eastAsia="黑体"/>
          <w:color w:val="333333"/>
          <w:sz w:val="33"/>
          <w:szCs w:val="33"/>
          <w:shd w:val="clear" w:color="auto" w:fill="FFFFFF"/>
        </w:rPr>
        <w:t>六、</w:t>
      </w:r>
      <w:r>
        <w:rPr>
          <w:rFonts w:ascii="Times New Roman" w:hAnsi="Times New Roman" w:eastAsia="黑体"/>
          <w:sz w:val="32"/>
          <w:szCs w:val="32"/>
        </w:rPr>
        <w:t>机关运行经费支出说明</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w:t>
      </w:r>
      <w:r>
        <w:rPr>
          <w:rFonts w:hint="eastAsia" w:ascii="Times New Roman" w:hAnsi="Times New Roman" w:eastAsia="仿宋_GB2312"/>
          <w:kern w:val="2"/>
          <w:sz w:val="32"/>
          <w:szCs w:val="32"/>
          <w:lang w:eastAsia="zh-CN"/>
        </w:rPr>
        <w:t>部门</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年度机关运行经费支出</w:t>
      </w:r>
      <w:r>
        <w:rPr>
          <w:rFonts w:ascii="Times New Roman" w:hAnsi="Times New Roman" w:eastAsia="仿宋_GB2312"/>
          <w:kern w:val="2"/>
          <w:sz w:val="32"/>
          <w:szCs w:val="32"/>
        </w:rPr>
        <w:t>405.15</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较</w:t>
      </w:r>
      <w:r>
        <w:rPr>
          <w:rFonts w:ascii="Times New Roman" w:hAnsi="Times New Roman" w:eastAsia="仿宋_GB2312"/>
          <w:kern w:val="2"/>
          <w:sz w:val="32"/>
          <w:szCs w:val="32"/>
        </w:rPr>
        <w:t>2022</w:t>
      </w:r>
      <w:r>
        <w:rPr>
          <w:rFonts w:ascii="Times New Roman" w:hAnsi="Times New Roman" w:eastAsia="仿宋_GB2312"/>
          <w:kern w:val="2"/>
          <w:sz w:val="32"/>
          <w:szCs w:val="32"/>
          <w:lang w:val="zh-CN"/>
        </w:rPr>
        <w:t>年度</w:t>
      </w:r>
      <w:r>
        <w:rPr>
          <w:rFonts w:hint="eastAsia" w:ascii="Times New Roman" w:hAnsi="Times New Roman" w:eastAsia="仿宋_GB2312"/>
          <w:kern w:val="2"/>
          <w:sz w:val="32"/>
          <w:szCs w:val="32"/>
        </w:rPr>
        <w:t>增加65.82万元，增加19.4%，</w:t>
      </w:r>
      <w:r>
        <w:rPr>
          <w:rFonts w:ascii="Times New Roman" w:hAnsi="Times New Roman" w:eastAsia="仿宋_GB2312"/>
          <w:kern w:val="2"/>
          <w:sz w:val="32"/>
          <w:szCs w:val="32"/>
          <w:lang w:val="zh-CN"/>
        </w:rPr>
        <w:t>主要原因是</w:t>
      </w:r>
      <w:r>
        <w:rPr>
          <w:rFonts w:hint="eastAsia" w:ascii="Times New Roman" w:hAnsi="Times New Roman" w:eastAsia="仿宋_GB2312"/>
          <w:kern w:val="2"/>
          <w:sz w:val="32"/>
          <w:szCs w:val="32"/>
          <w:lang w:eastAsia="zh-CN"/>
        </w:rPr>
        <w:t>邮电费、差旅费等增加</w:t>
      </w:r>
      <w:r>
        <w:rPr>
          <w:rFonts w:ascii="Times New Roman" w:hAnsi="Times New Roman" w:eastAsia="仿宋_GB2312"/>
          <w:kern w:val="2"/>
          <w:sz w:val="32"/>
          <w:szCs w:val="32"/>
          <w:lang w:val="zh-CN"/>
        </w:rPr>
        <w:t>。</w:t>
      </w:r>
    </w:p>
    <w:p>
      <w:pPr>
        <w:adjustRightInd w:val="0"/>
        <w:snapToGrid w:val="0"/>
        <w:spacing w:line="580" w:lineRule="exac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七、</w:t>
      </w:r>
      <w:r>
        <w:rPr>
          <w:rFonts w:ascii="Times New Roman" w:hAnsi="Times New Roman" w:eastAsia="黑体" w:cs="Times New Roman"/>
          <w:sz w:val="32"/>
          <w:szCs w:val="32"/>
        </w:rPr>
        <w:t>政府采购支出说明</w:t>
      </w:r>
    </w:p>
    <w:p>
      <w:pPr>
        <w:pStyle w:val="11"/>
        <w:widowControl/>
        <w:spacing w:beforeAutospacing="0" w:afterAutospacing="0"/>
        <w:rPr>
          <w:rFonts w:ascii="Times New Roman" w:hAnsi="Times New Roman" w:eastAsia="仿宋_GB2312"/>
          <w:sz w:val="32"/>
          <w:szCs w:val="32"/>
          <w:highlight w:val="yellow"/>
        </w:rPr>
      </w:pPr>
      <w:r>
        <w:rPr>
          <w:rFonts w:ascii="Times New Roman" w:hAnsi="Times New Roman" w:eastAsia="Arial"/>
          <w:color w:val="333333"/>
          <w:sz w:val="19"/>
          <w:szCs w:val="19"/>
          <w:shd w:val="clear" w:color="auto" w:fill="FFFFFF"/>
        </w:rPr>
        <w:t> </w:t>
      </w: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rPr>
        <w:t>本</w:t>
      </w:r>
      <w:r>
        <w:rPr>
          <w:rFonts w:hint="eastAsia" w:ascii="Times New Roman" w:hAnsi="Times New Roman" w:eastAsia="仿宋_GB2312"/>
          <w:kern w:val="2"/>
          <w:sz w:val="32"/>
          <w:szCs w:val="32"/>
          <w:lang w:eastAsia="zh-CN"/>
        </w:rPr>
        <w:t>部门</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年度政府采购支出总额</w:t>
      </w:r>
      <w:r>
        <w:rPr>
          <w:rFonts w:ascii="Times New Roman" w:hAnsi="Times New Roman" w:eastAsia="仿宋_GB2312"/>
          <w:kern w:val="2"/>
          <w:sz w:val="32"/>
          <w:szCs w:val="32"/>
        </w:rPr>
        <w:t>220.61</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从采购类型来看</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政府采购货物支出</w:t>
      </w:r>
      <w:r>
        <w:rPr>
          <w:rFonts w:ascii="Times New Roman" w:hAnsi="Times New Roman" w:eastAsia="仿宋_GB2312"/>
          <w:kern w:val="2"/>
          <w:sz w:val="32"/>
          <w:szCs w:val="32"/>
        </w:rPr>
        <w:t>25.77</w:t>
      </w:r>
      <w:r>
        <w:rPr>
          <w:rFonts w:ascii="Times New Roman" w:hAnsi="Times New Roman" w:eastAsia="仿宋_GB2312"/>
          <w:kern w:val="2"/>
          <w:sz w:val="32"/>
          <w:szCs w:val="32"/>
          <w:lang w:val="zh-CN"/>
        </w:rPr>
        <w:t>万元、政府采购工程支出</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万元、政府采购服务支出</w:t>
      </w:r>
      <w:r>
        <w:rPr>
          <w:rFonts w:ascii="Times New Roman" w:hAnsi="Times New Roman" w:eastAsia="仿宋_GB2312"/>
          <w:kern w:val="2"/>
          <w:sz w:val="32"/>
          <w:szCs w:val="32"/>
        </w:rPr>
        <w:t>194.83</w:t>
      </w:r>
      <w:r>
        <w:rPr>
          <w:rFonts w:ascii="Times New Roman" w:hAnsi="Times New Roman" w:eastAsia="仿宋_GB2312"/>
          <w:kern w:val="2"/>
          <w:sz w:val="32"/>
          <w:szCs w:val="32"/>
          <w:lang w:val="zh-CN"/>
        </w:rPr>
        <w:t>万元。授予中小企业</w:t>
      </w:r>
      <w:r>
        <w:rPr>
          <w:rFonts w:ascii="Times New Roman" w:hAnsi="Times New Roman" w:eastAsia="仿宋_GB2312"/>
          <w:kern w:val="2"/>
          <w:sz w:val="32"/>
          <w:szCs w:val="32"/>
        </w:rPr>
        <w:t>合同金额</w:t>
      </w:r>
      <w:r>
        <w:rPr>
          <w:rFonts w:hint="eastAsia" w:ascii="Times New Roman" w:hAnsi="Times New Roman" w:eastAsia="仿宋_GB2312"/>
          <w:kern w:val="2"/>
          <w:sz w:val="32"/>
          <w:szCs w:val="32"/>
          <w:lang w:val="en-US" w:eastAsia="zh-CN"/>
        </w:rPr>
        <w:t>220.61</w:t>
      </w:r>
      <w:r>
        <w:rPr>
          <w:rFonts w:ascii="Times New Roman" w:hAnsi="Times New Roman" w:eastAsia="仿宋_GB2312"/>
          <w:kern w:val="2"/>
          <w:sz w:val="32"/>
          <w:szCs w:val="32"/>
          <w:lang w:val="zh-CN"/>
        </w:rPr>
        <w:t>万元，占政府采购支出总额的</w:t>
      </w:r>
      <w:r>
        <w:rPr>
          <w:rFonts w:hint="eastAsia" w:ascii="Times New Roman" w:hAnsi="Times New Roman" w:eastAsia="仿宋_GB2312"/>
          <w:kern w:val="2"/>
          <w:sz w:val="32"/>
          <w:szCs w:val="32"/>
          <w:lang w:val="en-US" w:eastAsia="zh-CN"/>
        </w:rPr>
        <w:t>10</w:t>
      </w:r>
      <w:r>
        <w:rPr>
          <w:rFonts w:ascii="Times New Roman" w:hAnsi="Times New Roman" w:eastAsia="仿宋_GB2312"/>
          <w:kern w:val="2"/>
          <w:sz w:val="32"/>
          <w:szCs w:val="32"/>
          <w:lang w:val="zh-CN"/>
        </w:rPr>
        <w:t>0%，其中授予小微企业合同金额</w:t>
      </w:r>
      <w:r>
        <w:rPr>
          <w:rFonts w:hint="eastAsia" w:ascii="Times New Roman" w:hAnsi="Times New Roman" w:eastAsia="仿宋_GB2312"/>
          <w:kern w:val="2"/>
          <w:sz w:val="32"/>
          <w:szCs w:val="32"/>
          <w:lang w:val="en-US" w:eastAsia="zh-CN"/>
        </w:rPr>
        <w:t>20.84</w:t>
      </w:r>
      <w:r>
        <w:rPr>
          <w:rFonts w:ascii="Times New Roman" w:hAnsi="Times New Roman" w:eastAsia="仿宋_GB2312"/>
          <w:kern w:val="2"/>
          <w:sz w:val="32"/>
          <w:szCs w:val="32"/>
          <w:lang w:val="zh-CN"/>
        </w:rPr>
        <w:t>万元，占政府采购支出总额的</w:t>
      </w:r>
      <w:r>
        <w:rPr>
          <w:rFonts w:hint="eastAsia" w:ascii="Times New Roman" w:hAnsi="Times New Roman" w:eastAsia="仿宋_GB2312"/>
          <w:kern w:val="2"/>
          <w:sz w:val="32"/>
          <w:szCs w:val="32"/>
          <w:lang w:val="en-US" w:eastAsia="zh-CN"/>
        </w:rPr>
        <w:t>9.45</w:t>
      </w:r>
      <w:r>
        <w:rPr>
          <w:rFonts w:ascii="Times New Roman" w:hAnsi="Times New Roman" w:eastAsia="仿宋_GB2312"/>
          <w:kern w:val="2"/>
          <w:sz w:val="32"/>
          <w:szCs w:val="32"/>
          <w:lang w:val="zh-CN"/>
        </w:rPr>
        <w:t>%。</w:t>
      </w:r>
    </w:p>
    <w:p>
      <w:pPr>
        <w:snapToGrid w:val="0"/>
        <w:spacing w:line="580" w:lineRule="exact"/>
        <w:ind w:firstLine="660" w:firstLineChars="200"/>
        <w:jc w:val="left"/>
        <w:rPr>
          <w:rFonts w:ascii="Times New Roman" w:hAnsi="Times New Roman" w:eastAsia="仿宋_GB2312" w:cs="Times New Roman"/>
          <w:sz w:val="32"/>
          <w:szCs w:val="32"/>
          <w:highlight w:val="yellow"/>
        </w:rPr>
      </w:pPr>
      <w:r>
        <w:rPr>
          <w:rFonts w:ascii="Times New Roman" w:hAnsi="Times New Roman" w:eastAsia="黑体" w:cs="Times New Roman"/>
          <w:color w:val="333333"/>
          <w:sz w:val="33"/>
          <w:szCs w:val="33"/>
          <w:shd w:val="clear" w:color="auto" w:fill="FFFFFF"/>
        </w:rPr>
        <w:t>八、</w:t>
      </w:r>
      <w:r>
        <w:rPr>
          <w:rFonts w:ascii="Times New Roman" w:hAnsi="Times New Roman" w:eastAsia="黑体" w:cs="Times New Roman"/>
          <w:sz w:val="32"/>
          <w:szCs w:val="32"/>
        </w:rPr>
        <w:t>国有资产占用情况说明</w:t>
      </w:r>
    </w:p>
    <w:p>
      <w:pPr>
        <w:pStyle w:val="11"/>
        <w:widowControl/>
        <w:spacing w:beforeAutospacing="0" w:afterAutospacing="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xml:space="preserve">     </w:t>
      </w:r>
      <w:r>
        <w:rPr>
          <w:rFonts w:ascii="Times New Roman" w:hAnsi="Times New Roman" w:eastAsia="仿宋_GB2312"/>
          <w:kern w:val="2"/>
          <w:sz w:val="32"/>
          <w:szCs w:val="32"/>
          <w:lang w:val="zh-CN"/>
        </w:rPr>
        <w:t>截至</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w:t>
      </w:r>
      <w:r>
        <w:rPr>
          <w:rFonts w:ascii="Times New Roman" w:hAnsi="Times New Roman" w:eastAsia="仿宋_GB2312"/>
          <w:kern w:val="2"/>
          <w:sz w:val="32"/>
          <w:szCs w:val="32"/>
        </w:rPr>
        <w:t>12</w:t>
      </w:r>
      <w:r>
        <w:rPr>
          <w:rFonts w:ascii="Times New Roman" w:hAnsi="Times New Roman" w:eastAsia="仿宋_GB2312"/>
          <w:kern w:val="2"/>
          <w:sz w:val="32"/>
          <w:szCs w:val="32"/>
          <w:lang w:val="zh-CN"/>
        </w:rPr>
        <w:t>月</w:t>
      </w:r>
      <w:r>
        <w:rPr>
          <w:rFonts w:ascii="Times New Roman" w:hAnsi="Times New Roman" w:eastAsia="仿宋_GB2312"/>
          <w:kern w:val="2"/>
          <w:sz w:val="32"/>
          <w:szCs w:val="32"/>
        </w:rPr>
        <w:t>31</w:t>
      </w:r>
      <w:r>
        <w:rPr>
          <w:rFonts w:ascii="Times New Roman" w:hAnsi="Times New Roman" w:eastAsia="仿宋_GB2312"/>
          <w:kern w:val="2"/>
          <w:sz w:val="32"/>
          <w:szCs w:val="32"/>
          <w:lang w:val="zh-CN"/>
        </w:rPr>
        <w:t>日</w:t>
      </w:r>
      <w:r>
        <w:rPr>
          <w:rFonts w:ascii="Times New Roman" w:hAnsi="Times New Roman" w:eastAsia="仿宋_GB2312"/>
          <w:kern w:val="2"/>
          <w:sz w:val="32"/>
          <w:szCs w:val="32"/>
        </w:rPr>
        <w:t>，本</w:t>
      </w:r>
      <w:r>
        <w:rPr>
          <w:rFonts w:hint="eastAsia" w:ascii="Times New Roman" w:hAnsi="Times New Roman" w:eastAsia="仿宋_GB2312"/>
          <w:kern w:val="2"/>
          <w:sz w:val="32"/>
          <w:szCs w:val="32"/>
          <w:lang w:eastAsia="zh-CN"/>
        </w:rPr>
        <w:t>部门</w:t>
      </w:r>
      <w:r>
        <w:rPr>
          <w:rFonts w:ascii="Times New Roman" w:hAnsi="Times New Roman" w:eastAsia="仿宋_GB2312"/>
          <w:kern w:val="2"/>
          <w:sz w:val="32"/>
          <w:szCs w:val="32"/>
          <w:lang w:val="zh-CN"/>
        </w:rPr>
        <w:t>共有车辆</w:t>
      </w:r>
      <w:r>
        <w:rPr>
          <w:rFonts w:ascii="Times New Roman" w:hAnsi="Times New Roman" w:eastAsia="仿宋_GB2312"/>
          <w:kern w:val="2"/>
          <w:sz w:val="32"/>
          <w:szCs w:val="32"/>
        </w:rPr>
        <w:t>0</w:t>
      </w:r>
      <w:r>
        <w:rPr>
          <w:rFonts w:ascii="Times New Roman" w:hAnsi="Times New Roman" w:eastAsia="仿宋_GB2312"/>
          <w:kern w:val="2"/>
          <w:sz w:val="32"/>
          <w:szCs w:val="32"/>
          <w:lang w:val="zh-CN"/>
        </w:rPr>
        <w:t>辆</w:t>
      </w:r>
      <w:r>
        <w:rPr>
          <w:rFonts w:ascii="Times New Roman" w:hAnsi="Times New Roman" w:eastAsia="仿宋_GB2312"/>
          <w:kern w:val="2"/>
          <w:sz w:val="32"/>
          <w:szCs w:val="32"/>
        </w:rPr>
        <w:t>，</w:t>
      </w:r>
      <w:r>
        <w:rPr>
          <w:rFonts w:ascii="Times New Roman" w:hAnsi="Times New Roman" w:eastAsia="仿宋_GB2312"/>
          <w:kern w:val="2"/>
          <w:sz w:val="32"/>
          <w:szCs w:val="32"/>
          <w:lang w:val="zh-CN"/>
        </w:rPr>
        <w:t>比上年</w:t>
      </w:r>
      <w:r>
        <w:rPr>
          <w:rFonts w:hint="eastAsia" w:ascii="Times New Roman" w:hAnsi="Times New Roman" w:eastAsia="仿宋_GB2312"/>
          <w:kern w:val="2"/>
          <w:sz w:val="32"/>
          <w:szCs w:val="32"/>
        </w:rPr>
        <w:t>持平</w:t>
      </w:r>
      <w:r>
        <w:rPr>
          <w:rFonts w:ascii="Times New Roman" w:hAnsi="Times New Roman" w:eastAsia="仿宋_GB2312"/>
          <w:kern w:val="2"/>
          <w:sz w:val="32"/>
          <w:szCs w:val="32"/>
          <w:lang w:val="zh-CN"/>
        </w:rPr>
        <w:t>辆</w:t>
      </w:r>
      <w:r>
        <w:rPr>
          <w:rFonts w:hint="eastAsia" w:ascii="Times New Roman" w:hAnsi="Times New Roman" w:eastAsia="仿宋_GB2312"/>
          <w:kern w:val="2"/>
          <w:sz w:val="32"/>
          <w:szCs w:val="32"/>
        </w:rPr>
        <w:t>，</w:t>
      </w:r>
      <w:r>
        <w:rPr>
          <w:rFonts w:ascii="Times New Roman" w:hAnsi="Times New Roman" w:eastAsia="仿宋_GB2312"/>
          <w:kern w:val="2"/>
          <w:sz w:val="32"/>
          <w:szCs w:val="32"/>
          <w:lang w:val="zh-CN"/>
        </w:rPr>
        <w:t>主要是</w:t>
      </w:r>
      <w:r>
        <w:rPr>
          <w:rFonts w:hint="eastAsia" w:ascii="Times New Roman" w:hAnsi="Times New Roman" w:eastAsia="仿宋_GB2312"/>
          <w:kern w:val="2"/>
          <w:sz w:val="32"/>
          <w:szCs w:val="32"/>
          <w:lang w:eastAsia="zh-CN"/>
        </w:rPr>
        <w:t>我部门无公务用车</w:t>
      </w:r>
      <w:r>
        <w:rPr>
          <w:rFonts w:ascii="Times New Roman" w:hAnsi="Times New Roman" w:eastAsia="仿宋_GB2312"/>
          <w:kern w:val="2"/>
          <w:sz w:val="32"/>
          <w:szCs w:val="32"/>
          <w:lang w:val="zh-CN"/>
        </w:rPr>
        <w:t>。其中，副部（省）级及以上领导用车0辆，主要</w:t>
      </w:r>
      <w:r>
        <w:rPr>
          <w:rFonts w:ascii="Times New Roman" w:hAnsi="Times New Roman" w:eastAsia="仿宋_GB2312"/>
          <w:kern w:val="2"/>
          <w:sz w:val="32"/>
          <w:szCs w:val="32"/>
        </w:rPr>
        <w:t>负责人</w:t>
      </w:r>
      <w:r>
        <w:rPr>
          <w:rFonts w:ascii="Times New Roman" w:hAnsi="Times New Roman" w:eastAsia="仿宋_GB2312"/>
          <w:kern w:val="2"/>
          <w:sz w:val="32"/>
          <w:szCs w:val="32"/>
          <w:lang w:val="zh-CN"/>
        </w:rPr>
        <w:t>用车0辆，机要通信用车0辆，应急保障用车0辆，执法执勤用车0辆，特种专业技术用车0辆，离退休干部用车0辆，其他用车0辆。</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价值100万元（含）以上设备（不含车辆）0台（套）。</w:t>
      </w:r>
    </w:p>
    <w:p>
      <w:pPr>
        <w:pStyle w:val="11"/>
        <w:widowControl/>
        <w:spacing w:beforeAutospacing="0" w:afterAutospacing="0"/>
        <w:ind w:firstLine="640" w:firstLineChars="200"/>
        <w:jc w:val="both"/>
        <w:outlineLvl w:val="1"/>
        <w:rPr>
          <w:rFonts w:ascii="Times New Roman" w:hAnsi="Times New Roman" w:eastAsia="黑体"/>
          <w:kern w:val="2"/>
          <w:sz w:val="32"/>
          <w:szCs w:val="40"/>
        </w:rPr>
      </w:pPr>
      <w:r>
        <w:rPr>
          <w:rFonts w:ascii="Times New Roman" w:hAnsi="Times New Roman" w:eastAsia="黑体"/>
          <w:kern w:val="2"/>
          <w:sz w:val="32"/>
          <w:szCs w:val="40"/>
        </w:rPr>
        <w:t>九、预算绩效情况说明</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（一）预算绩效管理工作开展情况</w:t>
      </w:r>
    </w:p>
    <w:p>
      <w:pPr>
        <w:pStyle w:val="11"/>
        <w:widowControl/>
        <w:spacing w:beforeAutospacing="0" w:afterAutospacing="0"/>
        <w:ind w:firstLine="640" w:firstLineChars="200"/>
        <w:rPr>
          <w:rFonts w:ascii="Times New Roman" w:hAnsi="Times New Roman" w:eastAsia="仿宋_GB2312"/>
          <w:kern w:val="2"/>
          <w:sz w:val="32"/>
          <w:szCs w:val="32"/>
          <w:lang w:val="zh-CN"/>
        </w:rPr>
      </w:pPr>
      <w:r>
        <w:rPr>
          <w:rFonts w:ascii="Times New Roman" w:hAnsi="Times New Roman" w:eastAsia="仿宋_GB2312"/>
          <w:kern w:val="2"/>
          <w:sz w:val="32"/>
          <w:szCs w:val="32"/>
          <w:lang w:val="zh-CN"/>
        </w:rPr>
        <w:t>根据预算绩效管理要求</w:t>
      </w:r>
      <w:r>
        <w:rPr>
          <w:rFonts w:ascii="Times New Roman" w:hAnsi="Times New Roman" w:eastAsia="仿宋_GB2312"/>
          <w:kern w:val="2"/>
          <w:sz w:val="32"/>
          <w:szCs w:val="32"/>
        </w:rPr>
        <w:t>，本</w:t>
      </w:r>
      <w:r>
        <w:rPr>
          <w:rFonts w:hint="eastAsia" w:ascii="Times New Roman" w:hAnsi="Times New Roman" w:eastAsia="仿宋_GB2312"/>
          <w:kern w:val="2"/>
          <w:sz w:val="32"/>
          <w:szCs w:val="32"/>
          <w:lang w:eastAsia="zh-CN"/>
        </w:rPr>
        <w:t>部门</w:t>
      </w:r>
      <w:r>
        <w:rPr>
          <w:rFonts w:ascii="Times New Roman" w:hAnsi="Times New Roman" w:eastAsia="仿宋_GB2312"/>
          <w:kern w:val="2"/>
          <w:sz w:val="32"/>
          <w:szCs w:val="32"/>
          <w:lang w:val="zh-CN"/>
        </w:rPr>
        <w:t>组织对</w:t>
      </w:r>
      <w:r>
        <w:rPr>
          <w:rFonts w:ascii="Times New Roman" w:hAnsi="Times New Roman" w:eastAsia="仿宋_GB2312"/>
          <w:kern w:val="2"/>
          <w:sz w:val="32"/>
          <w:szCs w:val="32"/>
        </w:rPr>
        <w:t>2023</w:t>
      </w:r>
      <w:r>
        <w:rPr>
          <w:rFonts w:ascii="Times New Roman" w:hAnsi="Times New Roman" w:eastAsia="仿宋_GB2312"/>
          <w:kern w:val="2"/>
          <w:sz w:val="32"/>
          <w:szCs w:val="32"/>
          <w:lang w:val="zh-CN"/>
        </w:rPr>
        <w:t>年度一般公共预算项目支出</w:t>
      </w:r>
      <w:r>
        <w:rPr>
          <w:rFonts w:hint="eastAsia" w:ascii="仿宋" w:hAnsi="仿宋" w:eastAsia="仿宋" w:cs="仿宋"/>
          <w:kern w:val="2"/>
          <w:sz w:val="32"/>
          <w:szCs w:val="32"/>
          <w:lang w:val="zh-CN"/>
        </w:rPr>
        <w:t>全面</w:t>
      </w:r>
      <w:r>
        <w:rPr>
          <w:rFonts w:ascii="Times New Roman" w:hAnsi="Times New Roman" w:eastAsia="仿宋_GB2312"/>
          <w:kern w:val="2"/>
          <w:sz w:val="32"/>
          <w:szCs w:val="32"/>
          <w:lang w:val="zh-CN"/>
        </w:rPr>
        <w:t>开展绩效自评</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其中</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一级项目</w:t>
      </w:r>
      <w:r>
        <w:rPr>
          <w:rFonts w:hint="eastAsia" w:ascii="Times New Roman" w:hAnsi="Times New Roman" w:eastAsia="仿宋_GB2312"/>
          <w:kern w:val="2"/>
          <w:sz w:val="32"/>
          <w:szCs w:val="32"/>
          <w:lang w:val="en-US" w:eastAsia="zh-CN"/>
        </w:rPr>
        <w:t>33</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二级项目</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共涉及资金</w:t>
      </w:r>
      <w:r>
        <w:rPr>
          <w:rFonts w:hint="eastAsia" w:ascii="Times New Roman" w:hAnsi="Times New Roman" w:eastAsia="仿宋_GB2312"/>
          <w:kern w:val="2"/>
          <w:sz w:val="32"/>
          <w:szCs w:val="32"/>
          <w:lang w:val="en-US" w:eastAsia="zh-CN"/>
        </w:rPr>
        <w:t>4856.72</w:t>
      </w:r>
      <w:r>
        <w:rPr>
          <w:rFonts w:ascii="Times New Roman" w:hAnsi="Times New Roman" w:eastAsia="仿宋_GB2312"/>
          <w:kern w:val="2"/>
          <w:sz w:val="32"/>
          <w:szCs w:val="32"/>
          <w:lang w:val="zh-CN"/>
        </w:rPr>
        <w:t>万元</w:t>
      </w:r>
      <w:r>
        <w:rPr>
          <w:rFonts w:ascii="Times New Roman" w:hAnsi="Times New Roman" w:eastAsia="仿宋_GB2312"/>
          <w:kern w:val="2"/>
          <w:sz w:val="32"/>
          <w:szCs w:val="32"/>
        </w:rPr>
        <w:t>，</w:t>
      </w:r>
      <w:r>
        <w:rPr>
          <w:rFonts w:ascii="Times New Roman" w:hAnsi="Times New Roman" w:eastAsia="仿宋_GB2312"/>
          <w:kern w:val="2"/>
          <w:sz w:val="32"/>
          <w:szCs w:val="32"/>
          <w:lang w:val="zh-CN"/>
        </w:rPr>
        <w:t>占一般公共预算项目支出总额的</w:t>
      </w:r>
      <w:r>
        <w:rPr>
          <w:rFonts w:hint="eastAsia" w:ascii="Times New Roman" w:hAnsi="Times New Roman" w:eastAsia="仿宋_GB2312"/>
          <w:kern w:val="2"/>
          <w:sz w:val="32"/>
          <w:szCs w:val="32"/>
          <w:lang w:val="en-US" w:eastAsia="zh-CN"/>
        </w:rPr>
        <w:t>100</w:t>
      </w:r>
      <w:r>
        <w:rPr>
          <w:rFonts w:ascii="Times New Roman" w:hAnsi="Times New Roman" w:eastAsia="仿宋_GB2312"/>
          <w:kern w:val="2"/>
          <w:sz w:val="32"/>
          <w:szCs w:val="32"/>
        </w:rPr>
        <w:t>%</w:t>
      </w:r>
      <w:r>
        <w:rPr>
          <w:rFonts w:ascii="Times New Roman" w:hAnsi="Times New Roman" w:eastAsia="仿宋_GB2312"/>
          <w:kern w:val="2"/>
          <w:sz w:val="32"/>
          <w:szCs w:val="32"/>
          <w:lang w:val="zh-CN"/>
        </w:rPr>
        <w:t>。组织对</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个政府性基金预算项目支出开展绩效自评，共涉及资金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万元，占政府性基金预算项目支出总额的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%。组织对</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个国有资本经营预算项目支出开展绩效自评，共涉及资金</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万元，占国有资本经营预算项目支出总额的</w:t>
      </w:r>
      <w:r>
        <w:rPr>
          <w:rFonts w:hint="eastAsia" w:ascii="Times New Roman" w:hAnsi="Times New Roman" w:eastAsia="仿宋_GB2312"/>
          <w:kern w:val="2"/>
          <w:sz w:val="32"/>
          <w:szCs w:val="32"/>
          <w:lang w:val="en-US" w:eastAsia="zh-CN"/>
        </w:rPr>
        <w:t>0</w:t>
      </w:r>
      <w:r>
        <w:rPr>
          <w:rFonts w:ascii="Times New Roman" w:hAnsi="Times New Roman" w:eastAsia="仿宋_GB2312"/>
          <w:kern w:val="2"/>
          <w:sz w:val="32"/>
          <w:szCs w:val="32"/>
          <w:lang w:val="zh-CN"/>
        </w:rPr>
        <w:t>%。</w:t>
      </w:r>
    </w:p>
    <w:p>
      <w:pPr>
        <w:adjustRightInd w:val="0"/>
        <w:snapToGrid w:val="0"/>
        <w:spacing w:line="580" w:lineRule="exact"/>
        <w:ind w:firstLine="640" w:firstLineChars="200"/>
        <w:rPr>
          <w:rFonts w:hint="eastAsia" w:ascii="仿宋" w:hAnsi="仿宋" w:eastAsia="仿宋" w:cs="仿宋"/>
          <w:kern w:val="2"/>
          <w:sz w:val="32"/>
          <w:szCs w:val="32"/>
          <w:lang w:val="zh-CN" w:eastAsia="zh-CN" w:bidi="ar-SA"/>
        </w:rPr>
      </w:pPr>
      <w:r>
        <w:rPr>
          <w:rFonts w:ascii="Times New Roman" w:hAnsi="Times New Roman" w:eastAsia="仿宋_GB2312" w:cs="Times New Roman"/>
          <w:kern w:val="2"/>
          <w:sz w:val="32"/>
          <w:szCs w:val="32"/>
          <w:lang w:val="zh-CN" w:eastAsia="zh-CN" w:bidi="ar-SA"/>
        </w:rPr>
        <w:t>组织对“</w:t>
      </w:r>
      <w:r>
        <w:rPr>
          <w:rFonts w:hint="eastAsia" w:ascii="Times New Roman" w:hAnsi="Times New Roman" w:eastAsia="仿宋_GB2312" w:cs="Times New Roman"/>
          <w:kern w:val="2"/>
          <w:sz w:val="32"/>
          <w:szCs w:val="32"/>
          <w:lang w:val="en-US" w:eastAsia="zh-CN" w:bidi="ar-SA"/>
        </w:rPr>
        <w:t>12345及12342市政府公开电话运营经费</w:t>
      </w:r>
      <w:r>
        <w:rPr>
          <w:rFonts w:ascii="Times New Roman" w:hAnsi="Times New Roman" w:eastAsia="仿宋_GB2312" w:cs="Times New Roman"/>
          <w:kern w:val="2"/>
          <w:sz w:val="32"/>
          <w:szCs w:val="32"/>
          <w:lang w:val="zh-CN" w:eastAsia="zh-CN" w:bidi="ar-SA"/>
        </w:rPr>
        <w:t>”</w:t>
      </w:r>
      <w:r>
        <w:rPr>
          <w:rFonts w:hint="eastAsia" w:ascii="Times New Roman" w:hAnsi="Times New Roman" w:eastAsia="仿宋_GB2312" w:cs="Times New Roman"/>
          <w:kern w:val="2"/>
          <w:sz w:val="32"/>
          <w:szCs w:val="32"/>
          <w:lang w:val="en-US" w:eastAsia="zh-CN" w:bidi="ar-SA"/>
        </w:rPr>
        <w:t>1</w:t>
      </w:r>
      <w:r>
        <w:rPr>
          <w:rFonts w:ascii="Times New Roman" w:hAnsi="Times New Roman" w:eastAsia="仿宋_GB2312" w:cs="Times New Roman"/>
          <w:kern w:val="2"/>
          <w:sz w:val="32"/>
          <w:szCs w:val="32"/>
          <w:lang w:val="zh-CN" w:eastAsia="zh-CN" w:bidi="ar-SA"/>
        </w:rPr>
        <w:t>个项目开展了</w:t>
      </w:r>
      <w:r>
        <w:rPr>
          <w:rFonts w:hint="eastAsia" w:ascii="Times New Roman" w:hAnsi="Times New Roman" w:eastAsia="仿宋_GB2312" w:cs="Times New Roman"/>
          <w:kern w:val="2"/>
          <w:sz w:val="32"/>
          <w:szCs w:val="32"/>
          <w:lang w:val="zh-CN" w:eastAsia="zh-CN" w:bidi="ar-SA"/>
        </w:rPr>
        <w:t>部门</w:t>
      </w:r>
      <w:r>
        <w:rPr>
          <w:rFonts w:ascii="Times New Roman" w:hAnsi="Times New Roman" w:eastAsia="仿宋_GB2312" w:cs="Times New Roman"/>
          <w:kern w:val="2"/>
          <w:sz w:val="32"/>
          <w:szCs w:val="32"/>
          <w:lang w:val="zh-CN" w:eastAsia="zh-CN" w:bidi="ar-SA"/>
        </w:rPr>
        <w:t>评价，涉及一般公共预算支出</w:t>
      </w:r>
      <w:r>
        <w:rPr>
          <w:rFonts w:hint="eastAsia" w:ascii="Times New Roman" w:hAnsi="Times New Roman" w:eastAsia="仿宋_GB2312" w:cs="Times New Roman"/>
          <w:kern w:val="2"/>
          <w:sz w:val="32"/>
          <w:szCs w:val="32"/>
          <w:lang w:val="en-US" w:eastAsia="zh-CN" w:bidi="ar-SA"/>
        </w:rPr>
        <w:t>3160.63</w:t>
      </w:r>
      <w:r>
        <w:rPr>
          <w:rFonts w:ascii="Times New Roman" w:hAnsi="Times New Roman" w:eastAsia="仿宋_GB2312" w:cs="Times New Roman"/>
          <w:kern w:val="2"/>
          <w:sz w:val="32"/>
          <w:szCs w:val="32"/>
          <w:lang w:val="zh-CN" w:eastAsia="zh-CN" w:bidi="ar-SA"/>
        </w:rPr>
        <w:t>万元，政府性基金预算支出</w:t>
      </w:r>
      <w:r>
        <w:rPr>
          <w:rFonts w:hint="eastAsia" w:ascii="Times New Roman" w:hAnsi="Times New Roman" w:eastAsia="仿宋_GB2312" w:cs="Times New Roman"/>
          <w:kern w:val="2"/>
          <w:sz w:val="32"/>
          <w:szCs w:val="32"/>
          <w:lang w:val="en-US" w:eastAsia="zh-CN" w:bidi="ar-SA"/>
        </w:rPr>
        <w:t>0</w:t>
      </w:r>
      <w:r>
        <w:rPr>
          <w:rFonts w:ascii="Times New Roman" w:hAnsi="Times New Roman" w:eastAsia="仿宋_GB2312" w:cs="Times New Roman"/>
          <w:kern w:val="2"/>
          <w:sz w:val="32"/>
          <w:szCs w:val="32"/>
          <w:lang w:val="zh-CN" w:eastAsia="zh-CN" w:bidi="ar-SA"/>
        </w:rPr>
        <w:t>万元，国有资本经营预算支出</w:t>
      </w:r>
      <w:r>
        <w:rPr>
          <w:rFonts w:hint="eastAsia" w:ascii="Times New Roman" w:hAnsi="Times New Roman" w:eastAsia="仿宋_GB2312" w:cs="Times New Roman"/>
          <w:kern w:val="2"/>
          <w:sz w:val="32"/>
          <w:szCs w:val="32"/>
          <w:lang w:val="en-US" w:eastAsia="zh-CN" w:bidi="ar-SA"/>
        </w:rPr>
        <w:t>0</w:t>
      </w:r>
      <w:r>
        <w:rPr>
          <w:rFonts w:ascii="Times New Roman" w:hAnsi="Times New Roman" w:eastAsia="仿宋_GB2312" w:cs="Times New Roman"/>
          <w:kern w:val="2"/>
          <w:sz w:val="32"/>
          <w:szCs w:val="32"/>
          <w:lang w:val="zh-CN" w:eastAsia="zh-CN" w:bidi="ar-SA"/>
        </w:rPr>
        <w:t>万元。从评价情况</w:t>
      </w:r>
      <w:r>
        <w:rPr>
          <w:rFonts w:hint="eastAsia" w:ascii="仿宋" w:hAnsi="仿宋" w:eastAsia="仿宋" w:cs="仿宋"/>
          <w:kern w:val="2"/>
          <w:sz w:val="32"/>
          <w:szCs w:val="32"/>
          <w:lang w:val="zh-CN" w:eastAsia="zh-CN" w:bidi="ar-SA"/>
        </w:rPr>
        <w:t>来</w:t>
      </w:r>
      <w:r>
        <w:rPr>
          <w:rFonts w:ascii="Times New Roman" w:hAnsi="Times New Roman" w:eastAsia="仿宋_GB2312" w:cs="Times New Roman"/>
          <w:kern w:val="2"/>
          <w:sz w:val="32"/>
          <w:szCs w:val="32"/>
          <w:lang w:val="zh-CN" w:eastAsia="zh-CN" w:bidi="ar-SA"/>
        </w:rPr>
        <w:t>看，</w:t>
      </w:r>
      <w:r>
        <w:rPr>
          <w:rFonts w:hint="eastAsia" w:ascii="Times New Roman" w:hAnsi="Times New Roman" w:eastAsia="仿宋_GB2312" w:cs="Times New Roman"/>
          <w:kern w:val="2"/>
          <w:sz w:val="32"/>
          <w:szCs w:val="32"/>
          <w:lang w:val="zh-CN" w:eastAsia="zh-CN" w:bidi="ar-SA"/>
        </w:rPr>
        <w:t>项目绩效目标完成</w:t>
      </w:r>
      <w:r>
        <w:rPr>
          <w:rFonts w:hint="eastAsia" w:ascii="仿宋" w:hAnsi="仿宋" w:eastAsia="仿宋" w:cs="仿宋"/>
          <w:kern w:val="2"/>
          <w:sz w:val="32"/>
          <w:szCs w:val="32"/>
          <w:lang w:val="zh-CN" w:eastAsia="zh-CN" w:bidi="ar-SA"/>
        </w:rPr>
        <w:t>良好</w:t>
      </w:r>
      <w:r>
        <w:rPr>
          <w:rFonts w:hint="eastAsia" w:ascii="Times New Roman" w:hAnsi="Times New Roman" w:eastAsia="仿宋_GB2312" w:cs="Times New Roman"/>
          <w:kern w:val="2"/>
          <w:sz w:val="32"/>
          <w:szCs w:val="32"/>
          <w:lang w:val="zh-CN" w:eastAsia="zh-CN" w:bidi="ar-SA"/>
        </w:rPr>
        <w:t>，</w:t>
      </w:r>
      <w:r>
        <w:rPr>
          <w:rFonts w:hint="eastAsia" w:ascii="仿宋" w:hAnsi="仿宋" w:eastAsia="仿宋" w:cs="仿宋"/>
          <w:kern w:val="2"/>
          <w:sz w:val="32"/>
          <w:szCs w:val="32"/>
          <w:lang w:val="zh-CN" w:eastAsia="zh-CN" w:bidi="ar-SA"/>
        </w:rPr>
        <w:t>畅通群众诉求渠道，强化督办力度，提升政府服务能力和水平及维护社会稳定能力，提高群众满意度。对机关和接线员队伍进行组织学习，推行服务标准化，对受理的群众诉求事项一盯到底，及时交办，限时催办，降低居民投诉率，提高服务群众水平能力和群众满意度。</w:t>
      </w:r>
    </w:p>
    <w:p>
      <w:pPr>
        <w:adjustRightInd w:val="0"/>
        <w:snapToGrid w:val="0"/>
        <w:spacing w:line="580" w:lineRule="exact"/>
        <w:ind w:firstLine="643" w:firstLineChars="200"/>
        <w:rPr>
          <w:rFonts w:ascii="Times New Roman" w:hAnsi="Times New Roman" w:eastAsia="仿宋_GB2312" w:cs="Times New Roman"/>
          <w:b/>
          <w:bCs/>
          <w:sz w:val="32"/>
          <w:szCs w:val="32"/>
        </w:rPr>
      </w:pPr>
      <w:r>
        <w:rPr>
          <w:rFonts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部门</w:t>
      </w:r>
      <w:r>
        <w:rPr>
          <w:rFonts w:ascii="Times New Roman" w:hAnsi="Times New Roman" w:eastAsia="仿宋_GB2312" w:cs="Times New Roman"/>
          <w:b/>
          <w:bCs/>
          <w:sz w:val="32"/>
          <w:szCs w:val="32"/>
        </w:rPr>
        <w:t>决算中项目绩效自评结果</w:t>
      </w:r>
    </w:p>
    <w:p>
      <w:pPr>
        <w:pStyle w:val="11"/>
        <w:widowControl/>
        <w:spacing w:beforeAutospacing="0" w:afterAutospacing="0"/>
        <w:ind w:firstLine="660" w:firstLineChars="200"/>
        <w:rPr>
          <w:rFonts w:ascii="Times New Roman" w:hAnsi="Times New Roman" w:eastAsia="仿宋_GB2312"/>
          <w:kern w:val="2"/>
          <w:sz w:val="32"/>
          <w:szCs w:val="32"/>
          <w:lang w:val="zh-CN"/>
        </w:rPr>
      </w:pPr>
      <w:r>
        <w:rPr>
          <w:rFonts w:ascii="Times New Roman" w:hAnsi="Times New Roman" w:eastAsia="仿宋_GB2312"/>
          <w:color w:val="333333"/>
          <w:sz w:val="33"/>
          <w:szCs w:val="33"/>
          <w:shd w:val="clear" w:color="auto" w:fill="FFFFFF"/>
        </w:rPr>
        <w:t> </w:t>
      </w:r>
      <w:r>
        <w:rPr>
          <w:rFonts w:ascii="Times New Roman" w:hAnsi="Times New Roman" w:eastAsia="仿宋_GB2312"/>
          <w:kern w:val="2"/>
          <w:sz w:val="32"/>
          <w:szCs w:val="32"/>
          <w:lang w:val="zh-CN"/>
        </w:rPr>
        <w:t>本</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在今年</w:t>
      </w:r>
      <w:r>
        <w:rPr>
          <w:rFonts w:hint="eastAsia" w:ascii="Times New Roman" w:hAnsi="Times New Roman" w:eastAsia="仿宋_GB2312"/>
          <w:kern w:val="2"/>
          <w:sz w:val="32"/>
          <w:szCs w:val="32"/>
          <w:lang w:val="zh-CN"/>
        </w:rPr>
        <w:t>部门</w:t>
      </w:r>
      <w:r>
        <w:rPr>
          <w:rFonts w:ascii="Times New Roman" w:hAnsi="Times New Roman" w:eastAsia="仿宋_GB2312"/>
          <w:kern w:val="2"/>
          <w:sz w:val="32"/>
          <w:szCs w:val="32"/>
          <w:lang w:val="zh-CN"/>
        </w:rPr>
        <w:t>决算公开中反映</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w:t>
      </w:r>
      <w:r>
        <w:rPr>
          <w:rFonts w:hint="eastAsia" w:ascii="Times New Roman" w:hAnsi="Times New Roman" w:eastAsia="仿宋_GB2312"/>
          <w:kern w:val="2"/>
          <w:sz w:val="32"/>
          <w:szCs w:val="32"/>
          <w:lang w:val="en-US" w:eastAsia="zh-CN"/>
        </w:rPr>
        <w:t>1</w:t>
      </w:r>
      <w:r>
        <w:rPr>
          <w:rFonts w:ascii="Times New Roman" w:hAnsi="Times New Roman" w:eastAsia="仿宋_GB2312"/>
          <w:kern w:val="2"/>
          <w:sz w:val="32"/>
          <w:szCs w:val="32"/>
          <w:lang w:val="zh-CN"/>
        </w:rPr>
        <w:t>个项目绩效自评结果。</w:t>
      </w:r>
    </w:p>
    <w:p>
      <w:pPr>
        <w:pStyle w:val="11"/>
        <w:widowControl/>
        <w:spacing w:beforeAutospacing="0" w:afterAutospacing="0"/>
        <w:ind w:firstLine="640" w:firstLineChars="200"/>
        <w:rPr>
          <w:rFonts w:hint="eastAsia" w:ascii="仿宋" w:hAnsi="仿宋" w:eastAsia="仿宋" w:cs="仿宋"/>
          <w:kern w:val="2"/>
          <w:sz w:val="32"/>
          <w:szCs w:val="32"/>
          <w:lang w:val="zh-CN"/>
        </w:rPr>
      </w:pP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项目绩效自评情况：根据年初设定的绩效目标，</w:t>
      </w:r>
      <w:r>
        <w:rPr>
          <w:rFonts w:hint="eastAsia" w:ascii="仿宋_GB2312" w:hAnsi="仿宋_GB2312" w:eastAsia="仿宋_GB2312" w:cs="仿宋_GB2312"/>
          <w:sz w:val="32"/>
          <w:szCs w:val="32"/>
          <w:highlight w:val="none"/>
          <w:lang w:val="en-US" w:eastAsia="zh-CN"/>
        </w:rPr>
        <w:t>12345及12342市政府公开电话运营经费</w:t>
      </w:r>
      <w:r>
        <w:rPr>
          <w:rFonts w:ascii="Times New Roman" w:hAnsi="Times New Roman" w:eastAsia="仿宋_GB2312"/>
          <w:kern w:val="2"/>
          <w:sz w:val="32"/>
          <w:szCs w:val="32"/>
          <w:lang w:val="zh-CN"/>
        </w:rPr>
        <w:t>项目绩效自评得分为</w:t>
      </w:r>
      <w:r>
        <w:rPr>
          <w:rFonts w:hint="eastAsia" w:ascii="Times New Roman" w:hAnsi="Times New Roman" w:eastAsia="仿宋_GB2312"/>
          <w:kern w:val="2"/>
          <w:sz w:val="32"/>
          <w:szCs w:val="32"/>
          <w:lang w:val="en-US" w:eastAsia="zh-CN"/>
        </w:rPr>
        <w:t>97.48</w:t>
      </w:r>
      <w:r>
        <w:rPr>
          <w:rFonts w:ascii="Times New Roman" w:hAnsi="Times New Roman" w:eastAsia="仿宋_GB2312"/>
          <w:kern w:val="2"/>
          <w:sz w:val="32"/>
          <w:szCs w:val="32"/>
          <w:lang w:val="zh-CN"/>
        </w:rPr>
        <w:t>分（绩效自评表附后）。全年预算数为</w:t>
      </w:r>
      <w:r>
        <w:rPr>
          <w:rFonts w:hint="eastAsia" w:ascii="Times New Roman" w:hAnsi="Times New Roman" w:eastAsia="仿宋_GB2312"/>
          <w:kern w:val="2"/>
          <w:sz w:val="32"/>
          <w:szCs w:val="32"/>
          <w:lang w:val="en-US" w:eastAsia="zh-CN"/>
        </w:rPr>
        <w:t>3333.51</w:t>
      </w:r>
      <w:r>
        <w:rPr>
          <w:rFonts w:ascii="Times New Roman" w:hAnsi="Times New Roman" w:eastAsia="仿宋_GB2312"/>
          <w:kern w:val="2"/>
          <w:sz w:val="32"/>
          <w:szCs w:val="32"/>
          <w:lang w:val="zh-CN"/>
        </w:rPr>
        <w:t>万元，执行数为</w:t>
      </w:r>
      <w:r>
        <w:rPr>
          <w:rFonts w:hint="eastAsia" w:ascii="Times New Roman" w:hAnsi="Times New Roman" w:eastAsia="仿宋_GB2312"/>
          <w:kern w:val="2"/>
          <w:sz w:val="32"/>
          <w:szCs w:val="32"/>
          <w:lang w:val="en-US" w:eastAsia="zh-CN"/>
        </w:rPr>
        <w:t>3160.63</w:t>
      </w:r>
      <w:r>
        <w:rPr>
          <w:rFonts w:ascii="Times New Roman" w:hAnsi="Times New Roman" w:eastAsia="仿宋_GB2312"/>
          <w:kern w:val="2"/>
          <w:sz w:val="32"/>
          <w:szCs w:val="32"/>
          <w:lang w:val="zh-CN"/>
        </w:rPr>
        <w:t>万元，完成预算的</w:t>
      </w:r>
      <w:r>
        <w:rPr>
          <w:rFonts w:hint="eastAsia" w:ascii="Times New Roman" w:hAnsi="Times New Roman" w:eastAsia="仿宋_GB2312"/>
          <w:kern w:val="2"/>
          <w:sz w:val="32"/>
          <w:szCs w:val="32"/>
          <w:lang w:val="en-US" w:eastAsia="zh-CN"/>
        </w:rPr>
        <w:t>94.81</w:t>
      </w:r>
      <w:r>
        <w:rPr>
          <w:rFonts w:ascii="Times New Roman" w:hAnsi="Times New Roman" w:eastAsia="仿宋_GB2312"/>
          <w:kern w:val="2"/>
          <w:sz w:val="32"/>
          <w:szCs w:val="32"/>
          <w:lang w:val="zh-CN"/>
        </w:rPr>
        <w:t>%。</w:t>
      </w:r>
      <w:r>
        <w:rPr>
          <w:rFonts w:hint="eastAsia" w:ascii="仿宋" w:hAnsi="仿宋" w:eastAsia="仿宋" w:cs="仿宋"/>
          <w:kern w:val="2"/>
          <w:sz w:val="32"/>
          <w:szCs w:val="32"/>
          <w:lang w:val="zh-CN"/>
        </w:rPr>
        <w:t>项目绩效目标完成情况：确保市政府公开电话正常运转，</w:t>
      </w:r>
      <w:r>
        <w:rPr>
          <w:rFonts w:hint="eastAsia" w:ascii="仿宋" w:hAnsi="仿宋" w:eastAsia="仿宋" w:cs="仿宋"/>
          <w:sz w:val="32"/>
          <w:szCs w:val="32"/>
        </w:rPr>
        <w:t>畅通群众诉求渠道，强化督办力度，提升政府服务能力和水平及维护社会稳定能力</w:t>
      </w:r>
      <w:r>
        <w:rPr>
          <w:rFonts w:hint="eastAsia" w:ascii="仿宋" w:hAnsi="仿宋" w:eastAsia="仿宋" w:cs="仿宋"/>
          <w:kern w:val="2"/>
          <w:sz w:val="32"/>
          <w:szCs w:val="32"/>
          <w:lang w:val="zh-CN"/>
        </w:rPr>
        <w:t>。发现的主要问题及原因是：一是预算绩效指标设置不够完整准确；二是存在群众诉求办理质量不高和政策宣讲不到位问题。下一步改进措施：一是进一步完善预算绩效指标；二是提升系统智能水平、打通社会治理脉络。</w:t>
      </w:r>
    </w:p>
    <w:p>
      <w:pPr>
        <w:pStyle w:val="11"/>
        <w:widowControl/>
        <w:spacing w:beforeAutospacing="0" w:afterAutospacing="0"/>
        <w:ind w:firstLine="640" w:firstLineChars="200"/>
        <w:rPr>
          <w:rFonts w:ascii="Times New Roman" w:hAnsi="Times New Roman" w:eastAsia="仿宋_GB2312"/>
          <w:kern w:val="2"/>
          <w:sz w:val="32"/>
          <w:szCs w:val="32"/>
          <w:lang w:val="zh-CN"/>
        </w:rPr>
      </w:pPr>
    </w:p>
    <w:p>
      <w:pPr>
        <w:pStyle w:val="11"/>
        <w:widowControl/>
        <w:spacing w:beforeAutospacing="0" w:afterAutospacing="0"/>
        <w:ind w:firstLine="640" w:firstLineChars="200"/>
        <w:rPr>
          <w:rFonts w:ascii="Times New Roman" w:hAnsi="Times New Roman" w:eastAsia="仿宋_GB2312"/>
          <w:kern w:val="2"/>
          <w:sz w:val="32"/>
          <w:szCs w:val="32"/>
          <w:lang w:val="zh-CN"/>
        </w:rPr>
      </w:pPr>
    </w:p>
    <w:p>
      <w:pPr>
        <w:pStyle w:val="11"/>
        <w:widowControl/>
        <w:spacing w:beforeAutospacing="0" w:afterAutospacing="0"/>
        <w:ind w:firstLine="640" w:firstLineChars="200"/>
        <w:rPr>
          <w:rFonts w:ascii="Times New Roman" w:hAnsi="Times New Roman" w:eastAsia="仿宋_GB2312"/>
          <w:kern w:val="2"/>
          <w:sz w:val="32"/>
          <w:szCs w:val="32"/>
          <w:lang w:val="zh-CN"/>
        </w:rPr>
      </w:pPr>
    </w:p>
    <w:p>
      <w:pPr>
        <w:pStyle w:val="11"/>
        <w:widowControl/>
        <w:spacing w:beforeAutospacing="0" w:afterAutospacing="0"/>
        <w:rPr>
          <w:rFonts w:ascii="Times New Roman" w:hAnsi="Times New Roman" w:eastAsia="仿宋_GB2312"/>
          <w:kern w:val="2"/>
          <w:sz w:val="32"/>
          <w:szCs w:val="32"/>
          <w:lang w:val="zh-CN"/>
        </w:rPr>
      </w:pPr>
    </w:p>
    <w:tbl>
      <w:tblPr>
        <w:tblStyle w:val="12"/>
        <w:tblW w:w="799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1022"/>
        <w:gridCol w:w="803"/>
        <w:gridCol w:w="835"/>
        <w:gridCol w:w="938"/>
        <w:gridCol w:w="972"/>
        <w:gridCol w:w="1246"/>
        <w:gridCol w:w="1222"/>
        <w:gridCol w:w="9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4" w:hRule="atLeast"/>
        </w:trPr>
        <w:tc>
          <w:tcPr>
            <w:tcW w:w="1022" w:type="dxa"/>
            <w:tcBorders>
              <w:top w:val="single" w:color="000000" w:sz="4" w:space="0"/>
              <w:left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77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12345及12342市政府公开电话运营经费（专项资金）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实施(主管）部门</w:t>
            </w:r>
          </w:p>
        </w:tc>
        <w:tc>
          <w:tcPr>
            <w:tcW w:w="342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石家庄市人民政府办公室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16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46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3160.63</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3160.63</w:t>
            </w: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Calibri" w:hAnsi="Calibri" w:eastAsia="宋体" w:cs="Calibri"/>
                <w:i w:val="0"/>
                <w:color w:val="000000"/>
                <w:sz w:val="20"/>
                <w:szCs w:val="20"/>
                <w:u w:val="none"/>
              </w:rPr>
            </w:pP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Calibri" w:hAnsi="Calibri" w:eastAsia="宋体" w:cs="Calibri"/>
                <w:i w:val="0"/>
                <w:color w:val="000000"/>
                <w:sz w:val="20"/>
                <w:szCs w:val="20"/>
                <w:u w:val="none"/>
              </w:rPr>
            </w:pP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eastAsia" w:ascii="宋体" w:hAnsi="宋体" w:eastAsia="宋体" w:cs="宋体"/>
                <w:i w:val="0"/>
                <w:color w:val="000000"/>
                <w:sz w:val="20"/>
                <w:szCs w:val="20"/>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25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44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9"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5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用于市政府公开电话人员及场地等费用，确保市政府公开电话正常运转。</w:t>
            </w:r>
          </w:p>
        </w:tc>
        <w:tc>
          <w:tcPr>
            <w:tcW w:w="344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用于市政府公开电话人员及场地等费用，确保市政府公开电话正常运转。</w:t>
            </w:r>
          </w:p>
        </w:tc>
        <w:tc>
          <w:tcPr>
            <w:tcW w:w="9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9"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5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9" w:hRule="atLeast"/>
        </w:trPr>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25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344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color w:val="000000"/>
                <w:sz w:val="20"/>
                <w:szCs w:val="20"/>
                <w:u w:val="none"/>
              </w:rPr>
            </w:pPr>
          </w:p>
        </w:tc>
        <w:tc>
          <w:tcPr>
            <w:tcW w:w="9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0" w:hRule="atLeast"/>
        </w:trPr>
        <w:tc>
          <w:tcPr>
            <w:tcW w:w="1022" w:type="dxa"/>
            <w:vMerge w:val="restart"/>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restart"/>
            <w:tcBorders>
              <w:top w:val="single" w:color="000000" w:sz="4" w:space="0"/>
              <w:lef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接线次数</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实际接线次数</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与年初计划相同</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相同</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top w:val="single" w:color="000000" w:sz="4" w:space="0"/>
              <w:lef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接线效果</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接线效果</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达到预期</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top w:val="single" w:color="000000" w:sz="4" w:space="0"/>
              <w:lef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接线时效</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≤30秒</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30秒</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00"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top w:val="single" w:color="000000" w:sz="4" w:space="0"/>
              <w:lef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资金成本</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≤3333.51万元</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3160.63万元</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207"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指标（10分）</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预算执行情况</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94.81%</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9.48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restart"/>
            <w:tcBorders>
              <w:left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35" w:type="dxa"/>
            <w:tcBorders>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为市民群众解决问题</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为市民群众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解决问题</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解决</w:t>
            </w:r>
          </w:p>
        </w:tc>
        <w:tc>
          <w:tcPr>
            <w:tcW w:w="961" w:type="dxa"/>
            <w:tcBorders>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19.00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22"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vMerge w:val="continue"/>
            <w:tcBorders>
              <w:left w:val="single" w:color="000000" w:sz="4" w:space="0"/>
              <w:right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3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效益指标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建立长效管理机制</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建立长效</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管理机制</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建立</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20.00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14"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803"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35" w:type="dxa"/>
            <w:tcBorders>
              <w:top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2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2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10.00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09" w:hRule="atLeast"/>
        </w:trPr>
        <w:tc>
          <w:tcPr>
            <w:tcW w:w="1022" w:type="dxa"/>
            <w:vMerge w:val="continue"/>
            <w:tcBorders>
              <w:top w:val="single" w:color="000000" w:sz="4" w:space="0"/>
              <w:left w:val="single" w:color="000000" w:sz="4" w:space="0"/>
              <w:bottom w:val="single" w:color="000000" w:sz="4" w:space="0"/>
            </w:tcBorders>
            <w:shd w:val="clear" w:color="auto" w:fill="auto"/>
            <w:vAlign w:val="center"/>
          </w:tcPr>
          <w:p>
            <w:pPr>
              <w:jc w:val="center"/>
              <w:rPr>
                <w:rFonts w:hint="eastAsia" w:ascii="宋体" w:hAnsi="宋体" w:eastAsia="宋体" w:cs="宋体"/>
                <w:i w:val="0"/>
                <w:color w:val="000000"/>
                <w:sz w:val="20"/>
                <w:szCs w:val="20"/>
                <w:u w:val="none"/>
              </w:rPr>
            </w:pPr>
          </w:p>
        </w:tc>
        <w:tc>
          <w:tcPr>
            <w:tcW w:w="601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96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97.48 </w:t>
            </w:r>
          </w:p>
        </w:tc>
      </w:tr>
    </w:tbl>
    <w:p>
      <w:pPr>
        <w:adjustRightInd w:val="0"/>
        <w:snapToGrid w:val="0"/>
        <w:spacing w:line="580" w:lineRule="exact"/>
        <w:rPr>
          <w:rFonts w:ascii="Times New Roman" w:hAnsi="Times New Roman" w:eastAsia="仿宋_GB2312" w:cs="Times New Roman"/>
          <w:b/>
          <w:bCs/>
          <w:sz w:val="32"/>
          <w:szCs w:val="32"/>
        </w:rPr>
      </w:pPr>
      <w:r>
        <w:rPr>
          <w:rFonts w:hint="eastAsia" w:ascii="Times New Roman" w:hAnsi="Times New Roman" w:eastAsia="仿宋_GB2312" w:cs="Times New Roman"/>
          <w:b/>
          <w:bCs/>
          <w:sz w:val="32"/>
          <w:szCs w:val="32"/>
          <w:lang w:val="en-US" w:eastAsia="zh-CN"/>
        </w:rPr>
        <w:t xml:space="preserve">   </w:t>
      </w:r>
      <w:r>
        <w:rPr>
          <w:rFonts w:ascii="Times New Roman" w:hAnsi="Times New Roman" w:eastAsia="仿宋_GB2312" w:cs="Times New Roman"/>
          <w:b/>
          <w:bCs/>
          <w:sz w:val="32"/>
          <w:szCs w:val="32"/>
        </w:rPr>
        <w:t>（三）</w:t>
      </w:r>
      <w:r>
        <w:rPr>
          <w:rFonts w:hint="eastAsia" w:ascii="Times New Roman" w:hAnsi="Times New Roman" w:eastAsia="仿宋_GB2312" w:cs="Times New Roman"/>
          <w:b/>
          <w:bCs/>
          <w:sz w:val="32"/>
          <w:szCs w:val="32"/>
          <w:lang w:eastAsia="zh-CN"/>
        </w:rPr>
        <w:t>部门</w:t>
      </w:r>
      <w:r>
        <w:rPr>
          <w:rFonts w:ascii="Times New Roman" w:hAnsi="Times New Roman" w:eastAsia="仿宋_GB2312" w:cs="Times New Roman"/>
          <w:b/>
          <w:bCs/>
          <w:sz w:val="32"/>
          <w:szCs w:val="32"/>
        </w:rPr>
        <w:t>评价项目绩效评价结果</w:t>
      </w:r>
    </w:p>
    <w:p>
      <w:pPr>
        <w:snapToGrid w:val="0"/>
        <w:spacing w:line="360" w:lineRule="auto"/>
        <w:rPr>
          <w:rFonts w:hint="eastAsia" w:ascii="仿宋_GB2312" w:hAnsi="仿宋_GB2312" w:eastAsia="仿宋_GB2312" w:cs="仿宋_GB2312"/>
          <w:sz w:val="32"/>
          <w:szCs w:val="32"/>
          <w:highlight w:val="none"/>
          <w:lang w:val="en-US" w:eastAsia="zh-CN"/>
        </w:rPr>
      </w:pPr>
      <w:r>
        <w:rPr>
          <w:rFonts w:hint="eastAsia" w:ascii="Times New Roman" w:hAnsi="Times New Roman" w:eastAsia="仿宋_GB2312" w:cs="Times New Roman"/>
          <w:b/>
          <w:bCs/>
          <w:sz w:val="32"/>
          <w:szCs w:val="32"/>
          <w:lang w:val="en-US" w:eastAsia="zh-CN"/>
        </w:rPr>
        <w:t xml:space="preserve">   </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本次评价项目共</w:t>
      </w:r>
      <w:r>
        <w:rPr>
          <w:rFonts w:hint="eastAsia" w:ascii="仿宋_GB2312" w:hAnsi="仿宋_GB2312" w:eastAsia="仿宋_GB2312" w:cs="仿宋_GB2312"/>
          <w:sz w:val="32"/>
          <w:szCs w:val="32"/>
          <w:highlight w:val="none"/>
          <w:lang w:val="en-US" w:eastAsia="zh-CN"/>
        </w:rPr>
        <w:t>33项，评价结果均为“优”。</w:t>
      </w:r>
    </w:p>
    <w:p>
      <w:pPr>
        <w:snapToGrid w:val="0"/>
        <w:spacing w:line="360" w:lineRule="auto"/>
        <w:rPr>
          <w:rFonts w:hint="eastAsia" w:ascii="仿宋" w:hAnsi="仿宋" w:eastAsia="仿宋" w:cs="仿宋"/>
        </w:rPr>
      </w:pP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《政府公报》</w:t>
      </w:r>
      <w:r>
        <w:rPr>
          <w:rFonts w:hint="eastAsia" w:ascii="仿宋" w:hAnsi="仿宋" w:eastAsia="仿宋" w:cs="仿宋"/>
          <w:sz w:val="32"/>
          <w:szCs w:val="32"/>
          <w:highlight w:val="none"/>
          <w:lang w:eastAsia="zh-CN"/>
        </w:rPr>
        <w:t>编印积极向人民群众传递政</w:t>
      </w:r>
      <w:r>
        <w:rPr>
          <w:rFonts w:hint="eastAsia" w:ascii="仿宋" w:hAnsi="仿宋" w:eastAsia="仿宋" w:cs="仿宋"/>
          <w:sz w:val="32"/>
          <w:szCs w:val="32"/>
          <w:highlight w:val="none"/>
        </w:rPr>
        <w:t>府工作职责，加大宣传力度，提高机关形象</w:t>
      </w:r>
      <w:r>
        <w:rPr>
          <w:rFonts w:hint="eastAsia" w:ascii="仿宋" w:hAnsi="仿宋" w:eastAsia="仿宋" w:cs="仿宋"/>
          <w:sz w:val="32"/>
          <w:szCs w:val="32"/>
          <w:highlight w:val="none"/>
          <w:lang w:eastAsia="zh-CN"/>
        </w:rPr>
        <w:t>，保证了机关工作的顺利开展；提高12345市政府公开电话和</w:t>
      </w:r>
      <w:r>
        <w:rPr>
          <w:rFonts w:hint="eastAsia" w:ascii="仿宋" w:hAnsi="仿宋" w:eastAsia="仿宋" w:cs="仿宋"/>
          <w:sz w:val="32"/>
          <w:szCs w:val="32"/>
          <w:highlight w:val="none"/>
          <w:lang w:val="en-US" w:eastAsia="zh-CN"/>
        </w:rPr>
        <w:t>12342环境污染举报专线</w:t>
      </w:r>
      <w:r>
        <w:rPr>
          <w:rFonts w:hint="eastAsia" w:ascii="仿宋" w:hAnsi="仿宋" w:eastAsia="仿宋" w:cs="仿宋"/>
          <w:sz w:val="32"/>
          <w:szCs w:val="32"/>
          <w:highlight w:val="none"/>
          <w:lang w:eastAsia="zh-CN"/>
        </w:rPr>
        <w:t>群众来电接通率，提升政府服务能力水平及维护社会稳定能力，有效地保障社会发展，提高政府公信力；完成对党务干部进行培训，发挥党员模范作用，为社会文明建设做表率；通过对污染环境进行举报处理，能够长期保障生态环境的可持续发展；对市政府微博、微信建设运维，加强政务新媒体发布、传播、互动、引导、办事等功能，将政务新媒体打造成更加权威的信息发布、解读回应、政民互动、办事服务平台，为企业和群众提供更加便捷实用的移动服务。</w:t>
      </w:r>
    </w:p>
    <w:p>
      <w:pPr>
        <w:adjustRightInd w:val="0"/>
        <w:snapToGrid w:val="0"/>
        <w:spacing w:line="580" w:lineRule="exact"/>
        <w:ind w:firstLine="640" w:firstLineChars="200"/>
        <w:rPr>
          <w:rFonts w:ascii="Times New Roman" w:hAnsi="Times New Roman" w:eastAsia="楷体_GB2312" w:cs="Times New Roman"/>
          <w:b/>
          <w:bCs/>
          <w:sz w:val="32"/>
          <w:szCs w:val="32"/>
        </w:rPr>
      </w:pPr>
      <w:r>
        <w:rPr>
          <w:rFonts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ascii="Times New Roman" w:hAnsi="Times New Roman" w:eastAsia="仿宋_GB2312" w:cs="Times New Roman"/>
          <w:sz w:val="32"/>
          <w:szCs w:val="32"/>
        </w:rPr>
        <w:t>1. 本</w:t>
      </w:r>
      <w:r>
        <w:rPr>
          <w:rFonts w:hint="eastAsia" w:ascii="Times New Roman" w:hAnsi="Times New Roman" w:eastAsia="仿宋_GB2312" w:cs="Times New Roman"/>
          <w:sz w:val="32"/>
          <w:szCs w:val="32"/>
          <w:lang w:eastAsia="zh-CN"/>
        </w:rPr>
        <w:t>部门</w:t>
      </w:r>
      <w:r>
        <w:rPr>
          <w:rFonts w:ascii="Times New Roman" w:hAnsi="Times New Roman" w:eastAsia="仿宋_GB2312" w:cs="Times New Roman"/>
          <w:sz w:val="32"/>
          <w:szCs w:val="32"/>
        </w:rPr>
        <w:t>2023年度</w:t>
      </w:r>
      <w:r>
        <w:rPr>
          <w:rFonts w:hint="eastAsia" w:ascii="仿宋_GB2312" w:hAnsi="Times New Roman" w:eastAsia="仿宋_GB2312" w:cs="DengXian-Regular"/>
          <w:sz w:val="32"/>
          <w:szCs w:val="32"/>
        </w:rPr>
        <w:t>政府性基金预算、国有资金经营收支及结转结余</w:t>
      </w:r>
      <w:r>
        <w:rPr>
          <w:rFonts w:ascii="Times New Roman" w:hAnsi="Times New Roman" w:eastAsia="仿宋_GB2312" w:cs="Times New Roman"/>
          <w:sz w:val="32"/>
          <w:szCs w:val="32"/>
        </w:rPr>
        <w:t>无收支及结转结余情况，</w:t>
      </w:r>
      <w:r>
        <w:rPr>
          <w:rFonts w:hint="eastAsia" w:ascii="仿宋_GB2312" w:hAnsi="Times New Roman" w:eastAsia="仿宋_GB2312" w:cs="DengXian-Regular"/>
          <w:sz w:val="32"/>
          <w:szCs w:val="32"/>
        </w:rPr>
        <w:t>政府性基金预算、国有资金经营预算表以空表列示。</w:t>
      </w:r>
    </w:p>
    <w:p>
      <w:pPr>
        <w:adjustRightInd w:val="0"/>
        <w:snapToGrid w:val="0"/>
        <w:spacing w:line="580" w:lineRule="exact"/>
        <w:ind w:firstLine="640" w:firstLineChars="200"/>
        <w:rPr>
          <w:rFonts w:hint="eastAsia" w:ascii="仿宋" w:hAnsi="仿宋" w:eastAsia="仿宋" w:cs="仿宋"/>
          <w:sz w:val="32"/>
          <w:szCs w:val="32"/>
        </w:rPr>
      </w:pPr>
      <w:r>
        <w:rPr>
          <w:rFonts w:ascii="Times New Roman" w:hAnsi="Times New Roman" w:eastAsia="仿宋_GB2312" w:cs="Times New Roman"/>
          <w:sz w:val="32"/>
          <w:szCs w:val="32"/>
        </w:rPr>
        <w:t xml:space="preserve">2. </w:t>
      </w:r>
      <w:r>
        <w:rPr>
          <w:rFonts w:hint="eastAsia" w:ascii="仿宋" w:hAnsi="仿宋" w:eastAsia="仿宋" w:cs="仿宋"/>
          <w:sz w:val="32"/>
          <w:szCs w:val="32"/>
        </w:rPr>
        <w:t>由于决算公开表格中金额数值应当保留两位小数，公开数据为四舍五入计算结果，个别数据合计项与分项之和存在小数点后差额，特此说明。</w:t>
      </w:r>
    </w:p>
    <w:p>
      <w:pPr>
        <w:rPr>
          <w:rFonts w:ascii="Times New Roman" w:hAnsi="Times New Roman" w:eastAsia="仿宋_GB2312" w:cs="Times New Roman"/>
          <w:sz w:val="32"/>
          <w:szCs w:val="32"/>
        </w:rPr>
      </w:pPr>
      <w:r>
        <w:rPr>
          <w:rFonts w:ascii="Times New Roman" w:hAnsi="Times New Roman" w:eastAsia="仿宋_GB2312" w:cs="Times New Roman"/>
          <w:sz w:val="32"/>
          <w:szCs w:val="32"/>
        </w:rPr>
        <w:br w:type="page"/>
      </w:r>
    </w:p>
    <w:p>
      <w:pPr>
        <w:adjustRightInd w:val="0"/>
        <w:snapToGrid w:val="0"/>
        <w:spacing w:line="580" w:lineRule="exact"/>
        <w:ind w:firstLine="640" w:firstLineChars="200"/>
        <w:rPr>
          <w:rFonts w:ascii="Times New Roman" w:hAnsi="Times New Roman" w:eastAsia="仿宋_GB2312" w:cs="Times New Roman"/>
          <w:sz w:val="32"/>
          <w:szCs w:val="32"/>
        </w:rPr>
      </w:pPr>
    </w:p>
    <w:p>
      <w:pPr>
        <w:widowControl/>
        <w:spacing w:line="580" w:lineRule="exact"/>
        <w:ind w:firstLine="883" w:firstLineChars="200"/>
        <w:jc w:val="left"/>
        <w:rPr>
          <w:rFonts w:ascii="Times New Roman" w:hAnsi="Times New Roman" w:eastAsia="宋体" w:cs="Times New Roman"/>
          <w:b/>
          <w:bCs/>
          <w:sz w:val="44"/>
          <w:szCs w:val="44"/>
        </w:rPr>
      </w:pPr>
    </w:p>
    <w:p>
      <w:pPr>
        <w:rPr>
          <w:rFonts w:ascii="Times New Roman" w:hAnsi="Times New Roman" w:eastAsia="仿宋_GB2312" w:cs="Times New Roman"/>
          <w:sz w:val="32"/>
          <w:szCs w:val="32"/>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Times New Roman" w:hAnsi="Times New Roman" w:eastAsia="仿宋_GB2312" w:cs="Times New Roman"/>
          <w:sz w:val="32"/>
          <w:szCs w:val="32"/>
        </w:rPr>
      </w:pPr>
      <w:r>
        <w:rPr>
          <w:rFonts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一、</w:t>
      </w:r>
      <w:r>
        <w:rPr>
          <w:rFonts w:ascii="Times New Roman" w:hAnsi="Times New Roman" w:eastAsia="仿宋_GB2312" w:cs="Times New Roman"/>
          <w:b/>
          <w:bCs/>
          <w:color w:val="000000"/>
          <w:sz w:val="32"/>
          <w:szCs w:val="32"/>
        </w:rPr>
        <w:t>财政拨款收入：</w:t>
      </w:r>
      <w:r>
        <w:rPr>
          <w:rFonts w:ascii="Times New Roman" w:hAnsi="Times New Roman" w:eastAsia="仿宋_GB2312" w:cs="Times New Roman"/>
          <w:bCs/>
          <w:color w:val="000000"/>
          <w:sz w:val="32"/>
          <w:szCs w:val="32"/>
        </w:rPr>
        <w:t>指</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从同级财政</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取得的财政预算资金。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二、</w:t>
      </w:r>
      <w:r>
        <w:rPr>
          <w:rFonts w:ascii="Times New Roman" w:hAnsi="Times New Roman" w:eastAsia="仿宋_GB2312" w:cs="Times New Roman"/>
          <w:b/>
          <w:bCs/>
          <w:color w:val="000000"/>
          <w:sz w:val="32"/>
          <w:szCs w:val="32"/>
        </w:rPr>
        <w:t>事业收入：</w:t>
      </w:r>
      <w:r>
        <w:rPr>
          <w:rFonts w:ascii="Times New Roman" w:hAnsi="Times New Roman" w:eastAsia="仿宋_GB2312" w:cs="Times New Roman"/>
          <w:bCs/>
          <w:color w:val="000000"/>
          <w:sz w:val="32"/>
          <w:szCs w:val="32"/>
        </w:rPr>
        <w:t>指事业</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开展专业业务活动及辅助活动取得的收入。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三、</w:t>
      </w:r>
      <w:r>
        <w:rPr>
          <w:rFonts w:ascii="Times New Roman" w:hAnsi="Times New Roman" w:eastAsia="仿宋_GB2312" w:cs="Times New Roman"/>
          <w:b/>
          <w:bCs/>
          <w:color w:val="000000"/>
          <w:sz w:val="32"/>
          <w:szCs w:val="32"/>
        </w:rPr>
        <w:t>经营收入：</w:t>
      </w:r>
      <w:r>
        <w:rPr>
          <w:rFonts w:ascii="Times New Roman" w:hAnsi="Times New Roman" w:eastAsia="仿宋_GB2312" w:cs="Times New Roman"/>
          <w:bCs/>
          <w:color w:val="000000"/>
          <w:sz w:val="32"/>
          <w:szCs w:val="32"/>
        </w:rPr>
        <w:t>指事业</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在专业业务活动及其辅助活动之外开展非独立核算经营活动取得的收入。</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四、</w:t>
      </w:r>
      <w:r>
        <w:rPr>
          <w:rFonts w:ascii="Times New Roman" w:hAnsi="Times New Roman" w:eastAsia="仿宋_GB2312" w:cs="Times New Roman"/>
          <w:b/>
          <w:bCs/>
          <w:color w:val="000000"/>
          <w:sz w:val="32"/>
          <w:szCs w:val="32"/>
        </w:rPr>
        <w:t>其他收入：</w:t>
      </w:r>
      <w:r>
        <w:rPr>
          <w:rFonts w:ascii="Times New Roman" w:hAnsi="Times New Roman" w:eastAsia="仿宋_GB2312" w:cs="Times New Roman"/>
          <w:bCs/>
          <w:color w:val="000000"/>
          <w:sz w:val="32"/>
          <w:szCs w:val="32"/>
        </w:rPr>
        <w:t>指</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取得的除上述收入以外的各项收</w:t>
      </w:r>
    </w:p>
    <w:p>
      <w:pPr>
        <w:spacing w:line="580" w:lineRule="exact"/>
        <w:rPr>
          <w:rFonts w:ascii="Times New Roman" w:hAnsi="Times New Roman" w:eastAsia="仿宋_GB2312" w:cs="Times New Roman"/>
          <w:b/>
          <w:bCs/>
          <w:color w:val="000000"/>
          <w:sz w:val="32"/>
          <w:szCs w:val="32"/>
        </w:rPr>
      </w:pPr>
      <w:r>
        <w:rPr>
          <w:rFonts w:ascii="Times New Roman" w:hAnsi="Times New Roman" w:eastAsia="仿宋_GB2312" w:cs="Times New Roman"/>
          <w:bCs/>
          <w:color w:val="000000"/>
          <w:sz w:val="32"/>
          <w:szCs w:val="32"/>
        </w:rPr>
        <w:t>入。主要是事业</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固定资产出租收入、存款利息收入等。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五、</w:t>
      </w:r>
      <w:r>
        <w:rPr>
          <w:rFonts w:ascii="Times New Roman" w:hAnsi="Times New Roman" w:eastAsia="仿宋_GB2312" w:cs="Times New Roman"/>
          <w:b/>
          <w:bCs/>
          <w:color w:val="000000"/>
          <w:sz w:val="32"/>
          <w:szCs w:val="32"/>
        </w:rPr>
        <w:t>使用非财政拨款结余（含专用结余）：</w:t>
      </w:r>
      <w:r>
        <w:rPr>
          <w:rFonts w:ascii="Times New Roman" w:hAnsi="Times New Roman" w:eastAsia="仿宋_GB2312" w:cs="Times New Roman"/>
          <w:bCs/>
          <w:color w:val="000000"/>
          <w:sz w:val="32"/>
          <w:szCs w:val="32"/>
        </w:rPr>
        <w:t>指事业</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按照预算管理要求使用非财政拨款结余弥补收支差额的金额，以及使用专用结余安排支出的金额。</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六、</w:t>
      </w:r>
      <w:r>
        <w:rPr>
          <w:rFonts w:ascii="Times New Roman" w:hAnsi="Times New Roman" w:eastAsia="仿宋_GB2312" w:cs="Times New Roman"/>
          <w:b/>
          <w:bCs/>
          <w:color w:val="000000"/>
          <w:sz w:val="32"/>
          <w:szCs w:val="32"/>
        </w:rPr>
        <w:t>年初结转和结余：</w:t>
      </w:r>
      <w:r>
        <w:rPr>
          <w:rFonts w:ascii="Times New Roman" w:hAnsi="Times New Roman" w:eastAsia="仿宋_GB2312" w:cs="Times New Roman"/>
          <w:bCs/>
          <w:color w:val="000000"/>
          <w:sz w:val="32"/>
          <w:szCs w:val="32"/>
        </w:rPr>
        <w:t>指</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以前年度尚未完成、结转到本年仍按原规定用途继续使用的资金，或项目已完成等产生的结余资金。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七、</w:t>
      </w:r>
      <w:r>
        <w:rPr>
          <w:rFonts w:ascii="Times New Roman" w:hAnsi="Times New Roman" w:eastAsia="仿宋_GB2312" w:cs="Times New Roman"/>
          <w:b/>
          <w:bCs/>
          <w:color w:val="000000"/>
          <w:sz w:val="32"/>
          <w:szCs w:val="32"/>
        </w:rPr>
        <w:t>结余分配：</w:t>
      </w:r>
      <w:r>
        <w:rPr>
          <w:rFonts w:ascii="Times New Roman" w:hAnsi="Times New Roman" w:eastAsia="仿宋_GB2312" w:cs="Times New Roman"/>
          <w:bCs/>
          <w:color w:val="000000"/>
          <w:sz w:val="32"/>
          <w:szCs w:val="32"/>
        </w:rPr>
        <w:t>指事业</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按照会计制度规定缴纳的所得税、提取的专用结余以及转入非财政拨款结余的金额等。</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八、</w:t>
      </w:r>
      <w:r>
        <w:rPr>
          <w:rFonts w:ascii="Times New Roman" w:hAnsi="Times New Roman" w:eastAsia="仿宋_GB2312" w:cs="Times New Roman"/>
          <w:b/>
          <w:bCs/>
          <w:color w:val="000000"/>
          <w:sz w:val="32"/>
          <w:szCs w:val="32"/>
        </w:rPr>
        <w:t>年末结转和结余：</w:t>
      </w:r>
      <w:r>
        <w:rPr>
          <w:rFonts w:ascii="Times New Roman" w:hAnsi="Times New Roman" w:eastAsia="仿宋_GB2312" w:cs="Times New Roman"/>
          <w:bCs/>
          <w:color w:val="000000"/>
          <w:sz w:val="32"/>
          <w:szCs w:val="32"/>
        </w:rPr>
        <w:t>指</w:t>
      </w:r>
      <w:r>
        <w:rPr>
          <w:rFonts w:hint="eastAsia" w:ascii="Times New Roman" w:hAnsi="Times New Roman" w:eastAsia="仿宋_GB2312" w:cs="Times New Roman"/>
          <w:bCs/>
          <w:color w:val="000000"/>
          <w:sz w:val="32"/>
          <w:szCs w:val="32"/>
          <w:lang w:eastAsia="zh-CN"/>
        </w:rPr>
        <w:t>部门</w:t>
      </w:r>
      <w:r>
        <w:rPr>
          <w:rFonts w:ascii="Times New Roman" w:hAnsi="Times New Roman" w:eastAsia="仿宋_GB2312" w:cs="Times New Roman"/>
          <w:bCs/>
          <w:color w:val="000000"/>
          <w:sz w:val="32"/>
          <w:szCs w:val="32"/>
        </w:rPr>
        <w:t>按有关规定结转到下年或以后年度继续使用的资金，或项目已完成等产生的结余资金。</w:t>
      </w:r>
    </w:p>
    <w:p>
      <w:pPr>
        <w:spacing w:line="580" w:lineRule="exact"/>
        <w:ind w:firstLine="643" w:firstLineChars="200"/>
        <w:rPr>
          <w:rFonts w:ascii="Times New Roman" w:hAnsi="Times New Roman" w:eastAsia="仿宋_GB2312" w:cs="Times New Roman"/>
          <w:bCs/>
          <w:color w:val="000000"/>
          <w:sz w:val="32"/>
          <w:szCs w:val="32"/>
        </w:rPr>
      </w:pPr>
      <w:r>
        <w:rPr>
          <w:rFonts w:hint="eastAsia" w:ascii="Times New Roman" w:hAnsi="Times New Roman" w:eastAsia="仿宋_GB2312" w:cs="Times New Roman"/>
          <w:b/>
          <w:bCs/>
          <w:color w:val="000000"/>
          <w:sz w:val="32"/>
          <w:szCs w:val="32"/>
        </w:rPr>
        <w:t>九、</w:t>
      </w:r>
      <w:r>
        <w:rPr>
          <w:rFonts w:ascii="Times New Roman" w:hAnsi="Times New Roman" w:eastAsia="仿宋_GB2312" w:cs="Times New Roman"/>
          <w:b/>
          <w:bCs/>
          <w:color w:val="000000"/>
          <w:sz w:val="32"/>
          <w:szCs w:val="32"/>
        </w:rPr>
        <w:t>基本支出：</w:t>
      </w:r>
      <w:r>
        <w:rPr>
          <w:rFonts w:ascii="Times New Roman" w:hAnsi="Times New Roman" w:eastAsia="仿宋_GB2312" w:cs="Times New Roman"/>
          <w:bCs/>
          <w:color w:val="000000"/>
          <w:sz w:val="32"/>
          <w:szCs w:val="32"/>
        </w:rPr>
        <w:t>指为保障机构正常运转、完成日常工作任务而发生的人员支出和公用支出。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w:t>
      </w:r>
      <w:r>
        <w:rPr>
          <w:rFonts w:ascii="Times New Roman" w:hAnsi="Times New Roman" w:eastAsia="仿宋_GB2312" w:cs="Times New Roman"/>
          <w:b/>
          <w:bCs/>
          <w:color w:val="000000"/>
          <w:sz w:val="32"/>
          <w:szCs w:val="32"/>
        </w:rPr>
        <w:t>项目支出：</w:t>
      </w:r>
      <w:r>
        <w:rPr>
          <w:rFonts w:ascii="Times New Roman" w:hAnsi="Times New Roman" w:eastAsia="仿宋_GB2312" w:cs="Times New Roman"/>
          <w:color w:val="000000"/>
          <w:sz w:val="32"/>
          <w:szCs w:val="32"/>
        </w:rPr>
        <w:t>指在基本支出之外为完成特定行政任务和事业发展目标所发生的支出。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十一、</w:t>
      </w:r>
      <w:r>
        <w:rPr>
          <w:rFonts w:ascii="Times New Roman" w:hAnsi="Times New Roman" w:eastAsia="仿宋_GB2312" w:cs="Times New Roman"/>
          <w:b/>
          <w:bCs/>
          <w:color w:val="000000"/>
          <w:sz w:val="32"/>
          <w:szCs w:val="32"/>
        </w:rPr>
        <w:t>经营支出 ：</w:t>
      </w:r>
      <w:r>
        <w:rPr>
          <w:rFonts w:ascii="Times New Roman" w:hAnsi="Times New Roman" w:eastAsia="仿宋_GB2312" w:cs="Times New Roman"/>
          <w:color w:val="000000"/>
          <w:sz w:val="32"/>
          <w:szCs w:val="32"/>
        </w:rPr>
        <w:t>指事业</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在专业业务活动及其辅助活动之外开展非独立核算经营活动发生的支出。</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十二、</w:t>
      </w:r>
      <w:r>
        <w:rPr>
          <w:rFonts w:ascii="Times New Roman" w:hAnsi="Times New Roman" w:eastAsia="仿宋_GB2312" w:cs="Times New Roman"/>
          <w:b/>
          <w:bCs/>
          <w:color w:val="000000"/>
          <w:sz w:val="32"/>
          <w:szCs w:val="32"/>
        </w:rPr>
        <w:t>基本建设支出：</w:t>
      </w:r>
      <w:r>
        <w:rPr>
          <w:rFonts w:ascii="Times New Roman" w:hAnsi="Times New Roman" w:eastAsia="仿宋_GB2312" w:cs="Times New Roman"/>
          <w:color w:val="000000"/>
          <w:sz w:val="32"/>
          <w:szCs w:val="32"/>
        </w:rPr>
        <w:t>填列由本级发展与改革</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Times New Roman" w:hAnsi="Times New Roman" w:eastAsia="仿宋_GB2312" w:cs="Times New Roman"/>
          <w:b/>
          <w:bCs/>
          <w:color w:val="000000"/>
          <w:sz w:val="32"/>
          <w:szCs w:val="32"/>
        </w:rPr>
      </w:pPr>
      <w:r>
        <w:rPr>
          <w:rFonts w:hint="eastAsia" w:ascii="Times New Roman" w:hAnsi="Times New Roman" w:eastAsia="仿宋_GB2312" w:cs="Times New Roman"/>
          <w:b/>
          <w:bCs/>
          <w:color w:val="000000"/>
          <w:sz w:val="32"/>
          <w:szCs w:val="32"/>
        </w:rPr>
        <w:t>十三、</w:t>
      </w:r>
      <w:r>
        <w:rPr>
          <w:rFonts w:ascii="Times New Roman" w:hAnsi="Times New Roman" w:eastAsia="仿宋_GB2312" w:cs="Times New Roman"/>
          <w:b/>
          <w:bCs/>
          <w:color w:val="000000"/>
          <w:sz w:val="32"/>
          <w:szCs w:val="32"/>
        </w:rPr>
        <w:t>其他资本性支出：</w:t>
      </w:r>
      <w:r>
        <w:rPr>
          <w:rFonts w:ascii="Times New Roman" w:hAnsi="Times New Roman" w:eastAsia="仿宋_GB2312" w:cs="Times New Roman"/>
          <w:color w:val="000000"/>
          <w:sz w:val="32"/>
          <w:szCs w:val="32"/>
        </w:rPr>
        <w:t>填列由各级非发展与改革</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十四、</w:t>
      </w:r>
      <w:r>
        <w:rPr>
          <w:rFonts w:ascii="Times New Roman" w:hAnsi="Times New Roman" w:eastAsia="仿宋_GB2312" w:cs="Times New Roman"/>
          <w:b/>
          <w:bCs/>
          <w:color w:val="000000"/>
          <w:sz w:val="32"/>
          <w:szCs w:val="32"/>
        </w:rPr>
        <w:t>“三公”经费：</w:t>
      </w:r>
      <w:r>
        <w:rPr>
          <w:rFonts w:ascii="Times New Roman" w:hAnsi="Times New Roman" w:eastAsia="仿宋_GB2312" w:cs="Times New Roman"/>
          <w:color w:val="000000"/>
          <w:sz w:val="32"/>
          <w:szCs w:val="32"/>
        </w:rPr>
        <w:t>指</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用财政拨款安排的因公出国（境）费、公务用车购置及运行费和公务接待费。其中，因公出国（境）费反映</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公务出国（境）的国际旅费、国外城市间交通费、住宿费、伙食费、培训费、公杂费等支出；公务用车购置及运行费反映</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公务用车购置支出（含车辆购置税、牌照费）及按规定保留的公务用车燃料费、维修费、过桥过路费、保险费、安全奖励费用等支出；公务接待费反映</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按规定开支的各类公务接待（含外宾接待）支出。</w:t>
      </w:r>
    </w:p>
    <w:p>
      <w:pPr>
        <w:snapToGrid w:val="0"/>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十五、</w:t>
      </w:r>
      <w:r>
        <w:rPr>
          <w:rFonts w:ascii="Times New Roman" w:hAnsi="Times New Roman" w:eastAsia="仿宋_GB2312" w:cs="Times New Roman"/>
          <w:b/>
          <w:bCs/>
          <w:color w:val="000000"/>
          <w:sz w:val="32"/>
          <w:szCs w:val="32"/>
        </w:rPr>
        <w:t>其他交通费用：</w:t>
      </w:r>
      <w:r>
        <w:rPr>
          <w:rFonts w:ascii="Times New Roman" w:hAnsi="Times New Roman" w:eastAsia="仿宋_GB2312" w:cs="Times New Roman"/>
          <w:color w:val="000000"/>
          <w:sz w:val="32"/>
          <w:szCs w:val="32"/>
        </w:rPr>
        <w:t>填列</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除公务用车运行维护费以外的其他交通费用。如公务交通补贴、租车费用、出租车费用，飞机、船舶等燃料费、维修费、保险费等。</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十六、</w:t>
      </w:r>
      <w:r>
        <w:rPr>
          <w:rFonts w:ascii="Times New Roman" w:hAnsi="Times New Roman" w:eastAsia="仿宋_GB2312" w:cs="Times New Roman"/>
          <w:b/>
          <w:bCs/>
          <w:color w:val="000000"/>
          <w:sz w:val="32"/>
          <w:szCs w:val="32"/>
        </w:rPr>
        <w:t>公务用车购置：</w:t>
      </w:r>
      <w:r>
        <w:rPr>
          <w:rFonts w:ascii="Times New Roman" w:hAnsi="Times New Roman" w:eastAsia="仿宋_GB2312" w:cs="Times New Roman"/>
          <w:color w:val="000000"/>
          <w:sz w:val="32"/>
          <w:szCs w:val="32"/>
        </w:rPr>
        <w:t>填列</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公务用车车辆购置支出（含车辆购置税、牌照费）。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hint="eastAsia" w:ascii="Times New Roman" w:hAnsi="Times New Roman" w:eastAsia="仿宋_GB2312" w:cs="Times New Roman"/>
          <w:b/>
          <w:bCs/>
          <w:color w:val="000000"/>
          <w:sz w:val="32"/>
          <w:szCs w:val="32"/>
        </w:rPr>
        <w:t>十七、</w:t>
      </w:r>
      <w:r>
        <w:rPr>
          <w:rFonts w:ascii="Times New Roman" w:hAnsi="Times New Roman" w:eastAsia="仿宋_GB2312" w:cs="Times New Roman"/>
          <w:b/>
          <w:bCs/>
          <w:color w:val="000000"/>
          <w:sz w:val="32"/>
          <w:szCs w:val="32"/>
        </w:rPr>
        <w:t>其他交通工具购置：</w:t>
      </w:r>
      <w:r>
        <w:rPr>
          <w:rFonts w:ascii="Times New Roman" w:hAnsi="Times New Roman" w:eastAsia="仿宋_GB2312" w:cs="Times New Roman"/>
          <w:color w:val="000000"/>
          <w:sz w:val="32"/>
          <w:szCs w:val="32"/>
        </w:rPr>
        <w:t>填列</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除公务用车外的其他各类交通工具（如船舶、飞机等）购置支出（含车辆购置税、牌照费）。</w:t>
      </w:r>
    </w:p>
    <w:p>
      <w:pPr>
        <w:widowControl/>
        <w:spacing w:line="560" w:lineRule="exact"/>
        <w:ind w:firstLine="643" w:firstLineChars="200"/>
        <w:rPr>
          <w:rFonts w:ascii="Times New Roman" w:hAnsi="Times New Roman" w:eastAsia="仿宋_GB2312" w:cs="Times New Roman"/>
          <w:color w:val="000000"/>
          <w:sz w:val="32"/>
          <w:szCs w:val="32"/>
        </w:rPr>
      </w:pPr>
      <w:r>
        <w:rPr>
          <w:rFonts w:ascii="Times New Roman" w:hAnsi="Times New Roman" w:eastAsia="仿宋_GB2312" w:cs="Times New Roman"/>
          <w:b/>
          <w:bCs/>
          <w:color w:val="000000"/>
          <w:sz w:val="32"/>
          <w:szCs w:val="32"/>
        </w:rPr>
        <w:t>十八、机关运行经费：</w:t>
      </w:r>
      <w:r>
        <w:rPr>
          <w:rFonts w:ascii="Times New Roman" w:hAnsi="Times New Roman" w:eastAsia="仿宋_GB2312" w:cs="Times New Roman"/>
          <w:color w:val="000000"/>
          <w:sz w:val="32"/>
          <w:szCs w:val="32"/>
        </w:rPr>
        <w:t>指为保障行政</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（包括参照公务员法管理的事业</w:t>
      </w:r>
      <w:r>
        <w:rPr>
          <w:rFonts w:hint="eastAsia" w:ascii="Times New Roman" w:hAnsi="Times New Roman" w:eastAsia="仿宋_GB2312" w:cs="Times New Roman"/>
          <w:color w:val="000000"/>
          <w:sz w:val="32"/>
          <w:szCs w:val="32"/>
          <w:lang w:eastAsia="zh-CN"/>
        </w:rPr>
        <w:t>部门</w:t>
      </w:r>
      <w:r>
        <w:rPr>
          <w:rFonts w:ascii="Times New Roman" w:hAnsi="Times New Roman" w:eastAsia="仿宋_GB2312" w:cs="Times New Roman"/>
          <w:color w:val="000000"/>
          <w:sz w:val="32"/>
          <w:szCs w:val="32"/>
        </w:rPr>
        <w:t>）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Times New Roman" w:hAnsi="Times New Roman" w:eastAsia="仿宋_GB2312" w:cs="Times New Roman"/>
          <w:sz w:val="32"/>
          <w:szCs w:val="32"/>
        </w:rPr>
      </w:pPr>
      <w:r>
        <w:rPr>
          <w:rFonts w:ascii="Times New Roman" w:hAnsi="Times New Roman" w:eastAsia="仿宋_GB2312" w:cs="Times New Roman"/>
          <w:b/>
          <w:bCs/>
          <w:color w:val="000000"/>
          <w:sz w:val="32"/>
          <w:szCs w:val="32"/>
        </w:rPr>
        <w:t>十九、经费形式:</w:t>
      </w:r>
      <w:r>
        <w:rPr>
          <w:rFonts w:ascii="Times New Roman" w:hAnsi="Times New Roman" w:eastAsia="仿宋_GB2312" w:cs="Times New Roman"/>
          <w:color w:val="000000"/>
          <w:sz w:val="32"/>
          <w:szCs w:val="32"/>
        </w:rPr>
        <w:t>按照经费来源，</w:t>
      </w:r>
      <w:r>
        <w:rPr>
          <w:rFonts w:ascii="Times New Roman" w:hAnsi="Times New Roman" w:eastAsia="仿宋_GB2312" w:cs="Times New Roman"/>
          <w:sz w:val="32"/>
          <w:szCs w:val="32"/>
        </w:rPr>
        <w:t>可分为财政拨款、财政性资金基本保证、财政性资金定额或定项补助、财政性资金零补助四类</w:t>
      </w:r>
    </w:p>
    <w:p>
      <w:pPr>
        <w:rPr>
          <w:rFonts w:ascii="Times New Roman" w:hAnsi="Times New Roman" w:cs="Times New Roman"/>
        </w:rPr>
      </w:pPr>
    </w:p>
    <w:p>
      <w:pPr>
        <w:pStyle w:val="11"/>
        <w:widowControl/>
        <w:spacing w:beforeAutospacing="0" w:afterAutospacing="0"/>
        <w:rPr>
          <w:rFonts w:ascii="Times New Roman" w:hAnsi="Times New Roman" w:eastAsia="仿宋_GB2312"/>
          <w:color w:val="333333"/>
          <w:sz w:val="33"/>
          <w:szCs w:val="33"/>
          <w:shd w:val="clear" w:color="auto" w:fill="FFFFFF"/>
        </w:rPr>
      </w:pPr>
    </w:p>
    <w:p>
      <w:pPr>
        <w:rPr>
          <w:rFonts w:ascii="Times New Roman" w:hAnsi="Times New Roman" w:eastAsia="仿宋_GB2312" w:cs="Times New Roman"/>
          <w:color w:val="333333"/>
          <w:sz w:val="33"/>
          <w:szCs w:val="33"/>
          <w:shd w:val="clear" w:color="auto"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47CCEC5A-6EF6-4262-9DF1-1C6BF7820EC1}"/>
  </w:font>
  <w:font w:name="黑体">
    <w:panose1 w:val="02010609060101010101"/>
    <w:charset w:val="86"/>
    <w:family w:val="auto"/>
    <w:pitch w:val="default"/>
    <w:sig w:usb0="800002BF" w:usb1="38CF7CFA" w:usb2="00000016" w:usb3="00000000" w:csb0="00040001" w:csb1="00000000"/>
    <w:embedRegular r:id="rId2" w:fontKey="{3781BB11-43F7-4922-ADBE-394CDB084766}"/>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3" w:fontKey="{F2B00077-0E8E-4663-93D6-F394A5DB0F4C}"/>
  </w:font>
  <w:font w:name="仿宋">
    <w:panose1 w:val="02010609060101010101"/>
    <w:charset w:val="86"/>
    <w:family w:val="modern"/>
    <w:pitch w:val="default"/>
    <w:sig w:usb0="800002BF" w:usb1="38CF7CFA" w:usb2="00000016" w:usb3="00000000" w:csb0="00040001" w:csb1="00000000"/>
    <w:embedRegular r:id="rId4" w:fontKey="{2B67F91A-5B85-4123-B78A-903E51460328}"/>
  </w:font>
  <w:font w:name="Calibri Light">
    <w:panose1 w:val="020F03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731A21E3-F533-4684-BE4E-F0DBD3797455}"/>
  </w:font>
  <w:font w:name="思源黑体 CN Heavy">
    <w:altName w:val="黑体"/>
    <w:panose1 w:val="00000000000000000000"/>
    <w:charset w:val="86"/>
    <w:family w:val="swiss"/>
    <w:pitch w:val="default"/>
    <w:sig w:usb0="00000000" w:usb1="00000000" w:usb2="00000016" w:usb3="00000000" w:csb0="00060107" w:csb1="00000000"/>
    <w:embedRegular r:id="rId6" w:fontKey="{5562EBBB-2AFB-485A-BCD8-19C71152825A}"/>
  </w:font>
  <w:font w:name="楷体_GB2312">
    <w:altName w:val="楷体"/>
    <w:panose1 w:val="00000000000000000000"/>
    <w:charset w:val="86"/>
    <w:family w:val="auto"/>
    <w:pitch w:val="default"/>
    <w:sig w:usb0="00000000" w:usb1="00000000" w:usb2="00000000" w:usb3="00000000" w:csb0="00040000" w:csb1="00000000"/>
    <w:embedRegular r:id="rId7" w:fontKey="{B73C7CFF-6D09-447D-8EA8-CC6F94229287}"/>
  </w:font>
  <w:font w:name="仿宋_GB2312">
    <w:panose1 w:val="02010609030101010101"/>
    <w:charset w:val="86"/>
    <w:family w:val="auto"/>
    <w:pitch w:val="default"/>
    <w:sig w:usb0="00000000" w:usb1="00000000" w:usb2="00000000" w:usb3="00000000" w:csb0="00000000" w:csb1="00000000"/>
    <w:embedRegular r:id="rId8" w:fontKey="{889F1EF4-371D-48F6-B0EB-3F3E6E6BF847}"/>
  </w:font>
  <w:font w:name="ArialUnicodeMS">
    <w:altName w:val="Malgun Gothic"/>
    <w:panose1 w:val="00000000000000000000"/>
    <w:charset w:val="81"/>
    <w:family w:val="auto"/>
    <w:pitch w:val="default"/>
    <w:sig w:usb0="00000000" w:usb1="00000000" w:usb2="00000010" w:usb3="00000000" w:csb0="00080001" w:csb1="00000000"/>
    <w:embedRegular r:id="rId9" w:fontKey="{81066BC7-4488-4B70-B173-C0BB5794B1BD}"/>
  </w:font>
  <w:font w:name="方正仿宋_GB2312">
    <w:panose1 w:val="02000000000000000000"/>
    <w:charset w:val="86"/>
    <w:family w:val="auto"/>
    <w:pitch w:val="default"/>
    <w:sig w:usb0="00000000" w:usb1="00000000" w:usb2="00000000" w:usb3="00000000" w:csb0="00000000" w:csb1="00000000"/>
    <w:embedRegular r:id="rId10" w:fontKey="{38110A61-4CAA-4C2A-88EC-91403607E368}"/>
  </w:font>
  <w:font w:name="DengXian-Regular">
    <w:altName w:val="宋体"/>
    <w:panose1 w:val="00000000000000000000"/>
    <w:charset w:val="86"/>
    <w:family w:val="auto"/>
    <w:pitch w:val="default"/>
    <w:sig w:usb0="00000000" w:usb1="00000000" w:usb2="00000010" w:usb3="00000000" w:csb0="00040001" w:csb1="00000000"/>
    <w:embedRegular r:id="rId11" w:fontKey="{1E096E24-21AF-48B4-A526-EBCB649F7C4F}"/>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DQsImhkaWQiOiJiMzk2N2EzZjUyYWViODRjZjJhMDZjM2YyYjk4MTExMiIsInVzZXJDb3VudCI6Mjd9"/>
  </w:docVars>
  <w:rsids>
    <w:rsidRoot w:val="00144C07"/>
    <w:rsid w:val="00086151"/>
    <w:rsid w:val="00144C07"/>
    <w:rsid w:val="00205E59"/>
    <w:rsid w:val="00236F8C"/>
    <w:rsid w:val="0064383A"/>
    <w:rsid w:val="007F638C"/>
    <w:rsid w:val="008B271F"/>
    <w:rsid w:val="008E6AAF"/>
    <w:rsid w:val="00AD3588"/>
    <w:rsid w:val="00B151A5"/>
    <w:rsid w:val="00C65689"/>
    <w:rsid w:val="00CA6AE0"/>
    <w:rsid w:val="00CC2C8E"/>
    <w:rsid w:val="016E52B5"/>
    <w:rsid w:val="01900E19"/>
    <w:rsid w:val="01A03C5A"/>
    <w:rsid w:val="01A5267D"/>
    <w:rsid w:val="02363AF1"/>
    <w:rsid w:val="024808A2"/>
    <w:rsid w:val="025C3821"/>
    <w:rsid w:val="02B52583"/>
    <w:rsid w:val="02D33A09"/>
    <w:rsid w:val="02DA3B1B"/>
    <w:rsid w:val="02E57B4D"/>
    <w:rsid w:val="02EA6310"/>
    <w:rsid w:val="037B12D4"/>
    <w:rsid w:val="03804D63"/>
    <w:rsid w:val="03FB73B0"/>
    <w:rsid w:val="04912661"/>
    <w:rsid w:val="04BD008C"/>
    <w:rsid w:val="04C55939"/>
    <w:rsid w:val="04DA28BB"/>
    <w:rsid w:val="04F419D9"/>
    <w:rsid w:val="04F528BE"/>
    <w:rsid w:val="05991C82"/>
    <w:rsid w:val="061416A9"/>
    <w:rsid w:val="06236884"/>
    <w:rsid w:val="063D2104"/>
    <w:rsid w:val="067E788A"/>
    <w:rsid w:val="06FC7C2A"/>
    <w:rsid w:val="07533AFE"/>
    <w:rsid w:val="07554BFB"/>
    <w:rsid w:val="07B3657A"/>
    <w:rsid w:val="07C703AC"/>
    <w:rsid w:val="07C857D0"/>
    <w:rsid w:val="08333D3D"/>
    <w:rsid w:val="08AB5AAF"/>
    <w:rsid w:val="09012C64"/>
    <w:rsid w:val="093B2E99"/>
    <w:rsid w:val="095D7943"/>
    <w:rsid w:val="09C006C6"/>
    <w:rsid w:val="0A10621F"/>
    <w:rsid w:val="0A464C4F"/>
    <w:rsid w:val="0A6729A3"/>
    <w:rsid w:val="0A694877"/>
    <w:rsid w:val="0AA954BE"/>
    <w:rsid w:val="0AE0030A"/>
    <w:rsid w:val="0AE70639"/>
    <w:rsid w:val="0B4F5E6D"/>
    <w:rsid w:val="0B753AE2"/>
    <w:rsid w:val="0BB67D0A"/>
    <w:rsid w:val="0BC56230"/>
    <w:rsid w:val="0BCF21BD"/>
    <w:rsid w:val="0C0B5B38"/>
    <w:rsid w:val="0C4E53E8"/>
    <w:rsid w:val="0C9F7900"/>
    <w:rsid w:val="0CB23317"/>
    <w:rsid w:val="0CBE297A"/>
    <w:rsid w:val="0CD15E5A"/>
    <w:rsid w:val="0D101068"/>
    <w:rsid w:val="0D49470D"/>
    <w:rsid w:val="0D7557DF"/>
    <w:rsid w:val="0D8539A0"/>
    <w:rsid w:val="0D853E34"/>
    <w:rsid w:val="0D9C2A57"/>
    <w:rsid w:val="0DFA5D82"/>
    <w:rsid w:val="0E0B1B42"/>
    <w:rsid w:val="0E1E52CE"/>
    <w:rsid w:val="0E341BC0"/>
    <w:rsid w:val="0E866524"/>
    <w:rsid w:val="0E9268D3"/>
    <w:rsid w:val="0E957F1F"/>
    <w:rsid w:val="0F0E7284"/>
    <w:rsid w:val="0F28110F"/>
    <w:rsid w:val="0F360E40"/>
    <w:rsid w:val="0F37083F"/>
    <w:rsid w:val="0F891DB8"/>
    <w:rsid w:val="0FAA3B86"/>
    <w:rsid w:val="10191346"/>
    <w:rsid w:val="10754A6C"/>
    <w:rsid w:val="108B537D"/>
    <w:rsid w:val="10B11DB1"/>
    <w:rsid w:val="10BE7713"/>
    <w:rsid w:val="10C7485C"/>
    <w:rsid w:val="11015DB0"/>
    <w:rsid w:val="11177F57"/>
    <w:rsid w:val="11217C97"/>
    <w:rsid w:val="11464C20"/>
    <w:rsid w:val="115E4926"/>
    <w:rsid w:val="118A1FFA"/>
    <w:rsid w:val="11E35B5A"/>
    <w:rsid w:val="11E42DD6"/>
    <w:rsid w:val="11F57951"/>
    <w:rsid w:val="12545129"/>
    <w:rsid w:val="125F5A1B"/>
    <w:rsid w:val="126979D6"/>
    <w:rsid w:val="129E45A7"/>
    <w:rsid w:val="13074404"/>
    <w:rsid w:val="136A5C00"/>
    <w:rsid w:val="13C527AC"/>
    <w:rsid w:val="14711797"/>
    <w:rsid w:val="147B6F17"/>
    <w:rsid w:val="14D42061"/>
    <w:rsid w:val="15081C8B"/>
    <w:rsid w:val="15090D5C"/>
    <w:rsid w:val="159C0153"/>
    <w:rsid w:val="15A133F0"/>
    <w:rsid w:val="15CF053D"/>
    <w:rsid w:val="15E0131A"/>
    <w:rsid w:val="16457D9F"/>
    <w:rsid w:val="17223EFF"/>
    <w:rsid w:val="175060ED"/>
    <w:rsid w:val="17B713F6"/>
    <w:rsid w:val="184350A0"/>
    <w:rsid w:val="18541CC2"/>
    <w:rsid w:val="18935485"/>
    <w:rsid w:val="18946C52"/>
    <w:rsid w:val="18A34206"/>
    <w:rsid w:val="18D0651D"/>
    <w:rsid w:val="18DE3B2C"/>
    <w:rsid w:val="1906685D"/>
    <w:rsid w:val="19111683"/>
    <w:rsid w:val="19353916"/>
    <w:rsid w:val="19B07C1B"/>
    <w:rsid w:val="19C10AF1"/>
    <w:rsid w:val="1A077661"/>
    <w:rsid w:val="1A2672DE"/>
    <w:rsid w:val="1AA81D42"/>
    <w:rsid w:val="1AB433D9"/>
    <w:rsid w:val="1B143EF2"/>
    <w:rsid w:val="1B1B11EE"/>
    <w:rsid w:val="1B3719E0"/>
    <w:rsid w:val="1B6261C3"/>
    <w:rsid w:val="1B731730"/>
    <w:rsid w:val="1B882BB5"/>
    <w:rsid w:val="1B906310"/>
    <w:rsid w:val="1B9B33C7"/>
    <w:rsid w:val="1B9D7FEC"/>
    <w:rsid w:val="1BA55461"/>
    <w:rsid w:val="1BC872C4"/>
    <w:rsid w:val="1BE74496"/>
    <w:rsid w:val="1C35495A"/>
    <w:rsid w:val="1C3D67D1"/>
    <w:rsid w:val="1C40731A"/>
    <w:rsid w:val="1C560392"/>
    <w:rsid w:val="1C581532"/>
    <w:rsid w:val="1CA15E03"/>
    <w:rsid w:val="1CA24F0C"/>
    <w:rsid w:val="1CF8716C"/>
    <w:rsid w:val="1D230EBD"/>
    <w:rsid w:val="1D4B1F5B"/>
    <w:rsid w:val="1D654A42"/>
    <w:rsid w:val="1D6C5CA0"/>
    <w:rsid w:val="1D725586"/>
    <w:rsid w:val="1D745B4F"/>
    <w:rsid w:val="1D867987"/>
    <w:rsid w:val="1D944010"/>
    <w:rsid w:val="1DD70E85"/>
    <w:rsid w:val="1DE6414E"/>
    <w:rsid w:val="1DE74AD7"/>
    <w:rsid w:val="1DF60A19"/>
    <w:rsid w:val="1DFA6713"/>
    <w:rsid w:val="1E050843"/>
    <w:rsid w:val="1E20024F"/>
    <w:rsid w:val="1E2D3FB0"/>
    <w:rsid w:val="1E2E50F1"/>
    <w:rsid w:val="1E2F73C2"/>
    <w:rsid w:val="1E3B4E26"/>
    <w:rsid w:val="1E97477F"/>
    <w:rsid w:val="1E9F5471"/>
    <w:rsid w:val="1EDF707D"/>
    <w:rsid w:val="1F65664C"/>
    <w:rsid w:val="1F79478A"/>
    <w:rsid w:val="1F7C149A"/>
    <w:rsid w:val="1F823F4B"/>
    <w:rsid w:val="1F84140D"/>
    <w:rsid w:val="1F863C54"/>
    <w:rsid w:val="1F9B7FFD"/>
    <w:rsid w:val="1F9C7614"/>
    <w:rsid w:val="1FBE1971"/>
    <w:rsid w:val="1FC36E8D"/>
    <w:rsid w:val="2008768D"/>
    <w:rsid w:val="204C2B10"/>
    <w:rsid w:val="207D30AD"/>
    <w:rsid w:val="209064B9"/>
    <w:rsid w:val="20970D81"/>
    <w:rsid w:val="20D165D5"/>
    <w:rsid w:val="210878E6"/>
    <w:rsid w:val="210E1408"/>
    <w:rsid w:val="211069AD"/>
    <w:rsid w:val="2154654F"/>
    <w:rsid w:val="21573FAB"/>
    <w:rsid w:val="2172069C"/>
    <w:rsid w:val="21987BC4"/>
    <w:rsid w:val="21B40E66"/>
    <w:rsid w:val="21C12692"/>
    <w:rsid w:val="220451AB"/>
    <w:rsid w:val="2237486E"/>
    <w:rsid w:val="223D1378"/>
    <w:rsid w:val="22940650"/>
    <w:rsid w:val="22AD4B1E"/>
    <w:rsid w:val="22D31DF3"/>
    <w:rsid w:val="22FD3CF7"/>
    <w:rsid w:val="2356249E"/>
    <w:rsid w:val="236E713A"/>
    <w:rsid w:val="23700968"/>
    <w:rsid w:val="238761A6"/>
    <w:rsid w:val="23920578"/>
    <w:rsid w:val="23BB6F9A"/>
    <w:rsid w:val="23FC3864"/>
    <w:rsid w:val="24F25212"/>
    <w:rsid w:val="254B0AC6"/>
    <w:rsid w:val="25571AB6"/>
    <w:rsid w:val="25B40AD6"/>
    <w:rsid w:val="25BE7872"/>
    <w:rsid w:val="25BF702A"/>
    <w:rsid w:val="264D2D17"/>
    <w:rsid w:val="26D50E55"/>
    <w:rsid w:val="270763D6"/>
    <w:rsid w:val="27111CAC"/>
    <w:rsid w:val="271A539C"/>
    <w:rsid w:val="274972D4"/>
    <w:rsid w:val="2787204F"/>
    <w:rsid w:val="27A676DB"/>
    <w:rsid w:val="27AA3D97"/>
    <w:rsid w:val="27E56185"/>
    <w:rsid w:val="289057C5"/>
    <w:rsid w:val="289724F8"/>
    <w:rsid w:val="28A67C7A"/>
    <w:rsid w:val="28D1057E"/>
    <w:rsid w:val="28D458A4"/>
    <w:rsid w:val="28D7372A"/>
    <w:rsid w:val="28EA3248"/>
    <w:rsid w:val="28F879DA"/>
    <w:rsid w:val="294630F8"/>
    <w:rsid w:val="294B7731"/>
    <w:rsid w:val="296A5FF1"/>
    <w:rsid w:val="29D21FF2"/>
    <w:rsid w:val="2A5C3CAC"/>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D8964F0"/>
    <w:rsid w:val="2D99655D"/>
    <w:rsid w:val="2E1B4BB8"/>
    <w:rsid w:val="2E256CB6"/>
    <w:rsid w:val="2E3224D3"/>
    <w:rsid w:val="2E5F27E4"/>
    <w:rsid w:val="2E737718"/>
    <w:rsid w:val="2EB22753"/>
    <w:rsid w:val="2EBD223E"/>
    <w:rsid w:val="2EBF0870"/>
    <w:rsid w:val="2EC10AD1"/>
    <w:rsid w:val="2ECB6A5A"/>
    <w:rsid w:val="2EFA24F5"/>
    <w:rsid w:val="2EFC0112"/>
    <w:rsid w:val="2F0D269E"/>
    <w:rsid w:val="2F2B730D"/>
    <w:rsid w:val="2F8169E4"/>
    <w:rsid w:val="2F9F3DC1"/>
    <w:rsid w:val="2FFC7AC2"/>
    <w:rsid w:val="301430AF"/>
    <w:rsid w:val="30630612"/>
    <w:rsid w:val="308E59B0"/>
    <w:rsid w:val="30B10568"/>
    <w:rsid w:val="30E55DD3"/>
    <w:rsid w:val="30E60399"/>
    <w:rsid w:val="31356AA5"/>
    <w:rsid w:val="313E22F0"/>
    <w:rsid w:val="31A37D5F"/>
    <w:rsid w:val="31A73838"/>
    <w:rsid w:val="31B0194C"/>
    <w:rsid w:val="31CE17D1"/>
    <w:rsid w:val="31CE3CA3"/>
    <w:rsid w:val="323E4515"/>
    <w:rsid w:val="324E00CB"/>
    <w:rsid w:val="3286389B"/>
    <w:rsid w:val="32CE6A40"/>
    <w:rsid w:val="32CF5C94"/>
    <w:rsid w:val="32D337C7"/>
    <w:rsid w:val="32E200EC"/>
    <w:rsid w:val="32E5408B"/>
    <w:rsid w:val="32EB0D70"/>
    <w:rsid w:val="332868BB"/>
    <w:rsid w:val="333211F3"/>
    <w:rsid w:val="33504B41"/>
    <w:rsid w:val="335174BC"/>
    <w:rsid w:val="338B4A07"/>
    <w:rsid w:val="33944811"/>
    <w:rsid w:val="33CE0488"/>
    <w:rsid w:val="34005866"/>
    <w:rsid w:val="34182C85"/>
    <w:rsid w:val="34262463"/>
    <w:rsid w:val="34296F31"/>
    <w:rsid w:val="34340A27"/>
    <w:rsid w:val="34496D9C"/>
    <w:rsid w:val="346A2989"/>
    <w:rsid w:val="34714663"/>
    <w:rsid w:val="348865E9"/>
    <w:rsid w:val="348F70D5"/>
    <w:rsid w:val="349D2BAD"/>
    <w:rsid w:val="34B25886"/>
    <w:rsid w:val="351E2555"/>
    <w:rsid w:val="35277FF8"/>
    <w:rsid w:val="3558300F"/>
    <w:rsid w:val="35635359"/>
    <w:rsid w:val="35776F72"/>
    <w:rsid w:val="35795602"/>
    <w:rsid w:val="35997371"/>
    <w:rsid w:val="360134DF"/>
    <w:rsid w:val="360B1E2F"/>
    <w:rsid w:val="360D500F"/>
    <w:rsid w:val="362B239A"/>
    <w:rsid w:val="36330424"/>
    <w:rsid w:val="36990C8E"/>
    <w:rsid w:val="36A57B4F"/>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4594D"/>
    <w:rsid w:val="391702A7"/>
    <w:rsid w:val="39286EB6"/>
    <w:rsid w:val="39601DF4"/>
    <w:rsid w:val="39840D35"/>
    <w:rsid w:val="39A239AC"/>
    <w:rsid w:val="39A97DAF"/>
    <w:rsid w:val="39CD1330"/>
    <w:rsid w:val="39DD1AFF"/>
    <w:rsid w:val="3A2510B9"/>
    <w:rsid w:val="3A2B1DFC"/>
    <w:rsid w:val="3AA6422C"/>
    <w:rsid w:val="3AAF46D5"/>
    <w:rsid w:val="3B135A0E"/>
    <w:rsid w:val="3B272BBC"/>
    <w:rsid w:val="3B2C4F14"/>
    <w:rsid w:val="3B374FEE"/>
    <w:rsid w:val="3B3D2A8B"/>
    <w:rsid w:val="3B4410EE"/>
    <w:rsid w:val="3B56159C"/>
    <w:rsid w:val="3B7D732B"/>
    <w:rsid w:val="3BA7084C"/>
    <w:rsid w:val="3BD30423"/>
    <w:rsid w:val="3C3A1750"/>
    <w:rsid w:val="3C6147F2"/>
    <w:rsid w:val="3C6C0B58"/>
    <w:rsid w:val="3CBE41D5"/>
    <w:rsid w:val="3CF42EA4"/>
    <w:rsid w:val="3D446B0E"/>
    <w:rsid w:val="3D953A6B"/>
    <w:rsid w:val="3DBB2CD5"/>
    <w:rsid w:val="3DBB5979"/>
    <w:rsid w:val="3DD67143"/>
    <w:rsid w:val="3E1057AF"/>
    <w:rsid w:val="3E485659"/>
    <w:rsid w:val="3E6C0DFA"/>
    <w:rsid w:val="3E6D5C8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BC7E02"/>
    <w:rsid w:val="42C82575"/>
    <w:rsid w:val="43022EE1"/>
    <w:rsid w:val="431A5F8F"/>
    <w:rsid w:val="431F247A"/>
    <w:rsid w:val="43335E8F"/>
    <w:rsid w:val="433F2968"/>
    <w:rsid w:val="43676E20"/>
    <w:rsid w:val="43880710"/>
    <w:rsid w:val="43A31040"/>
    <w:rsid w:val="43BF774E"/>
    <w:rsid w:val="43CD062F"/>
    <w:rsid w:val="43E214F9"/>
    <w:rsid w:val="43F06264"/>
    <w:rsid w:val="44404C8E"/>
    <w:rsid w:val="447537F1"/>
    <w:rsid w:val="44870D07"/>
    <w:rsid w:val="45513D03"/>
    <w:rsid w:val="45541E1C"/>
    <w:rsid w:val="457568D3"/>
    <w:rsid w:val="458931B6"/>
    <w:rsid w:val="45F657C2"/>
    <w:rsid w:val="46107AB9"/>
    <w:rsid w:val="461F0A8B"/>
    <w:rsid w:val="4648721E"/>
    <w:rsid w:val="46582521"/>
    <w:rsid w:val="46663E71"/>
    <w:rsid w:val="466A37AC"/>
    <w:rsid w:val="46CB071B"/>
    <w:rsid w:val="46DE140B"/>
    <w:rsid w:val="46E77334"/>
    <w:rsid w:val="46F22E29"/>
    <w:rsid w:val="46F7142F"/>
    <w:rsid w:val="47107AE3"/>
    <w:rsid w:val="473C62ED"/>
    <w:rsid w:val="47617242"/>
    <w:rsid w:val="47731896"/>
    <w:rsid w:val="4783216D"/>
    <w:rsid w:val="478C16C9"/>
    <w:rsid w:val="478C6534"/>
    <w:rsid w:val="47AD79CE"/>
    <w:rsid w:val="47BD246B"/>
    <w:rsid w:val="47CB2B0C"/>
    <w:rsid w:val="47E773CE"/>
    <w:rsid w:val="48015FF5"/>
    <w:rsid w:val="484C45A4"/>
    <w:rsid w:val="48692CD0"/>
    <w:rsid w:val="48AE3D01"/>
    <w:rsid w:val="48D9540B"/>
    <w:rsid w:val="49067B2F"/>
    <w:rsid w:val="496008AE"/>
    <w:rsid w:val="49677E31"/>
    <w:rsid w:val="496C2225"/>
    <w:rsid w:val="49AE2880"/>
    <w:rsid w:val="49F42EAF"/>
    <w:rsid w:val="49F96FB8"/>
    <w:rsid w:val="4A337323"/>
    <w:rsid w:val="4A5B28DC"/>
    <w:rsid w:val="4AA06B93"/>
    <w:rsid w:val="4ACC6C2B"/>
    <w:rsid w:val="4ADB18EB"/>
    <w:rsid w:val="4B0371D8"/>
    <w:rsid w:val="4B6D2F19"/>
    <w:rsid w:val="4B96118E"/>
    <w:rsid w:val="4BAE1B66"/>
    <w:rsid w:val="4BED4708"/>
    <w:rsid w:val="4BF133DC"/>
    <w:rsid w:val="4C507D4A"/>
    <w:rsid w:val="4CB22714"/>
    <w:rsid w:val="4CDF5563"/>
    <w:rsid w:val="4CFB2214"/>
    <w:rsid w:val="4D2C4D26"/>
    <w:rsid w:val="4D335E0E"/>
    <w:rsid w:val="4D4E4EA3"/>
    <w:rsid w:val="4D9A5B1B"/>
    <w:rsid w:val="4DA55D85"/>
    <w:rsid w:val="4DB74F29"/>
    <w:rsid w:val="4DBB20DB"/>
    <w:rsid w:val="4DDC3F22"/>
    <w:rsid w:val="4E1040C7"/>
    <w:rsid w:val="4E1760BF"/>
    <w:rsid w:val="4E4A7541"/>
    <w:rsid w:val="4E646AEA"/>
    <w:rsid w:val="4EBA03C3"/>
    <w:rsid w:val="4EBC5459"/>
    <w:rsid w:val="4ED94CB0"/>
    <w:rsid w:val="4EEC2ED3"/>
    <w:rsid w:val="4F037DB0"/>
    <w:rsid w:val="4F0B74A3"/>
    <w:rsid w:val="4F0E56EA"/>
    <w:rsid w:val="4F1863F5"/>
    <w:rsid w:val="4F2E11BC"/>
    <w:rsid w:val="4F3C4343"/>
    <w:rsid w:val="4F416688"/>
    <w:rsid w:val="4F5620B0"/>
    <w:rsid w:val="4F6654EE"/>
    <w:rsid w:val="4F7379C6"/>
    <w:rsid w:val="4F872183"/>
    <w:rsid w:val="4F872BDB"/>
    <w:rsid w:val="4F9111A0"/>
    <w:rsid w:val="4F9F566B"/>
    <w:rsid w:val="4FA033E9"/>
    <w:rsid w:val="4FA743DA"/>
    <w:rsid w:val="4FB3565A"/>
    <w:rsid w:val="4FCB76FB"/>
    <w:rsid w:val="4FED77BF"/>
    <w:rsid w:val="503D1C79"/>
    <w:rsid w:val="50483DB7"/>
    <w:rsid w:val="507A6406"/>
    <w:rsid w:val="50853863"/>
    <w:rsid w:val="508A4590"/>
    <w:rsid w:val="50F1461D"/>
    <w:rsid w:val="50FE5411"/>
    <w:rsid w:val="510B072E"/>
    <w:rsid w:val="511B0BF4"/>
    <w:rsid w:val="51264306"/>
    <w:rsid w:val="516123CE"/>
    <w:rsid w:val="519C4862"/>
    <w:rsid w:val="51B177A9"/>
    <w:rsid w:val="51C4760A"/>
    <w:rsid w:val="51CF0D81"/>
    <w:rsid w:val="51D75DE8"/>
    <w:rsid w:val="51E066EB"/>
    <w:rsid w:val="52585F87"/>
    <w:rsid w:val="5267570A"/>
    <w:rsid w:val="52707792"/>
    <w:rsid w:val="52A12CDC"/>
    <w:rsid w:val="52DF0C92"/>
    <w:rsid w:val="52E1159C"/>
    <w:rsid w:val="52E34D6A"/>
    <w:rsid w:val="531E524E"/>
    <w:rsid w:val="534072EB"/>
    <w:rsid w:val="537F4776"/>
    <w:rsid w:val="538E2D0B"/>
    <w:rsid w:val="53922782"/>
    <w:rsid w:val="539C1424"/>
    <w:rsid w:val="53A639C0"/>
    <w:rsid w:val="53F00A24"/>
    <w:rsid w:val="53F63DBA"/>
    <w:rsid w:val="5448624E"/>
    <w:rsid w:val="546E2B1A"/>
    <w:rsid w:val="5482555F"/>
    <w:rsid w:val="551452C2"/>
    <w:rsid w:val="55363E67"/>
    <w:rsid w:val="555C4981"/>
    <w:rsid w:val="556E6DF7"/>
    <w:rsid w:val="559D47CE"/>
    <w:rsid w:val="55BE1959"/>
    <w:rsid w:val="56232437"/>
    <w:rsid w:val="56541A75"/>
    <w:rsid w:val="568832FC"/>
    <w:rsid w:val="568C4181"/>
    <w:rsid w:val="56B73A15"/>
    <w:rsid w:val="570725A9"/>
    <w:rsid w:val="5714693E"/>
    <w:rsid w:val="571D0C9C"/>
    <w:rsid w:val="573A16CE"/>
    <w:rsid w:val="579C7F80"/>
    <w:rsid w:val="57B30D7C"/>
    <w:rsid w:val="57D80EB0"/>
    <w:rsid w:val="58166B03"/>
    <w:rsid w:val="583E3C94"/>
    <w:rsid w:val="58721734"/>
    <w:rsid w:val="58900246"/>
    <w:rsid w:val="58977358"/>
    <w:rsid w:val="58D53944"/>
    <w:rsid w:val="58D65478"/>
    <w:rsid w:val="58F52487"/>
    <w:rsid w:val="58F778BC"/>
    <w:rsid w:val="590422E6"/>
    <w:rsid w:val="592257E5"/>
    <w:rsid w:val="59655E33"/>
    <w:rsid w:val="596655D3"/>
    <w:rsid w:val="59CF5BD9"/>
    <w:rsid w:val="59E20C3C"/>
    <w:rsid w:val="5A087AA1"/>
    <w:rsid w:val="5A1B53FC"/>
    <w:rsid w:val="5A1D5B0A"/>
    <w:rsid w:val="5A3B4B4E"/>
    <w:rsid w:val="5A4804CA"/>
    <w:rsid w:val="5A594C85"/>
    <w:rsid w:val="5A7A11AE"/>
    <w:rsid w:val="5AEB1E3C"/>
    <w:rsid w:val="5B2507CA"/>
    <w:rsid w:val="5B2A474A"/>
    <w:rsid w:val="5B830730"/>
    <w:rsid w:val="5B871C49"/>
    <w:rsid w:val="5BB23DE7"/>
    <w:rsid w:val="5BBB2DD6"/>
    <w:rsid w:val="5BE263B6"/>
    <w:rsid w:val="5C0B5402"/>
    <w:rsid w:val="5C8E5C5A"/>
    <w:rsid w:val="5C965E61"/>
    <w:rsid w:val="5D242A11"/>
    <w:rsid w:val="5D9217C2"/>
    <w:rsid w:val="5DAD06BF"/>
    <w:rsid w:val="5DE23CB3"/>
    <w:rsid w:val="5DE97EEC"/>
    <w:rsid w:val="5DF43138"/>
    <w:rsid w:val="5DFA5EB0"/>
    <w:rsid w:val="5E0B583E"/>
    <w:rsid w:val="5E201A7B"/>
    <w:rsid w:val="5EBD0484"/>
    <w:rsid w:val="5F04373C"/>
    <w:rsid w:val="5F2C5C7C"/>
    <w:rsid w:val="5FC5273F"/>
    <w:rsid w:val="60806DF2"/>
    <w:rsid w:val="60BC4C68"/>
    <w:rsid w:val="61072DA5"/>
    <w:rsid w:val="611C0817"/>
    <w:rsid w:val="61217A28"/>
    <w:rsid w:val="61224A52"/>
    <w:rsid w:val="61520CCB"/>
    <w:rsid w:val="61614E76"/>
    <w:rsid w:val="61851A29"/>
    <w:rsid w:val="622D1522"/>
    <w:rsid w:val="622E0574"/>
    <w:rsid w:val="62683B6B"/>
    <w:rsid w:val="62AC5944"/>
    <w:rsid w:val="632731DA"/>
    <w:rsid w:val="637279B4"/>
    <w:rsid w:val="63817D2B"/>
    <w:rsid w:val="63BD1FA9"/>
    <w:rsid w:val="63D27965"/>
    <w:rsid w:val="64095516"/>
    <w:rsid w:val="641A2468"/>
    <w:rsid w:val="64372F20"/>
    <w:rsid w:val="64DC72D7"/>
    <w:rsid w:val="653619A6"/>
    <w:rsid w:val="65610A02"/>
    <w:rsid w:val="65A11EA3"/>
    <w:rsid w:val="65AC3D66"/>
    <w:rsid w:val="65BB5334"/>
    <w:rsid w:val="663E1DBA"/>
    <w:rsid w:val="665D0213"/>
    <w:rsid w:val="669E59F1"/>
    <w:rsid w:val="66A2024B"/>
    <w:rsid w:val="66D31B30"/>
    <w:rsid w:val="66EA4BA0"/>
    <w:rsid w:val="6704732B"/>
    <w:rsid w:val="670F6731"/>
    <w:rsid w:val="67127C7D"/>
    <w:rsid w:val="67280F62"/>
    <w:rsid w:val="67585CB0"/>
    <w:rsid w:val="67770F0C"/>
    <w:rsid w:val="67B03535"/>
    <w:rsid w:val="6801775B"/>
    <w:rsid w:val="680D2424"/>
    <w:rsid w:val="68174F69"/>
    <w:rsid w:val="682C436A"/>
    <w:rsid w:val="68382778"/>
    <w:rsid w:val="68391F41"/>
    <w:rsid w:val="68436B8C"/>
    <w:rsid w:val="684C37A9"/>
    <w:rsid w:val="68797358"/>
    <w:rsid w:val="6884624F"/>
    <w:rsid w:val="68A519DF"/>
    <w:rsid w:val="68C4160B"/>
    <w:rsid w:val="68C41C30"/>
    <w:rsid w:val="68C63387"/>
    <w:rsid w:val="68CF3BA4"/>
    <w:rsid w:val="69257FA7"/>
    <w:rsid w:val="693711B0"/>
    <w:rsid w:val="693B5419"/>
    <w:rsid w:val="693F26C7"/>
    <w:rsid w:val="697E12B2"/>
    <w:rsid w:val="69C8706D"/>
    <w:rsid w:val="6A0E3FB4"/>
    <w:rsid w:val="6A292754"/>
    <w:rsid w:val="6A5E3B28"/>
    <w:rsid w:val="6A6B1EBE"/>
    <w:rsid w:val="6A8F43F7"/>
    <w:rsid w:val="6AA20790"/>
    <w:rsid w:val="6ABF79B7"/>
    <w:rsid w:val="6ACD4F01"/>
    <w:rsid w:val="6AD625F3"/>
    <w:rsid w:val="6B750BA9"/>
    <w:rsid w:val="6BB93285"/>
    <w:rsid w:val="6C0C698C"/>
    <w:rsid w:val="6C222401"/>
    <w:rsid w:val="6C56267F"/>
    <w:rsid w:val="6C826EF9"/>
    <w:rsid w:val="6CAE4C93"/>
    <w:rsid w:val="6D0B1869"/>
    <w:rsid w:val="6D61214D"/>
    <w:rsid w:val="6D65402D"/>
    <w:rsid w:val="6D683822"/>
    <w:rsid w:val="6D8D136C"/>
    <w:rsid w:val="6DBF2759"/>
    <w:rsid w:val="6DC96F36"/>
    <w:rsid w:val="6DE36C13"/>
    <w:rsid w:val="6DF66688"/>
    <w:rsid w:val="6DFA3EBF"/>
    <w:rsid w:val="6E3E63D2"/>
    <w:rsid w:val="6E5F7BE6"/>
    <w:rsid w:val="6E6918C6"/>
    <w:rsid w:val="6E8E495B"/>
    <w:rsid w:val="6EEB4AC4"/>
    <w:rsid w:val="6F1378B6"/>
    <w:rsid w:val="6F212DD6"/>
    <w:rsid w:val="6F3B5912"/>
    <w:rsid w:val="6F3D39F1"/>
    <w:rsid w:val="6FA14A81"/>
    <w:rsid w:val="6FA3261F"/>
    <w:rsid w:val="6FBA5815"/>
    <w:rsid w:val="700D6539"/>
    <w:rsid w:val="704203E3"/>
    <w:rsid w:val="7058046B"/>
    <w:rsid w:val="707F2079"/>
    <w:rsid w:val="70922734"/>
    <w:rsid w:val="70CE6DC7"/>
    <w:rsid w:val="710B3646"/>
    <w:rsid w:val="71156C43"/>
    <w:rsid w:val="711759F2"/>
    <w:rsid w:val="7121708A"/>
    <w:rsid w:val="713C4ED8"/>
    <w:rsid w:val="71407642"/>
    <w:rsid w:val="716379FA"/>
    <w:rsid w:val="71641210"/>
    <w:rsid w:val="716B3711"/>
    <w:rsid w:val="71D95B7C"/>
    <w:rsid w:val="71EA6A50"/>
    <w:rsid w:val="71FE31A8"/>
    <w:rsid w:val="721F6113"/>
    <w:rsid w:val="7233782C"/>
    <w:rsid w:val="7312367E"/>
    <w:rsid w:val="73177841"/>
    <w:rsid w:val="733774FE"/>
    <w:rsid w:val="73617E1B"/>
    <w:rsid w:val="736D7653"/>
    <w:rsid w:val="738035CB"/>
    <w:rsid w:val="7396335C"/>
    <w:rsid w:val="73DE4B15"/>
    <w:rsid w:val="73F46595"/>
    <w:rsid w:val="74283FA2"/>
    <w:rsid w:val="742C135B"/>
    <w:rsid w:val="74463733"/>
    <w:rsid w:val="748A2F40"/>
    <w:rsid w:val="74F85778"/>
    <w:rsid w:val="75272439"/>
    <w:rsid w:val="758F1E9B"/>
    <w:rsid w:val="75CE266B"/>
    <w:rsid w:val="76120141"/>
    <w:rsid w:val="76272BC6"/>
    <w:rsid w:val="76C23B43"/>
    <w:rsid w:val="76FD6F97"/>
    <w:rsid w:val="770218E8"/>
    <w:rsid w:val="77C875A5"/>
    <w:rsid w:val="78A27DF6"/>
    <w:rsid w:val="79285B3A"/>
    <w:rsid w:val="79625CA9"/>
    <w:rsid w:val="79A91196"/>
    <w:rsid w:val="7A0B32D3"/>
    <w:rsid w:val="7AC13CD3"/>
    <w:rsid w:val="7AE10264"/>
    <w:rsid w:val="7B086EDB"/>
    <w:rsid w:val="7B4A207F"/>
    <w:rsid w:val="7B936F45"/>
    <w:rsid w:val="7BA47419"/>
    <w:rsid w:val="7BB10D45"/>
    <w:rsid w:val="7BB44151"/>
    <w:rsid w:val="7BEC320B"/>
    <w:rsid w:val="7BF82951"/>
    <w:rsid w:val="7C3307AB"/>
    <w:rsid w:val="7C656A39"/>
    <w:rsid w:val="7CB93996"/>
    <w:rsid w:val="7CBE0F99"/>
    <w:rsid w:val="7D4E45F1"/>
    <w:rsid w:val="7D733448"/>
    <w:rsid w:val="7DFB6D82"/>
    <w:rsid w:val="7E1D71D1"/>
    <w:rsid w:val="7E246254"/>
    <w:rsid w:val="7E6D090F"/>
    <w:rsid w:val="7E6D13CE"/>
    <w:rsid w:val="7EBB5663"/>
    <w:rsid w:val="7ECC66B2"/>
    <w:rsid w:val="7EF015E4"/>
    <w:rsid w:val="7F087006"/>
    <w:rsid w:val="7FA837EF"/>
    <w:rsid w:val="7FC36955"/>
    <w:rsid w:val="7FE822EB"/>
    <w:rsid w:val="7FE903A0"/>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jc w:val="left"/>
      <w:outlineLvl w:val="0"/>
    </w:pPr>
    <w:rPr>
      <w:rFonts w:ascii="Times New Roman" w:hAnsi="Times New Roman" w:eastAsia="仿宋" w:cs="Times New Roman"/>
      <w:b/>
      <w:bCs/>
      <w:kern w:val="44"/>
      <w:sz w:val="36"/>
      <w:szCs w:val="44"/>
    </w:rPr>
  </w:style>
  <w:style w:type="paragraph" w:styleId="4">
    <w:name w:val="heading 2"/>
    <w:basedOn w:val="1"/>
    <w:next w:val="1"/>
    <w:link w:val="16"/>
    <w:unhideWhenUsed/>
    <w:qFormat/>
    <w:uiPriority w:val="9"/>
    <w:pPr>
      <w:numPr>
        <w:ilvl w:val="1"/>
        <w:numId w:val="1"/>
      </w:numPr>
      <w:spacing w:line="416" w:lineRule="auto"/>
      <w:outlineLvl w:val="1"/>
    </w:pPr>
    <w:rPr>
      <w:rFonts w:ascii="Calibri Light" w:hAnsi="Calibri Light" w:eastAsia="宋体" w:cs="Times New Roman"/>
      <w:b/>
      <w:bCs/>
      <w:sz w:val="28"/>
      <w:szCs w:val="32"/>
    </w:rPr>
  </w:style>
  <w:style w:type="paragraph" w:styleId="5">
    <w:name w:val="heading 3"/>
    <w:basedOn w:val="1"/>
    <w:next w:val="1"/>
    <w:unhideWhenUsed/>
    <w:qFormat/>
    <w:uiPriority w:val="9"/>
    <w:pPr>
      <w:keepNext/>
      <w:keepLines/>
      <w:numPr>
        <w:ilvl w:val="2"/>
        <w:numId w:val="1"/>
      </w:numPr>
      <w:spacing w:before="50" w:beforeLines="50" w:after="50" w:afterLines="50" w:line="416" w:lineRule="auto"/>
      <w:outlineLvl w:val="2"/>
    </w:pPr>
    <w:rPr>
      <w:rFonts w:ascii="宋体" w:hAnsi="宋体" w:eastAsia="宋体"/>
      <w:b/>
      <w:bCs/>
      <w:sz w:val="32"/>
    </w:rPr>
  </w:style>
  <w:style w:type="paragraph" w:styleId="6">
    <w:name w:val="heading 4"/>
    <w:basedOn w:val="1"/>
    <w:next w:val="1"/>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paragraph" w:styleId="2">
    <w:name w:val="heading 6"/>
    <w:basedOn w:val="1"/>
    <w:next w:val="1"/>
    <w:unhideWhenUsed/>
    <w:qFormat/>
    <w:uiPriority w:val="9"/>
    <w:pPr>
      <w:keepNext/>
      <w:keepLines/>
      <w:tabs>
        <w:tab w:val="left" w:pos="1151"/>
      </w:tabs>
      <w:spacing w:before="240" w:after="64" w:line="320" w:lineRule="auto"/>
      <w:ind w:left="1151" w:hanging="1151"/>
      <w:outlineLvl w:val="5"/>
    </w:pPr>
    <w:rPr>
      <w:rFonts w:ascii="Cambria" w:hAnsi="Cambria"/>
      <w:b/>
      <w:bCs/>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annotation text"/>
    <w:basedOn w:val="1"/>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unhideWhenUsed/>
    <w:qFormat/>
    <w:uiPriority w:val="99"/>
    <w:pPr>
      <w:spacing w:beforeAutospacing="1" w:afterAutospacing="1"/>
      <w:jc w:val="left"/>
    </w:pPr>
    <w:rPr>
      <w:rFonts w:cs="Times New Roman"/>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字符"/>
    <w:link w:val="4"/>
    <w:qFormat/>
    <w:uiPriority w:val="0"/>
    <w:rPr>
      <w:rFonts w:ascii="Calibri Light" w:hAnsi="Calibri Light" w:eastAsia="宋体" w:cs="Times New Roman"/>
      <w:b/>
      <w:bCs/>
      <w:sz w:val="28"/>
      <w:szCs w:val="32"/>
    </w:rPr>
  </w:style>
  <w:style w:type="character" w:customStyle="1" w:styleId="17">
    <w:name w:val="页脚 字符"/>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字符"/>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字符"/>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chart" Target="charts/chart6.xml"/><Relationship Id="rId21" Type="http://schemas.openxmlformats.org/officeDocument/2006/relationships/chart" Target="charts/chart5.xml"/><Relationship Id="rId20" Type="http://schemas.openxmlformats.org/officeDocument/2006/relationships/chart" Target="charts/chart4.xml"/><Relationship Id="rId2" Type="http://schemas.openxmlformats.org/officeDocument/2006/relationships/settings" Target="settings.xml"/><Relationship Id="rId19" Type="http://schemas.openxmlformats.org/officeDocument/2006/relationships/chart" Target="charts/chart3.xml"/><Relationship Id="rId18" Type="http://schemas.openxmlformats.org/officeDocument/2006/relationships/chart" Target="charts/chart2.xml"/><Relationship Id="rId17" Type="http://schemas.openxmlformats.org/officeDocument/2006/relationships/chart" Target="charts/chart1.xml"/><Relationship Id="rId16" Type="http://schemas.openxmlformats.org/officeDocument/2006/relationships/image" Target="media/image5.png"/><Relationship Id="rId15" Type="http://schemas.openxmlformats.org/officeDocument/2006/relationships/image" Target="media/image4.jpeg"/><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10930.62</c:v>
                </c:pt>
                <c:pt idx="1">
                  <c:v>9452.58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93325853.59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45958658.69</c:v>
                </c:pt>
                <c:pt idx="1">
                  <c:v>48567189.9</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9419.42</c:v>
                </c:pt>
                <c:pt idx="1">
                  <c:v>10810.62</c:v>
                </c:pt>
                <c:pt idx="2">
                  <c:v>9419.42</c:v>
                </c:pt>
                <c:pt idx="3">
                  <c:v>10810.62</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9332.59</c:v>
                </c:pt>
                <c:pt idx="1">
                  <c:v>9452.58</c:v>
                </c:pt>
                <c:pt idx="2">
                  <c:v>9332.59</c:v>
                </c:pt>
                <c:pt idx="3">
                  <c:v>9452.58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8916.82</c:v>
                </c:pt>
                <c:pt idx="1">
                  <c:v>8916.82</c:v>
                </c:pt>
                <c:pt idx="2">
                  <c:v>8916.82</c:v>
                </c:pt>
                <c:pt idx="3">
                  <c:v>8916.82</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9332.59</c:v>
                </c:pt>
                <c:pt idx="1">
                  <c:v>9452.58</c:v>
                </c:pt>
                <c:pt idx="2">
                  <c:v>9332.59</c:v>
                </c:pt>
                <c:pt idx="3">
                  <c:v>9452.58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7930.87</c:v>
                </c:pt>
                <c:pt idx="1">
                  <c:v>0</c:v>
                </c:pt>
                <c:pt idx="2">
                  <c:v>0</c:v>
                </c:pt>
                <c:pt idx="3">
                  <c:v>0</c:v>
                </c:pt>
                <c:pt idx="4">
                  <c:v>0</c:v>
                </c:pt>
                <c:pt idx="5">
                  <c:v>0</c:v>
                </c:pt>
                <c:pt idx="6">
                  <c:v>968.73</c:v>
                </c:pt>
                <c:pt idx="7">
                  <c:v>256.37</c:v>
                </c:pt>
                <c:pt idx="8">
                  <c:v>0</c:v>
                </c:pt>
                <c:pt idx="9">
                  <c:v>0</c:v>
                </c:pt>
                <c:pt idx="10">
                  <c:v>0</c:v>
                </c:pt>
                <c:pt idx="11">
                  <c:v>0</c:v>
                </c:pt>
                <c:pt idx="12">
                  <c:v>0</c:v>
                </c:pt>
                <c:pt idx="13">
                  <c:v>0</c:v>
                </c:pt>
                <c:pt idx="14">
                  <c:v>0</c:v>
                </c:pt>
                <c:pt idx="15">
                  <c:v>0</c:v>
                </c:pt>
                <c:pt idx="16">
                  <c:v>296.62</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62</Pages>
  <Words>5505</Words>
  <Characters>31383</Characters>
  <Lines>261</Lines>
  <Paragraphs>73</Paragraphs>
  <TotalTime>4</TotalTime>
  <ScaleCrop>false</ScaleCrop>
  <LinksUpToDate>false</LinksUpToDate>
  <CharactersWithSpaces>36815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HUAWEI</cp:lastModifiedBy>
  <cp:lastPrinted>2023-08-04T01:00:00Z</cp:lastPrinted>
  <dcterms:modified xsi:type="dcterms:W3CDTF">2024-09-20T02:50:13Z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C606A1F9AFE24290B52D98FABC930B66_12</vt:lpwstr>
  </property>
  <property fmtid="{D5CDD505-2E9C-101B-9397-08002B2CF9AE}" pid="4" name="KSOTemplateUUID">
    <vt:lpwstr>v1.0_mb_S7ajbG3IpAnL1wSthNCxfw==</vt:lpwstr>
  </property>
</Properties>
</file>