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AC3A50">
      <w:pPr>
        <w:snapToGrid w:val="0"/>
        <w:spacing w:line="560" w:lineRule="exact"/>
        <w:jc w:val="center"/>
        <w:rPr>
          <w:rFonts w:ascii="宋体" w:hAnsi="宋体" w:cs="宋体"/>
          <w:b/>
          <w:bCs/>
          <w:kern w:val="0"/>
          <w:sz w:val="44"/>
          <w:szCs w:val="44"/>
        </w:rPr>
      </w:pPr>
      <w:r>
        <w:rPr>
          <w:rFonts w:hint="eastAsia" w:ascii="宋体" w:hAnsi="宋体" w:cs="宋体"/>
          <w:b/>
          <w:bCs/>
          <w:kern w:val="0"/>
          <w:sz w:val="44"/>
          <w:szCs w:val="44"/>
        </w:rPr>
        <w:t>石家庄人民会堂</w:t>
      </w:r>
    </w:p>
    <w:p w14:paraId="0D7B8390">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2021年度</w:t>
      </w:r>
      <w:r>
        <w:rPr>
          <w:rFonts w:hint="eastAsia" w:ascii="宋体" w:hAnsi="宋体" w:cs="宋体"/>
          <w:b/>
          <w:bCs/>
          <w:sz w:val="44"/>
          <w:szCs w:val="44"/>
        </w:rPr>
        <w:t>绩效自评工作报告</w:t>
      </w:r>
    </w:p>
    <w:p w14:paraId="5851F87B">
      <w:pPr>
        <w:snapToGrid w:val="0"/>
        <w:spacing w:line="560" w:lineRule="exact"/>
        <w:ind w:firstLine="643" w:firstLineChars="200"/>
        <w:rPr>
          <w:rFonts w:ascii="仿宋" w:hAnsi="仿宋" w:eastAsia="仿宋" w:cs="仿宋"/>
          <w:b/>
          <w:sz w:val="32"/>
          <w:szCs w:val="32"/>
        </w:rPr>
      </w:pPr>
    </w:p>
    <w:p w14:paraId="161FDEB6">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14:paraId="2F0C00B2">
      <w:pPr>
        <w:snapToGrid w:val="0"/>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（一）绩效自评工作的组织情况</w:t>
      </w:r>
    </w:p>
    <w:p w14:paraId="483BEB19">
      <w:pPr>
        <w:spacing w:line="520" w:lineRule="exact"/>
        <w:ind w:right="-2" w:firstLine="640" w:firstLineChars="200"/>
        <w:rPr>
          <w:rFonts w:ascii="仿宋" w:hAnsi="仿宋" w:eastAsia="仿宋" w:cs="仿宋"/>
          <w:sz w:val="32"/>
          <w:szCs w:val="32"/>
        </w:rPr>
      </w:pPr>
      <w:r>
        <w:rPr>
          <w:rFonts w:hint="eastAsia" w:ascii="仿宋" w:hAnsi="仿宋" w:eastAsia="仿宋" w:cs="仿宋"/>
          <w:sz w:val="32"/>
          <w:szCs w:val="32"/>
        </w:rPr>
        <w:t>为做好2021年度绩效自评工作，在人民会堂内控监督联合工作小组框架内组成了绩效自评工作小组。组长由人民会堂党总支书记、主任储昱担任，副组长由副主任梁志洪担任，成员由计财办、行政办、业务部门负责人和相关人员组成，按照市财政局通知要求，开展自评相关工作。</w:t>
      </w:r>
    </w:p>
    <w:p w14:paraId="071C25D1">
      <w:pPr>
        <w:snapToGrid w:val="0"/>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（二）绩效自评工作的实施过程</w:t>
      </w:r>
    </w:p>
    <w:p w14:paraId="57E0946E">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 自评工作小组成立后，首先认真学习了市财政局关于专项资金绩效评价的文件精神，明确自评的目的、内容、方法和要求。</w:t>
      </w:r>
    </w:p>
    <w:p w14:paraId="6A2FC8BA">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 根据自评需要，学习了国家有关资金使用和工程项目实施规范的法律法规，《石家庄人民会堂内控工作手册》内部专项管理制度，为绩效评价提供法律政策和制度依据。</w:t>
      </w:r>
    </w:p>
    <w:p w14:paraId="136D5E67">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 按照人民会堂市财政补助资金，包括基本支出和项目支出两个部分，我们分别组织开展自评工作。其中：</w:t>
      </w:r>
    </w:p>
    <w:p w14:paraId="7F5AA722">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升级改造项目补助资金查阅了人民会堂项目实施工程形成的文件资料，包括；人民会堂向上级呈报有关项目的请示、申请、报告和上级有关项目的指示、通知和批复文件；项目实施期间的会议记录、会议纪要、招投标文书、合同书、峻工验收报告、财务报表、审计报告等，为绩效评价提供了充分的评价依据。依据法律政策制度和项目实施过程的资料信息，从项目程序、工程质量、工期进度、资金控制四个方面和绩效评价指标体系各项指标进行了据实绩效评价。</w:t>
      </w:r>
    </w:p>
    <w:p w14:paraId="1A9131FF">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基本开支部分查阅了预算收入情况，基本支出经费的支出情况，相关的表单、票据、审批手续，各级财务、审计检查报告，以及年初设置绩效目标的实现情况等，进行年度据实绩效评价。</w:t>
      </w:r>
    </w:p>
    <w:p w14:paraId="1DA40BC8">
      <w:pPr>
        <w:pStyle w:val="8"/>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（三）财政补助预算安排及资金分配拨付情况</w:t>
      </w:r>
    </w:p>
    <w:p w14:paraId="5171BBBE">
      <w:pPr>
        <w:pStyle w:val="8"/>
        <w:spacing w:line="540" w:lineRule="exact"/>
        <w:ind w:firstLine="640" w:firstLineChars="200"/>
        <w:rPr>
          <w:rFonts w:ascii="仿宋" w:hAnsi="仿宋" w:eastAsia="仿宋" w:cs="仿宋"/>
          <w:color w:val="auto"/>
          <w:kern w:val="2"/>
          <w:sz w:val="32"/>
          <w:szCs w:val="32"/>
        </w:rPr>
      </w:pPr>
      <w:r>
        <w:rPr>
          <w:rFonts w:hint="eastAsia" w:ascii="仿宋" w:hAnsi="仿宋" w:eastAsia="仿宋" w:cs="仿宋"/>
          <w:color w:val="auto"/>
          <w:kern w:val="2"/>
          <w:sz w:val="32"/>
          <w:szCs w:val="32"/>
        </w:rPr>
        <w:t>2021年预算收入1311.61万元，年初结转和结余资金146.59  万元，支出1458.2万元。其中：</w:t>
      </w:r>
    </w:p>
    <w:p w14:paraId="77D6C376">
      <w:pPr>
        <w:pStyle w:val="8"/>
        <w:spacing w:line="540" w:lineRule="exact"/>
        <w:ind w:firstLine="640" w:firstLineChars="200"/>
        <w:rPr>
          <w:rFonts w:ascii="仿宋" w:hAnsi="仿宋" w:eastAsia="仿宋" w:cs="仿宋"/>
          <w:color w:val="auto"/>
          <w:kern w:val="2"/>
          <w:sz w:val="32"/>
          <w:szCs w:val="32"/>
        </w:rPr>
      </w:pPr>
      <w:r>
        <w:rPr>
          <w:rFonts w:hint="eastAsia" w:ascii="仿宋" w:hAnsi="仿宋" w:eastAsia="仿宋" w:cs="仿宋"/>
          <w:color w:val="auto"/>
          <w:kern w:val="2"/>
          <w:sz w:val="32"/>
          <w:szCs w:val="32"/>
        </w:rPr>
        <w:t>基本支出预算1311.01万元，包括人员经费1278.17万元；公用经费32.84万元。基本支出费用由市财政均衡拨付。</w:t>
      </w:r>
    </w:p>
    <w:p w14:paraId="5AE210D8">
      <w:pPr>
        <w:pStyle w:val="8"/>
        <w:spacing w:line="54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auto"/>
          <w:kern w:val="2"/>
          <w:sz w:val="32"/>
          <w:szCs w:val="32"/>
        </w:rPr>
        <w:t>专项支出预算147.19万元，主要是石家庄人民会堂升级改造项目支出和党组织活动经费。</w:t>
      </w:r>
      <w:r>
        <w:rPr>
          <w:rFonts w:hint="eastAsia" w:ascii="仿宋" w:hAnsi="仿宋" w:eastAsia="仿宋" w:cs="仿宋"/>
          <w:color w:val="000000" w:themeColor="text1"/>
          <w:sz w:val="32"/>
          <w:szCs w:val="32"/>
          <w14:textFill>
            <w14:solidFill>
              <w14:schemeClr w14:val="tx1"/>
            </w14:solidFill>
          </w14:textFill>
        </w:rPr>
        <w:t>专项支出预算资金按照规定履行了预算批复、概算评审、标底评审、决算评审等规范程序。</w:t>
      </w:r>
    </w:p>
    <w:p w14:paraId="02F1022D">
      <w:pPr>
        <w:snapToGrid w:val="0"/>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（四）日常财务管理情况</w:t>
      </w:r>
    </w:p>
    <w:p w14:paraId="04B46AFA">
      <w:pPr>
        <w:pStyle w:val="8"/>
        <w:spacing w:line="540" w:lineRule="exact"/>
        <w:ind w:firstLine="640" w:firstLineChars="200"/>
        <w:rPr>
          <w:rFonts w:ascii="仿宋" w:hAnsi="仿宋" w:eastAsia="仿宋" w:cs="仿宋"/>
          <w:color w:val="auto"/>
          <w:kern w:val="2"/>
          <w:sz w:val="32"/>
          <w:szCs w:val="32"/>
        </w:rPr>
      </w:pPr>
      <w:r>
        <w:rPr>
          <w:rFonts w:hint="eastAsia" w:ascii="仿宋" w:hAnsi="仿宋" w:eastAsia="仿宋" w:cs="仿宋"/>
          <w:color w:val="auto"/>
          <w:kern w:val="2"/>
          <w:sz w:val="32"/>
          <w:szCs w:val="32"/>
        </w:rPr>
        <w:t>基本支出资金严格按照内控规范的《预算业务内部管理制度》和《收支业务管理规定》办理，对应发放个人的人员支出做到足额按时发放，对应上缴的人员费用做到足额按时上缴，日常公用经费做到合理安排使用。</w:t>
      </w:r>
    </w:p>
    <w:p w14:paraId="49AAB814">
      <w:pPr>
        <w:tabs>
          <w:tab w:val="left" w:pos="540"/>
        </w:tabs>
        <w:spacing w:line="520" w:lineRule="exact"/>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会堂维修改造升级资金做到专款专用、封闭运行，实行了单独核算、专人管理、专款专用，无滞留、截留、挪用，无规定范围外使用。做到按规定提取和使用，按规定办理报账手续。</w:t>
      </w:r>
    </w:p>
    <w:p w14:paraId="4C71BB6E">
      <w:pPr>
        <w:snapToGrid w:val="0"/>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（五）专项监督检查及审计部门审查意见等情况</w:t>
      </w:r>
    </w:p>
    <w:p w14:paraId="73D14B9C">
      <w:pPr>
        <w:snapToGrid w:val="0"/>
        <w:spacing w:line="560" w:lineRule="exact"/>
        <w:ind w:firstLine="640" w:firstLineChars="200"/>
        <w:rPr>
          <w:rFonts w:ascii="仿宋" w:hAnsi="仿宋" w:eastAsia="仿宋" w:cs="仿宋"/>
          <w:sz w:val="32"/>
          <w:szCs w:val="32"/>
          <w:highlight w:val="yellow"/>
        </w:rPr>
      </w:pPr>
      <w:r>
        <w:rPr>
          <w:rFonts w:hint="eastAsia" w:ascii="仿宋" w:hAnsi="仿宋" w:eastAsia="仿宋" w:cs="仿宋"/>
          <w:color w:val="000000" w:themeColor="text1"/>
          <w:sz w:val="32"/>
          <w:szCs w:val="32"/>
          <w14:textFill>
            <w14:solidFill>
              <w14:schemeClr w14:val="tx1"/>
            </w14:solidFill>
          </w14:textFill>
        </w:rPr>
        <w:t>2021年</w:t>
      </w:r>
      <w:r>
        <w:rPr>
          <w:rFonts w:hint="eastAsia" w:ascii="仿宋" w:hAnsi="仿宋" w:eastAsia="仿宋" w:cs="仿宋"/>
          <w:sz w:val="32"/>
          <w:szCs w:val="32"/>
        </w:rPr>
        <w:t>，经市总工会财务处、经审办、市财政局和审计部门对人民会堂进行财务检查和审计，未发现违法违纪违规问题</w:t>
      </w:r>
      <w:r>
        <w:rPr>
          <w:rFonts w:hint="eastAsia" w:ascii="仿宋" w:hAnsi="仿宋" w:eastAsia="仿宋" w:cs="仿宋"/>
          <w:color w:val="000000" w:themeColor="text1"/>
          <w:sz w:val="32"/>
          <w:szCs w:val="32"/>
          <w14:textFill>
            <w14:solidFill>
              <w14:schemeClr w14:val="tx1"/>
            </w14:solidFill>
          </w14:textFill>
        </w:rPr>
        <w:t>，对会堂财务管理工作给予了充分的肯定和较高的评价。</w:t>
      </w:r>
    </w:p>
    <w:p w14:paraId="01B63CC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14:paraId="5C9C377A">
      <w:pPr>
        <w:snapToGrid w:val="0"/>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（一）人民会堂2021年总体工作开展情况</w:t>
      </w:r>
    </w:p>
    <w:p w14:paraId="22BBF558">
      <w:pPr>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2021年，人民会堂紧紧围绕三大功能，主要开展了以下工作：</w:t>
      </w:r>
    </w:p>
    <w:p w14:paraId="620E7972">
      <w:pPr>
        <w:snapToGrid w:val="0"/>
        <w:spacing w:line="540" w:lineRule="exact"/>
        <w:ind w:firstLine="640" w:firstLineChars="200"/>
        <w:rPr>
          <w:rFonts w:ascii="仿宋" w:hAnsi="仿宋" w:eastAsia="仿宋" w:cs="仿宋"/>
          <w:sz w:val="32"/>
          <w:szCs w:val="32"/>
          <w:highlight w:val="yellow"/>
        </w:rPr>
      </w:pPr>
      <w:r>
        <w:rPr>
          <w:rFonts w:hint="eastAsia" w:ascii="仿宋" w:hAnsi="仿宋" w:eastAsia="仿宋" w:cs="仿宋"/>
          <w:sz w:val="32"/>
          <w:szCs w:val="32"/>
        </w:rPr>
        <w:t>1. 高站位，高标准，完成重大政治任务。2021年，人民会堂接待全市性重大活动20多场次，圆满完成了市人大政协两会、石家庄市第十一</w:t>
      </w:r>
      <w:r>
        <w:rPr>
          <w:rFonts w:hint="eastAsia" w:ascii="仿宋" w:hAnsi="仿宋" w:eastAsia="仿宋" w:cs="仿宋"/>
          <w:sz w:val="32"/>
          <w:szCs w:val="32"/>
          <w:lang w:eastAsia="zh-CN"/>
        </w:rPr>
        <w:t>次</w:t>
      </w:r>
      <w:bookmarkStart w:id="0" w:name="_GoBack"/>
      <w:bookmarkEnd w:id="0"/>
      <w:r>
        <w:rPr>
          <w:rFonts w:hint="eastAsia" w:ascii="仿宋" w:hAnsi="仿宋" w:eastAsia="仿宋" w:cs="仿宋"/>
          <w:sz w:val="32"/>
          <w:szCs w:val="32"/>
        </w:rPr>
        <w:t>党代会和人大政协换届会的会议服务保障任务。</w:t>
      </w:r>
    </w:p>
    <w:p w14:paraId="0EA45475">
      <w:pPr>
        <w:spacing w:line="54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 遵规纪，严内控，确保经济活动合法合规。2021年，人民会堂继续把加强内控规范作为重要内部管理内容着力推进，强化内部流程控制，内控机制得到进一步完善。</w:t>
      </w:r>
    </w:p>
    <w:p w14:paraId="7F252C94">
      <w:pPr>
        <w:spacing w:line="54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 解难题，抓完善，跨越两个年度的升级改造工程圆满终结。人民会堂硬件设施进一步提升完善。</w:t>
      </w:r>
    </w:p>
    <w:p w14:paraId="133B2F14">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4. 迎挑战，闯难关，努力化解经营难关。努力化解升级改造造成的客户流失和经营困难，恢复和拓展新的经营项目，经营业务逐渐恢复到正常年份水平。</w:t>
      </w:r>
    </w:p>
    <w:p w14:paraId="71C76468">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5. 高品位、精细化，做好外部活动的接待服务任务，根据宾客特点实行标准化服务和个性化服务，达到安全无事故，服务无差错，宾客无投诉。</w:t>
      </w:r>
    </w:p>
    <w:p w14:paraId="4BDB26A9">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6. 确保设施设备状态完好，为各类活动安全有效运行提供场地、设备、动力等方面全程保障。</w:t>
      </w:r>
    </w:p>
    <w:p w14:paraId="00AB9078">
      <w:pPr>
        <w:spacing w:line="540" w:lineRule="exact"/>
        <w:ind w:firstLine="643" w:firstLineChars="200"/>
        <w:jc w:val="left"/>
        <w:rPr>
          <w:rFonts w:ascii="仿宋" w:hAnsi="仿宋" w:eastAsia="仿宋" w:cs="仿宋"/>
          <w:b/>
          <w:sz w:val="32"/>
          <w:szCs w:val="32"/>
        </w:rPr>
      </w:pPr>
      <w:r>
        <w:rPr>
          <w:rFonts w:hint="eastAsia" w:ascii="仿宋" w:hAnsi="仿宋" w:eastAsia="仿宋" w:cs="仿宋"/>
          <w:b/>
          <w:sz w:val="32"/>
          <w:szCs w:val="32"/>
        </w:rPr>
        <w:t>（二）专项资金和具体预算支出项目的预期绩效目标完成情况</w:t>
      </w:r>
    </w:p>
    <w:p w14:paraId="7975520A">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专项资金主要用于会堂消防、电气、中央空调三个系统的升级改造项目工程。升级改造项目实施后，设施功效提升达到了预期绩效目标：如配电设备改造后，增加了用电负荷，满足了会堂用电量增加的需求；消防系统报警系统维修调试完成后，会堂不同区域改造工程涉及的消防报警设施达到了兼容；大礼堂舞台机械控制系统改造提升了大礼堂舞台机械功能，满足了更大范围的使用需要，在设施功效提升的同时消除了安全隐患，保证了各项社会政治文化活动安全无虞。</w:t>
      </w:r>
    </w:p>
    <w:p w14:paraId="4A0963F5">
      <w:pPr>
        <w:spacing w:line="54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项目整体实施后，人民会堂场地、设施的综合利用率和服务功能大幅度提升，基本达到了预期目标，将在今后较长时间发挥作用。</w:t>
      </w:r>
    </w:p>
    <w:p w14:paraId="667EC298">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14:paraId="50563E5D">
      <w:pPr>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（一）绩效目标设定情况</w:t>
      </w:r>
    </w:p>
    <w:p w14:paraId="7B8E7F67">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在绩效自评中，我们对比倒查了2021年初绩效目标设定质量情况。2021年设定了全程服务保障、精细化服务、场地利用率、扩大公益性经营服务项目、降低能源物料消耗和单位成本等5项职责分类绩效目标；设定了完成重大政治任务、安全维稳、加强内控管理、创建工作、经营工作、经营效益、职工文化阵地建设、维修改造工程、提高员工整体素质等9项分项绩效目标。</w:t>
      </w:r>
    </w:p>
    <w:p w14:paraId="61266326">
      <w:pPr>
        <w:spacing w:line="540" w:lineRule="exact"/>
        <w:ind w:firstLine="640" w:firstLineChars="200"/>
        <w:rPr>
          <w:rFonts w:ascii="仿宋" w:hAnsi="仿宋" w:eastAsia="仿宋" w:cs="仿宋"/>
          <w:b/>
          <w:sz w:val="32"/>
          <w:szCs w:val="32"/>
        </w:rPr>
      </w:pPr>
      <w:r>
        <w:rPr>
          <w:rFonts w:hint="eastAsia" w:ascii="仿宋" w:hAnsi="仿宋" w:eastAsia="仿宋" w:cs="仿宋"/>
          <w:sz w:val="32"/>
          <w:szCs w:val="32"/>
        </w:rPr>
        <w:t>（二）</w:t>
      </w:r>
      <w:r>
        <w:rPr>
          <w:rFonts w:hint="eastAsia" w:ascii="仿宋" w:hAnsi="仿宋" w:eastAsia="仿宋" w:cs="仿宋"/>
          <w:b/>
          <w:sz w:val="32"/>
          <w:szCs w:val="32"/>
        </w:rPr>
        <w:t>绩效目标设定质量情况</w:t>
      </w:r>
    </w:p>
    <w:p w14:paraId="38FD43CD">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经倒查，我们认为从总体看，目标设定清晰准确，绩效指标全面完整、科学合理，绩效标准基本恰当适宜、易于评价。总之，绩效目标设定质量优良。</w:t>
      </w:r>
    </w:p>
    <w:p w14:paraId="0C9D5DAD">
      <w:pPr>
        <w:spacing w:line="540" w:lineRule="exact"/>
        <w:ind w:firstLine="643" w:firstLineChars="200"/>
        <w:rPr>
          <w:rFonts w:ascii="仿宋" w:hAnsi="仿宋" w:eastAsia="仿宋" w:cs="仿宋"/>
          <w:b/>
          <w:sz w:val="32"/>
          <w:szCs w:val="32"/>
        </w:rPr>
      </w:pPr>
      <w:r>
        <w:rPr>
          <w:rFonts w:hint="eastAsia" w:ascii="仿宋" w:hAnsi="仿宋" w:eastAsia="仿宋" w:cs="仿宋"/>
          <w:b/>
          <w:sz w:val="32"/>
          <w:szCs w:val="32"/>
        </w:rPr>
        <w:t>（三）存在主要问题</w:t>
      </w:r>
    </w:p>
    <w:p w14:paraId="7E59D146">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1.由于疫情的影响，场馆改造后的客观原因，经营工作、经营效益、职工文化阵地建设等涉及外部条件的目标设定对可能出现的变化情况预设不足，增加了实现绩效目标的难度。</w:t>
      </w:r>
    </w:p>
    <w:p w14:paraId="2DDA4E23">
      <w:pPr>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2.在注重细节、业务拓展和优化管理流程上还需要进一步改进和完善。</w:t>
      </w:r>
    </w:p>
    <w:p w14:paraId="5158EBD1">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14:paraId="2B8693DC">
      <w:pPr>
        <w:snapToGrid w:val="0"/>
        <w:spacing w:line="540" w:lineRule="exact"/>
        <w:ind w:firstLine="640" w:firstLineChars="200"/>
        <w:rPr>
          <w:rFonts w:ascii="仿宋" w:hAnsi="仿宋" w:eastAsia="仿宋" w:cs="仿宋"/>
          <w:sz w:val="32"/>
          <w:szCs w:val="32"/>
        </w:rPr>
      </w:pPr>
      <w:r>
        <w:rPr>
          <w:rFonts w:hint="eastAsia" w:ascii="仿宋" w:hAnsi="仿宋" w:eastAsia="仿宋" w:cs="仿宋"/>
          <w:sz w:val="32"/>
          <w:szCs w:val="32"/>
        </w:rPr>
        <w:t>1.今后在绩效目标设定中要更加积极而审慎地研判内外部各方面的情况和条件，增强科学性、预见性和可行性，使绩效目标的设定积极而又留有余地。</w:t>
      </w:r>
    </w:p>
    <w:p w14:paraId="07D67E5C">
      <w:pPr>
        <w:snapToGrid w:val="0"/>
        <w:spacing w:line="54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 xml:space="preserve">2.以改革创新精神改进管理、优化流程，开展业务管理流程再造的探索和实践，力求管理工作集约、严密、顺畅、高效，不断改进和提升管理、服务工作的质量、效能和水平。    </w:t>
      </w:r>
    </w:p>
    <w:p w14:paraId="46F63C52">
      <w:pPr>
        <w:snapToGrid w:val="0"/>
        <w:spacing w:line="540" w:lineRule="exact"/>
        <w:jc w:val="right"/>
        <w:rPr>
          <w:rFonts w:ascii="华文仿宋" w:hAnsi="华文仿宋" w:eastAsia="华文仿宋"/>
          <w:sz w:val="32"/>
          <w:szCs w:val="32"/>
        </w:rPr>
      </w:pPr>
    </w:p>
    <w:p w14:paraId="1EE99377">
      <w:pPr>
        <w:wordWrap w:val="0"/>
        <w:snapToGrid w:val="0"/>
        <w:spacing w:line="540" w:lineRule="exact"/>
        <w:jc w:val="right"/>
      </w:pPr>
      <w:r>
        <w:rPr>
          <w:rFonts w:hint="eastAsia" w:ascii="仿宋" w:hAnsi="仿宋" w:eastAsia="仿宋" w:cs="仿宋"/>
          <w:sz w:val="32"/>
          <w:szCs w:val="32"/>
        </w:rPr>
        <w:t xml:space="preserve">2022年3月30日  </w:t>
      </w:r>
    </w:p>
    <w:p w14:paraId="1632CA09">
      <w:pPr>
        <w:snapToGrid w:val="0"/>
        <w:spacing w:line="560" w:lineRule="exact"/>
        <w:ind w:firstLine="640" w:firstLineChars="200"/>
        <w:rPr>
          <w:rFonts w:ascii="仿宋" w:hAnsi="仿宋" w:eastAsia="仿宋" w:cs="仿宋"/>
          <w:sz w:val="32"/>
          <w:szCs w:val="32"/>
          <w:highlight w:val="yellow"/>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0C5D3B">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11B056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- 5 -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11B056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- 5 -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F9EA4">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wNmI1NTNmMDY5ZGVkYTk0OWI4NjdjZWU2MGVmNTIifQ=="/>
  </w:docVars>
  <w:rsids>
    <w:rsidRoot w:val="00EF16A3"/>
    <w:rsid w:val="000D193E"/>
    <w:rsid w:val="000D29F1"/>
    <w:rsid w:val="001627CF"/>
    <w:rsid w:val="001646B1"/>
    <w:rsid w:val="00176210"/>
    <w:rsid w:val="001D2D4C"/>
    <w:rsid w:val="00381888"/>
    <w:rsid w:val="00383AC5"/>
    <w:rsid w:val="003B412A"/>
    <w:rsid w:val="00432709"/>
    <w:rsid w:val="0043554E"/>
    <w:rsid w:val="004919BA"/>
    <w:rsid w:val="00491FCD"/>
    <w:rsid w:val="004E6C05"/>
    <w:rsid w:val="004F6F9F"/>
    <w:rsid w:val="00546BCB"/>
    <w:rsid w:val="005A1958"/>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13B61930"/>
    <w:rsid w:val="174E2EE6"/>
    <w:rsid w:val="19F71673"/>
    <w:rsid w:val="1C7A3F5C"/>
    <w:rsid w:val="20276775"/>
    <w:rsid w:val="36341296"/>
    <w:rsid w:val="3AEF6FE7"/>
    <w:rsid w:val="3DD030A2"/>
    <w:rsid w:val="477951FA"/>
    <w:rsid w:val="493B718D"/>
    <w:rsid w:val="4D1746C0"/>
    <w:rsid w:val="53A42ADD"/>
    <w:rsid w:val="5E424F56"/>
    <w:rsid w:val="7122313E"/>
    <w:rsid w:val="7C8C4B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Default"/>
    <w:qFormat/>
    <w:uiPriority w:val="0"/>
    <w:pPr>
      <w:widowControl w:val="0"/>
      <w:autoSpaceDE w:val="0"/>
      <w:autoSpaceDN w:val="0"/>
      <w:adjustRightInd w:val="0"/>
    </w:pPr>
    <w:rPr>
      <w:rFonts w:ascii="黑体" w:hAnsi="黑体" w:cs="黑体" w:eastAsiaTheme="minorEastAsia"/>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2352</Words>
  <Characters>2437</Characters>
  <Lines>17</Lines>
  <Paragraphs>4</Paragraphs>
  <TotalTime>25</TotalTime>
  <ScaleCrop>false</ScaleCrop>
  <LinksUpToDate>false</LinksUpToDate>
  <CharactersWithSpaces>2454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2022-03-31T07:17:00Z</cp:lastPrinted>
  <dcterms:modified xsi:type="dcterms:W3CDTF">2024-08-08T09:51:25Z</dcterms:modified>
  <dc:title>附件2：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4F4A3B62463A4F6AA44184FB6644278A</vt:lpwstr>
  </property>
</Properties>
</file>