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pPr>
    </w:p>
    <w:p>
      <w:pPr>
        <w:keepNext w:val="0"/>
        <w:keepLines w:val="0"/>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pPr>
    </w:p>
    <w:p>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石家庄市卫生健康委员会</w:t>
      </w:r>
    </w:p>
    <w:p>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2023年度部门整体支出绩效</w:t>
      </w:r>
      <w:r>
        <w:rPr>
          <w:rFonts w:hint="eastAsia" w:ascii="宋体" w:hAnsi="宋体" w:cs="宋体"/>
          <w:b/>
          <w:bCs/>
          <w:kern w:val="0"/>
          <w:sz w:val="44"/>
          <w:szCs w:val="44"/>
          <w:lang w:eastAsia="zh-CN"/>
        </w:rPr>
        <w:t>自评报告</w:t>
      </w:r>
    </w:p>
    <w:p>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pPr>
        <w:keepNext/>
        <w:keepLines/>
        <w:pageBreakBefore w:val="0"/>
        <w:widowControl w:val="0"/>
        <w:kinsoku/>
        <w:wordWrap/>
        <w:overflowPunct/>
        <w:topLinePunct w:val="0"/>
        <w:autoSpaceDE/>
        <w:autoSpaceDN/>
        <w:bidi w:val="0"/>
        <w:adjustRightInd/>
        <w:snapToGrid/>
        <w:spacing w:line="578" w:lineRule="exact"/>
        <w:ind w:left="1151" w:hanging="1151"/>
        <w:textAlignment w:val="auto"/>
        <w:outlineLvl w:val="9"/>
        <w:rPr>
          <w:rFonts w:hint="eastAsia" w:ascii="宋体" w:hAnsi="宋体" w:cs="宋体"/>
          <w:b/>
          <w:bCs/>
          <w:sz w:val="44"/>
          <w:szCs w:val="44"/>
        </w:rPr>
      </w:pPr>
    </w:p>
    <w:p>
      <w:pPr>
        <w:pageBreakBefore w:val="0"/>
        <w:widowControl w:val="0"/>
        <w:kinsoku/>
        <w:wordWrap/>
        <w:overflowPunct/>
        <w:topLinePunct w:val="0"/>
        <w:autoSpaceDE/>
        <w:autoSpaceDN/>
        <w:bidi w:val="0"/>
        <w:adjustRightInd/>
        <w:snapToGrid/>
        <w:spacing w:line="578" w:lineRule="exact"/>
        <w:textAlignment w:val="auto"/>
        <w:outlineLvl w:val="9"/>
        <w:rPr>
          <w:rFonts w:hint="eastAsia"/>
        </w:rPr>
      </w:pPr>
    </w:p>
    <w:p>
      <w:pPr>
        <w:pageBreakBefore w:val="0"/>
        <w:widowControl w:val="0"/>
        <w:kinsoku/>
        <w:wordWrap/>
        <w:overflowPunct/>
        <w:topLinePunct w:val="0"/>
        <w:autoSpaceDE/>
        <w:autoSpaceDN/>
        <w:bidi w:val="0"/>
        <w:adjustRightInd/>
        <w:snapToGrid/>
        <w:spacing w:line="578" w:lineRule="exact"/>
        <w:textAlignment w:val="auto"/>
        <w:outlineLvl w:val="9"/>
        <w:rPr>
          <w:rFonts w:hint="eastAsia"/>
        </w:rPr>
      </w:pPr>
    </w:p>
    <w:p>
      <w:pPr>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lang w:val="en-US" w:eastAsia="zh-CN"/>
        </w:rPr>
      </w:pPr>
      <w:r>
        <w:rPr>
          <w:rFonts w:hint="eastAsia" w:ascii="Calibri" w:hAnsi="Calibri"/>
          <w:b/>
          <w:bCs/>
          <w:sz w:val="32"/>
          <w:szCs w:val="32"/>
          <w:lang w:eastAsia="zh-CN"/>
        </w:rPr>
        <w:t>石家庄市卫生健康委员会</w:t>
      </w:r>
    </w:p>
    <w:p>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p>
    <w:p>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p>
    <w:p>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p>
    <w:p>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r>
        <w:rPr>
          <w:rFonts w:hint="eastAsia" w:ascii="宋体" w:hAnsi="宋体" w:cs="宋体"/>
          <w:b/>
          <w:bCs/>
          <w:sz w:val="32"/>
          <w:szCs w:val="32"/>
          <w:lang w:val="en-US" w:eastAsia="zh-CN"/>
        </w:rPr>
        <w:t>2024年4月</w:t>
      </w:r>
    </w:p>
    <w:p>
      <w:pPr>
        <w:keepNext/>
        <w:keepLines/>
        <w:pageBreakBefore w:val="0"/>
        <w:widowControl w:val="0"/>
        <w:kinsoku/>
        <w:wordWrap/>
        <w:overflowPunct/>
        <w:topLinePunct w:val="0"/>
        <w:autoSpaceDE/>
        <w:autoSpaceDN/>
        <w:bidi w:val="0"/>
        <w:adjustRightInd/>
        <w:snapToGrid/>
        <w:spacing w:line="578" w:lineRule="exact"/>
        <w:ind w:left="1151" w:hanging="1151"/>
        <w:textAlignment w:val="auto"/>
        <w:outlineLvl w:val="9"/>
        <w:rPr>
          <w:rFonts w:hint="default"/>
          <w:lang w:val="en-US" w:eastAsia="zh-CN"/>
        </w:rPr>
      </w:pPr>
    </w:p>
    <w:p>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sectPr>
          <w:headerReference r:id="rId3" w:type="default"/>
          <w:pgSz w:w="11906" w:h="16838"/>
          <w:pgMar w:top="2041" w:right="1304" w:bottom="1701" w:left="1531" w:header="851" w:footer="992" w:gutter="0"/>
          <w:pgNumType w:fmt="numberInDash"/>
          <w:cols w:space="720" w:num="1"/>
          <w:docGrid w:type="lines" w:linePitch="312" w:charSpace="0"/>
        </w:sectPr>
      </w:pPr>
    </w:p>
    <w:sdt>
      <w:sdtPr>
        <w:rPr>
          <w:rFonts w:ascii="宋体" w:hAnsi="宋体" w:eastAsia="宋体" w:cs="黑体"/>
          <w:kern w:val="2"/>
          <w:sz w:val="21"/>
          <w:szCs w:val="22"/>
          <w:lang w:val="en-US" w:eastAsia="zh-CN" w:bidi="ar-SA"/>
        </w:rPr>
        <w:id w:val="147469282"/>
        <w15:color w:val="DBDBDB"/>
        <w:docPartObj>
          <w:docPartGallery w:val="Table of Contents"/>
          <w:docPartUnique/>
        </w:docPartObj>
      </w:sdtPr>
      <w:sdtEndPr>
        <w:rPr>
          <w:rFonts w:hint="eastAsia" w:ascii="宋体" w:hAnsi="宋体" w:eastAsia="宋体" w:cs="宋体"/>
          <w:b/>
          <w:bCs/>
          <w:kern w:val="2"/>
          <w:sz w:val="21"/>
          <w:szCs w:val="44"/>
          <w:lang w:val="en-US" w:eastAsia="zh-CN" w:bidi="ar-SA"/>
        </w:rPr>
      </w:sdtEndPr>
      <w:sdtContent>
        <w:p>
          <w:pPr>
            <w:pageBreakBefore w:val="0"/>
            <w:tabs>
              <w:tab w:val="left" w:pos="1151"/>
            </w:tabs>
            <w:kinsoku/>
            <w:wordWrap/>
            <w:overflowPunct/>
            <w:topLinePunct w:val="0"/>
            <w:autoSpaceDE/>
            <w:autoSpaceDN/>
            <w:bidi w:val="0"/>
            <w:spacing w:line="578" w:lineRule="exact"/>
            <w:ind w:left="0" w:leftChars="0" w:right="0" w:rightChars="0" w:firstLine="0" w:firstLineChars="0"/>
            <w:jc w:val="center"/>
            <w:outlineLvl w:val="9"/>
            <w:rPr>
              <w:rFonts w:ascii="宋体" w:hAnsi="宋体" w:eastAsia="宋体"/>
              <w:b/>
              <w:bCs/>
              <w:sz w:val="32"/>
              <w:szCs w:val="32"/>
            </w:rPr>
          </w:pPr>
          <w:r>
            <w:rPr>
              <w:rFonts w:hint="eastAsia" w:ascii="宋体" w:hAnsi="宋体" w:eastAsia="宋体" w:cs="Times New Roman"/>
              <w:b/>
              <w:bCs/>
              <w:kern w:val="2"/>
              <w:sz w:val="36"/>
              <w:szCs w:val="36"/>
              <w:lang w:val="en-US" w:eastAsia="zh-CN" w:bidi="ar-SA"/>
            </w:rPr>
            <w:t>目 录</w:t>
          </w:r>
        </w:p>
        <w:p>
          <w:pPr>
            <w:pStyle w:val="5"/>
            <w:pageBreakBefore w:val="0"/>
            <w:kinsoku/>
            <w:wordWrap/>
            <w:overflowPunct/>
            <w:topLinePunct w:val="0"/>
            <w:autoSpaceDE/>
            <w:autoSpaceDN/>
            <w:bidi w:val="0"/>
            <w:spacing w:before="0" w:after="0" w:line="578" w:lineRule="exact"/>
          </w:pPr>
        </w:p>
        <w:p>
          <w:pPr>
            <w:pStyle w:val="9"/>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
              <w:bCs/>
              <w:sz w:val="44"/>
              <w:szCs w:val="44"/>
              <w:lang w:eastAsia="zh-CN"/>
            </w:rPr>
            <w:fldChar w:fldCharType="begin"/>
          </w:r>
          <w:r>
            <w:rPr>
              <w:rFonts w:hint="eastAsia" w:ascii="宋体" w:hAnsi="宋体" w:cs="宋体"/>
              <w:b/>
              <w:bCs/>
              <w:sz w:val="44"/>
              <w:szCs w:val="44"/>
              <w:lang w:eastAsia="zh-CN"/>
            </w:rPr>
            <w:instrText xml:space="preserve">TOC \o "1-2" \h \u </w:instrText>
          </w:r>
          <w:r>
            <w:rPr>
              <w:rFonts w:hint="eastAsia" w:ascii="宋体" w:hAnsi="宋体" w:cs="宋体"/>
              <w:b/>
              <w:bCs/>
              <w:sz w:val="44"/>
              <w:szCs w:val="44"/>
              <w:lang w:eastAsia="zh-CN"/>
            </w:rPr>
            <w:fldChar w:fldCharType="separate"/>
          </w: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_Toc25494 </w:instrText>
          </w:r>
          <w:r>
            <w:rPr>
              <w:rFonts w:hint="eastAsia" w:ascii="宋体" w:hAnsi="宋体" w:cs="宋体"/>
              <w:bCs/>
              <w:sz w:val="28"/>
              <w:szCs w:val="56"/>
              <w:lang w:eastAsia="zh-CN"/>
            </w:rPr>
            <w:fldChar w:fldCharType="separate"/>
          </w:r>
          <w:r>
            <w:rPr>
              <w:rFonts w:hint="eastAsia" w:ascii="黑体" w:hAnsi="黑体" w:eastAsia="黑体"/>
              <w:sz w:val="28"/>
              <w:szCs w:val="44"/>
            </w:rPr>
            <w:t>一、</w:t>
          </w:r>
          <w:r>
            <w:rPr>
              <w:rFonts w:hint="eastAsia" w:ascii="黑体" w:hAnsi="黑体" w:eastAsia="黑体"/>
              <w:sz w:val="28"/>
              <w:szCs w:val="44"/>
              <w:lang w:eastAsia="zh-CN"/>
            </w:rPr>
            <w:t>部门</w:t>
          </w:r>
          <w:r>
            <w:rPr>
              <w:rFonts w:hint="eastAsia" w:ascii="黑体" w:hAnsi="黑体" w:eastAsia="黑体"/>
              <w:sz w:val="28"/>
              <w:szCs w:val="48"/>
            </w:rPr>
            <w:t>基本情况</w:t>
          </w:r>
          <w:r>
            <w:rPr>
              <w:sz w:val="28"/>
              <w:szCs w:val="32"/>
            </w:rPr>
            <w:tab/>
          </w:r>
          <w:r>
            <w:rPr>
              <w:sz w:val="28"/>
              <w:szCs w:val="32"/>
            </w:rPr>
            <w:fldChar w:fldCharType="begin"/>
          </w:r>
          <w:r>
            <w:rPr>
              <w:sz w:val="28"/>
              <w:szCs w:val="32"/>
            </w:rPr>
            <w:instrText xml:space="preserve"> PAGEREF _Toc25494 \h </w:instrText>
          </w:r>
          <w:r>
            <w:rPr>
              <w:sz w:val="28"/>
              <w:szCs w:val="32"/>
            </w:rPr>
            <w:fldChar w:fldCharType="separate"/>
          </w:r>
          <w:r>
            <w:rPr>
              <w:sz w:val="28"/>
              <w:szCs w:val="32"/>
            </w:rPr>
            <w:t>- 1 -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rFonts w:hint="eastAsia" w:ascii="仿宋_GB2312" w:hAnsi="仿宋_GB2312" w:eastAsia="仿宋_GB2312" w:cs="仿宋_GB2312"/>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_Toc7026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sz w:val="28"/>
              <w:szCs w:val="44"/>
            </w:rPr>
            <w:t>（一）</w:t>
          </w:r>
          <w:r>
            <w:rPr>
              <w:rFonts w:hint="eastAsia" w:ascii="仿宋_GB2312" w:hAnsi="仿宋_GB2312" w:eastAsia="仿宋_GB2312" w:cs="仿宋_GB2312"/>
              <w:sz w:val="28"/>
              <w:szCs w:val="44"/>
              <w:lang w:eastAsia="zh-CN"/>
            </w:rPr>
            <w:t>部门</w:t>
          </w:r>
          <w:r>
            <w:rPr>
              <w:rFonts w:hint="eastAsia" w:ascii="仿宋_GB2312" w:hAnsi="仿宋_GB2312" w:eastAsia="仿宋_GB2312" w:cs="仿宋_GB2312"/>
              <w:sz w:val="28"/>
              <w:szCs w:val="44"/>
            </w:rPr>
            <w:t>概况</w:t>
          </w:r>
          <w:r>
            <w:rPr>
              <w:rFonts w:hint="eastAsia" w:ascii="仿宋_GB2312" w:hAnsi="仿宋_GB2312" w:eastAsia="仿宋_GB2312" w:cs="仿宋_GB2312"/>
              <w:sz w:val="28"/>
              <w:szCs w:val="32"/>
            </w:rPr>
            <w:tab/>
          </w:r>
          <w:r>
            <w:rPr>
              <w:rFonts w:hint="eastAsia" w:ascii="Calibri" w:hAnsi="Calibri" w:eastAsia="宋体" w:cs="黑体"/>
              <w:kern w:val="2"/>
              <w:sz w:val="28"/>
              <w:szCs w:val="32"/>
              <w:lang w:val="en-US" w:eastAsia="zh-CN" w:bidi="ar-SA"/>
            </w:rPr>
            <w:fldChar w:fldCharType="begin"/>
          </w:r>
          <w:r>
            <w:rPr>
              <w:rFonts w:hint="eastAsia" w:ascii="Calibri" w:hAnsi="Calibri" w:eastAsia="宋体" w:cs="黑体"/>
              <w:kern w:val="2"/>
              <w:sz w:val="28"/>
              <w:szCs w:val="32"/>
              <w:lang w:val="en-US" w:eastAsia="zh-CN" w:bidi="ar-SA"/>
            </w:rPr>
            <w:instrText xml:space="preserve"> PAGEREF _Toc7026 \h </w:instrText>
          </w:r>
          <w:r>
            <w:rPr>
              <w:rFonts w:hint="eastAsia" w:ascii="Calibri" w:hAnsi="Calibri" w:eastAsia="宋体" w:cs="黑体"/>
              <w:kern w:val="2"/>
              <w:sz w:val="28"/>
              <w:szCs w:val="32"/>
              <w:lang w:val="en-US" w:eastAsia="zh-CN" w:bidi="ar-SA"/>
            </w:rPr>
            <w:fldChar w:fldCharType="separate"/>
          </w:r>
          <w:r>
            <w:rPr>
              <w:rFonts w:hint="eastAsia" w:ascii="Calibri" w:hAnsi="Calibri" w:eastAsia="宋体" w:cs="黑体"/>
              <w:kern w:val="2"/>
              <w:sz w:val="28"/>
              <w:szCs w:val="32"/>
              <w:lang w:val="en-US" w:eastAsia="zh-CN" w:bidi="ar-SA"/>
            </w:rPr>
            <w:t>- 1 -</w:t>
          </w:r>
          <w:r>
            <w:rPr>
              <w:rFonts w:hint="eastAsia" w:ascii="Calibri" w:hAnsi="Calibri" w:eastAsia="宋体" w:cs="黑体"/>
              <w:kern w:val="2"/>
              <w:sz w:val="28"/>
              <w:szCs w:val="32"/>
              <w:lang w:val="en-US" w:eastAsia="zh-CN" w:bidi="ar-SA"/>
            </w:rPr>
            <w:fldChar w:fldCharType="end"/>
          </w:r>
          <w:r>
            <w:rPr>
              <w:rFonts w:hint="eastAsia" w:ascii="仿宋_GB2312" w:hAnsi="仿宋_GB2312" w:eastAsia="仿宋_GB2312" w:cs="仿宋_GB2312"/>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rFonts w:hint="eastAsia" w:ascii="仿宋_GB2312" w:hAnsi="仿宋_GB2312" w:eastAsia="仿宋_GB2312" w:cs="仿宋_GB2312"/>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_Toc25571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highlight w:val="none"/>
              <w:lang w:eastAsia="zh-CN"/>
            </w:rPr>
            <w:t>（</w:t>
          </w:r>
          <w:r>
            <w:rPr>
              <w:rFonts w:hint="eastAsia" w:ascii="仿宋_GB2312" w:hAnsi="仿宋_GB2312" w:eastAsia="仿宋_GB2312" w:cs="仿宋_GB2312"/>
              <w:bCs/>
              <w:sz w:val="28"/>
              <w:szCs w:val="44"/>
              <w:highlight w:val="none"/>
              <w:lang w:val="en-US" w:eastAsia="zh-CN"/>
            </w:rPr>
            <w:t>二</w:t>
          </w:r>
          <w:r>
            <w:rPr>
              <w:rFonts w:hint="eastAsia" w:ascii="仿宋_GB2312" w:hAnsi="仿宋_GB2312" w:eastAsia="仿宋_GB2312" w:cs="仿宋_GB2312"/>
              <w:bCs/>
              <w:sz w:val="28"/>
              <w:szCs w:val="44"/>
              <w:highlight w:val="none"/>
              <w:lang w:eastAsia="zh-CN"/>
            </w:rPr>
            <w:t>）部门收支预决算情况</w:t>
          </w:r>
          <w:r>
            <w:rPr>
              <w:rFonts w:hint="eastAsia" w:ascii="仿宋_GB2312" w:hAnsi="仿宋_GB2312" w:eastAsia="仿宋_GB2312" w:cs="仿宋_GB2312"/>
              <w:sz w:val="28"/>
              <w:szCs w:val="32"/>
            </w:rPr>
            <w:tab/>
          </w:r>
          <w:r>
            <w:rPr>
              <w:rFonts w:hint="eastAsia" w:ascii="Calibri" w:hAnsi="Calibri" w:eastAsia="宋体" w:cs="黑体"/>
              <w:kern w:val="2"/>
              <w:sz w:val="28"/>
              <w:szCs w:val="32"/>
              <w:lang w:val="en-US" w:eastAsia="zh-CN" w:bidi="ar-SA"/>
            </w:rPr>
            <w:fldChar w:fldCharType="begin"/>
          </w:r>
          <w:r>
            <w:rPr>
              <w:rFonts w:hint="eastAsia" w:ascii="Calibri" w:hAnsi="Calibri" w:eastAsia="宋体" w:cs="黑体"/>
              <w:kern w:val="2"/>
              <w:sz w:val="28"/>
              <w:szCs w:val="32"/>
              <w:lang w:val="en-US" w:eastAsia="zh-CN" w:bidi="ar-SA"/>
            </w:rPr>
            <w:instrText xml:space="preserve"> PAGEREF _Toc25571 \h </w:instrText>
          </w:r>
          <w:r>
            <w:rPr>
              <w:rFonts w:hint="eastAsia" w:ascii="Calibri" w:hAnsi="Calibri" w:eastAsia="宋体" w:cs="黑体"/>
              <w:kern w:val="2"/>
              <w:sz w:val="28"/>
              <w:szCs w:val="32"/>
              <w:lang w:val="en-US" w:eastAsia="zh-CN" w:bidi="ar-SA"/>
            </w:rPr>
            <w:fldChar w:fldCharType="separate"/>
          </w:r>
          <w:r>
            <w:rPr>
              <w:rFonts w:hint="eastAsia" w:ascii="Calibri" w:hAnsi="Calibri" w:eastAsia="宋体" w:cs="黑体"/>
              <w:kern w:val="2"/>
              <w:sz w:val="28"/>
              <w:szCs w:val="32"/>
              <w:lang w:val="en-US" w:eastAsia="zh-CN" w:bidi="ar-SA"/>
            </w:rPr>
            <w:t>- 4 -</w:t>
          </w:r>
          <w:r>
            <w:rPr>
              <w:rFonts w:hint="eastAsia" w:ascii="Calibri" w:hAnsi="Calibri" w:eastAsia="宋体" w:cs="黑体"/>
              <w:kern w:val="2"/>
              <w:sz w:val="28"/>
              <w:szCs w:val="32"/>
              <w:lang w:val="en-US" w:eastAsia="zh-CN" w:bidi="ar-SA"/>
            </w:rPr>
            <w:fldChar w:fldCharType="end"/>
          </w:r>
          <w:r>
            <w:rPr>
              <w:rFonts w:hint="eastAsia" w:ascii="仿宋_GB2312" w:hAnsi="仿宋_GB2312" w:eastAsia="仿宋_GB2312" w:cs="仿宋_GB2312"/>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_Toc15733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lang w:eastAsia="zh-CN"/>
            </w:rPr>
            <w:t>（三）部门整体支出绩效目标、指标</w:t>
          </w:r>
          <w:r>
            <w:rPr>
              <w:rFonts w:hint="eastAsia" w:ascii="仿宋_GB2312" w:hAnsi="仿宋_GB2312" w:eastAsia="仿宋_GB2312" w:cs="仿宋_GB2312"/>
              <w:sz w:val="28"/>
              <w:szCs w:val="32"/>
            </w:rPr>
            <w:tab/>
          </w:r>
          <w:r>
            <w:rPr>
              <w:rFonts w:hint="eastAsia" w:ascii="Calibri" w:hAnsi="Calibri" w:eastAsia="宋体" w:cs="黑体"/>
              <w:kern w:val="2"/>
              <w:sz w:val="28"/>
              <w:szCs w:val="32"/>
              <w:lang w:val="en-US" w:eastAsia="zh-CN" w:bidi="ar-SA"/>
            </w:rPr>
            <w:fldChar w:fldCharType="begin"/>
          </w:r>
          <w:r>
            <w:rPr>
              <w:rFonts w:hint="eastAsia" w:ascii="Calibri" w:hAnsi="Calibri" w:eastAsia="宋体" w:cs="黑体"/>
              <w:kern w:val="2"/>
              <w:sz w:val="28"/>
              <w:szCs w:val="32"/>
              <w:lang w:val="en-US" w:eastAsia="zh-CN" w:bidi="ar-SA"/>
            </w:rPr>
            <w:instrText xml:space="preserve"> PAGEREF _Toc25571 \h </w:instrText>
          </w:r>
          <w:r>
            <w:rPr>
              <w:rFonts w:hint="eastAsia" w:ascii="Calibri" w:hAnsi="Calibri" w:eastAsia="宋体" w:cs="黑体"/>
              <w:kern w:val="2"/>
              <w:sz w:val="28"/>
              <w:szCs w:val="32"/>
              <w:lang w:val="en-US" w:eastAsia="zh-CN" w:bidi="ar-SA"/>
            </w:rPr>
            <w:fldChar w:fldCharType="separate"/>
          </w:r>
          <w:r>
            <w:rPr>
              <w:rFonts w:hint="eastAsia" w:ascii="Calibri" w:hAnsi="Calibri" w:eastAsia="宋体" w:cs="黑体"/>
              <w:kern w:val="2"/>
              <w:sz w:val="28"/>
              <w:szCs w:val="32"/>
              <w:lang w:val="en-US" w:eastAsia="zh-CN" w:bidi="ar-SA"/>
            </w:rPr>
            <w:t>- 4 -</w:t>
          </w:r>
          <w:r>
            <w:rPr>
              <w:rFonts w:hint="eastAsia" w:ascii="Calibri" w:hAnsi="Calibri" w:eastAsia="宋体" w:cs="黑体"/>
              <w:kern w:val="2"/>
              <w:sz w:val="28"/>
              <w:szCs w:val="32"/>
              <w:lang w:val="en-US" w:eastAsia="zh-CN" w:bidi="ar-SA"/>
            </w:rPr>
            <w:fldChar w:fldCharType="end"/>
          </w:r>
          <w:r>
            <w:rPr>
              <w:rFonts w:hint="eastAsia" w:ascii="仿宋_GB2312" w:hAnsi="仿宋_GB2312" w:eastAsia="仿宋_GB2312" w:cs="仿宋_GB2312"/>
              <w:bCs/>
              <w:sz w:val="28"/>
              <w:szCs w:val="56"/>
              <w:lang w:eastAsia="zh-CN"/>
            </w:rPr>
            <w:fldChar w:fldCharType="end"/>
          </w:r>
        </w:p>
        <w:p>
          <w:pPr>
            <w:pStyle w:val="9"/>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_Toc20289 </w:instrText>
          </w:r>
          <w:r>
            <w:rPr>
              <w:rFonts w:hint="eastAsia" w:ascii="宋体" w:hAnsi="宋体" w:cs="宋体"/>
              <w:bCs/>
              <w:sz w:val="28"/>
              <w:szCs w:val="56"/>
              <w:lang w:eastAsia="zh-CN"/>
            </w:rPr>
            <w:fldChar w:fldCharType="separate"/>
          </w:r>
          <w:r>
            <w:rPr>
              <w:rFonts w:hint="eastAsia" w:ascii="黑体" w:hAnsi="黑体" w:eastAsia="黑体"/>
              <w:sz w:val="28"/>
              <w:szCs w:val="44"/>
            </w:rPr>
            <w:t>二、自评工作</w:t>
          </w:r>
          <w:r>
            <w:rPr>
              <w:rFonts w:hint="eastAsia" w:ascii="黑体" w:hAnsi="黑体" w:eastAsia="黑体"/>
              <w:sz w:val="28"/>
              <w:szCs w:val="44"/>
              <w:lang w:eastAsia="zh-CN"/>
            </w:rPr>
            <w:t>开展</w:t>
          </w:r>
          <w:r>
            <w:rPr>
              <w:rFonts w:hint="eastAsia" w:ascii="黑体" w:hAnsi="黑体" w:eastAsia="黑体"/>
              <w:sz w:val="28"/>
              <w:szCs w:val="44"/>
            </w:rPr>
            <w:t>情况</w:t>
          </w:r>
          <w:r>
            <w:rPr>
              <w:sz w:val="28"/>
              <w:szCs w:val="32"/>
            </w:rPr>
            <w:tab/>
          </w:r>
          <w:r>
            <w:rPr>
              <w:sz w:val="28"/>
              <w:szCs w:val="32"/>
            </w:rPr>
            <w:fldChar w:fldCharType="begin"/>
          </w:r>
          <w:r>
            <w:rPr>
              <w:sz w:val="28"/>
              <w:szCs w:val="32"/>
            </w:rPr>
            <w:instrText xml:space="preserve"> PAGEREF _Toc20289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_Toc22722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（一）自评的组织工作</w:t>
          </w:r>
          <w:r>
            <w:rPr>
              <w:sz w:val="28"/>
              <w:szCs w:val="32"/>
            </w:rPr>
            <w:tab/>
          </w:r>
          <w:r>
            <w:rPr>
              <w:sz w:val="28"/>
              <w:szCs w:val="32"/>
            </w:rPr>
            <w:fldChar w:fldCharType="begin"/>
          </w:r>
          <w:r>
            <w:rPr>
              <w:sz w:val="28"/>
              <w:szCs w:val="32"/>
            </w:rPr>
            <w:instrText xml:space="preserve"> PAGEREF _Toc22722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_Toc28737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二</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绩效自评目的</w:t>
          </w:r>
          <w:r>
            <w:rPr>
              <w:sz w:val="28"/>
              <w:szCs w:val="32"/>
            </w:rPr>
            <w:tab/>
          </w:r>
          <w:r>
            <w:rPr>
              <w:sz w:val="28"/>
              <w:szCs w:val="32"/>
            </w:rPr>
            <w:fldChar w:fldCharType="begin"/>
          </w:r>
          <w:r>
            <w:rPr>
              <w:sz w:val="28"/>
              <w:szCs w:val="32"/>
            </w:rPr>
            <w:instrText xml:space="preserve"> PAGEREF _Toc28737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_Toc31660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三</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绩效自评内容</w:t>
          </w:r>
          <w:r>
            <w:rPr>
              <w:sz w:val="28"/>
              <w:szCs w:val="32"/>
            </w:rPr>
            <w:tab/>
          </w:r>
          <w:r>
            <w:rPr>
              <w:sz w:val="28"/>
              <w:szCs w:val="32"/>
            </w:rPr>
            <w:fldChar w:fldCharType="begin"/>
          </w:r>
          <w:r>
            <w:rPr>
              <w:sz w:val="28"/>
              <w:szCs w:val="32"/>
            </w:rPr>
            <w:instrText xml:space="preserve"> PAGEREF _Toc31660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_Toc23011 </w:instrText>
          </w:r>
          <w:r>
            <w:rPr>
              <w:rFonts w:hint="eastAsia" w:ascii="宋体" w:hAnsi="宋体" w:cs="宋体"/>
              <w:bCs/>
              <w:sz w:val="28"/>
              <w:szCs w:val="56"/>
              <w:lang w:eastAsia="zh-CN"/>
            </w:rPr>
            <w:fldChar w:fldCharType="separate"/>
          </w:r>
          <w:r>
            <w:rPr>
              <w:rFonts w:hint="eastAsia" w:ascii="仿宋" w:hAnsi="仿宋" w:eastAsia="仿宋" w:cs="楷体_GB2312"/>
              <w:bCs/>
              <w:sz w:val="28"/>
              <w:szCs w:val="44"/>
              <w:lang w:eastAsia="zh-CN"/>
            </w:rPr>
            <w:t>（</w:t>
          </w:r>
          <w:r>
            <w:rPr>
              <w:rFonts w:hint="eastAsia" w:ascii="仿宋" w:hAnsi="仿宋" w:eastAsia="仿宋" w:cs="楷体_GB2312"/>
              <w:bCs/>
              <w:sz w:val="28"/>
              <w:szCs w:val="44"/>
              <w:lang w:val="en-US" w:eastAsia="zh-CN"/>
            </w:rPr>
            <w:t>四</w:t>
          </w:r>
          <w:r>
            <w:rPr>
              <w:rFonts w:hint="eastAsia" w:ascii="仿宋" w:hAnsi="仿宋" w:eastAsia="仿宋" w:cs="楷体_GB2312"/>
              <w:bCs/>
              <w:sz w:val="28"/>
              <w:szCs w:val="44"/>
              <w:lang w:eastAsia="zh-CN"/>
            </w:rPr>
            <w:t>）</w:t>
          </w:r>
          <w:r>
            <w:rPr>
              <w:rFonts w:hint="eastAsia" w:ascii="仿宋" w:hAnsi="仿宋" w:eastAsia="仿宋" w:cs="楷体_GB2312"/>
              <w:bCs/>
              <w:sz w:val="28"/>
              <w:szCs w:val="44"/>
            </w:rPr>
            <w:t>自评的方法</w:t>
          </w:r>
          <w:r>
            <w:rPr>
              <w:sz w:val="28"/>
              <w:szCs w:val="32"/>
            </w:rPr>
            <w:tab/>
          </w:r>
          <w:r>
            <w:rPr>
              <w:sz w:val="28"/>
              <w:szCs w:val="32"/>
            </w:rPr>
            <w:fldChar w:fldCharType="begin"/>
          </w:r>
          <w:r>
            <w:rPr>
              <w:sz w:val="28"/>
              <w:szCs w:val="32"/>
            </w:rPr>
            <w:instrText xml:space="preserve"> PAGEREF _Toc23011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_Toc6980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五</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w:t>
          </w:r>
          <w:r>
            <w:rPr>
              <w:rFonts w:hint="eastAsia" w:ascii="仿宋_GB2312" w:hAnsi="仿宋_GB2312" w:eastAsia="仿宋_GB2312" w:cs="仿宋_GB2312"/>
              <w:bCs/>
              <w:sz w:val="28"/>
              <w:szCs w:val="44"/>
              <w:lang w:val="en-US" w:eastAsia="zh-CN"/>
            </w:rPr>
            <w:t>过程</w:t>
          </w:r>
          <w:r>
            <w:rPr>
              <w:sz w:val="28"/>
              <w:szCs w:val="32"/>
            </w:rPr>
            <w:tab/>
          </w:r>
          <w:r>
            <w:rPr>
              <w:sz w:val="28"/>
              <w:szCs w:val="32"/>
            </w:rPr>
            <w:fldChar w:fldCharType="begin"/>
          </w:r>
          <w:r>
            <w:rPr>
              <w:sz w:val="28"/>
              <w:szCs w:val="32"/>
            </w:rPr>
            <w:instrText xml:space="preserve"> PAGEREF _Toc6980 \h </w:instrText>
          </w:r>
          <w:r>
            <w:rPr>
              <w:sz w:val="28"/>
              <w:szCs w:val="32"/>
            </w:rPr>
            <w:fldChar w:fldCharType="separate"/>
          </w:r>
          <w:r>
            <w:rPr>
              <w:sz w:val="28"/>
              <w:szCs w:val="32"/>
            </w:rPr>
            <w:t>- 9 -</w:t>
          </w:r>
          <w:r>
            <w:rPr>
              <w:sz w:val="28"/>
              <w:szCs w:val="32"/>
            </w:rPr>
            <w:fldChar w:fldCharType="end"/>
          </w:r>
          <w:r>
            <w:rPr>
              <w:rFonts w:hint="eastAsia" w:ascii="宋体" w:hAnsi="宋体" w:cs="宋体"/>
              <w:bCs/>
              <w:sz w:val="28"/>
              <w:szCs w:val="56"/>
              <w:lang w:eastAsia="zh-CN"/>
            </w:rPr>
            <w:fldChar w:fldCharType="end"/>
          </w:r>
        </w:p>
        <w:p>
          <w:pPr>
            <w:pStyle w:val="9"/>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_Toc27327 </w:instrText>
          </w:r>
          <w:r>
            <w:rPr>
              <w:rFonts w:hint="eastAsia" w:ascii="宋体" w:hAnsi="宋体" w:cs="宋体"/>
              <w:bCs/>
              <w:sz w:val="28"/>
              <w:szCs w:val="56"/>
              <w:lang w:eastAsia="zh-CN"/>
            </w:rPr>
            <w:fldChar w:fldCharType="separate"/>
          </w:r>
          <w:r>
            <w:rPr>
              <w:rFonts w:hint="eastAsia" w:ascii="黑体" w:hAnsi="黑体" w:eastAsia="黑体"/>
              <w:sz w:val="28"/>
              <w:szCs w:val="44"/>
            </w:rPr>
            <w:t>三、</w:t>
          </w:r>
          <w:r>
            <w:rPr>
              <w:rFonts w:hint="eastAsia" w:ascii="黑体" w:hAnsi="黑体" w:eastAsia="黑体"/>
              <w:sz w:val="28"/>
              <w:szCs w:val="44"/>
              <w:lang w:eastAsia="zh-CN"/>
            </w:rPr>
            <w:t>部门整体支出</w:t>
          </w:r>
          <w:r>
            <w:rPr>
              <w:rFonts w:hint="eastAsia" w:ascii="黑体" w:hAnsi="黑体" w:eastAsia="黑体"/>
              <w:sz w:val="28"/>
              <w:szCs w:val="44"/>
            </w:rPr>
            <w:t>绩效</w:t>
          </w:r>
          <w:r>
            <w:rPr>
              <w:rFonts w:hint="eastAsia" w:ascii="黑体" w:hAnsi="黑体" w:eastAsia="黑体"/>
              <w:sz w:val="28"/>
              <w:szCs w:val="44"/>
              <w:lang w:eastAsia="zh-CN"/>
            </w:rPr>
            <w:t>目标实现情况及指标分析</w:t>
          </w:r>
          <w:r>
            <w:rPr>
              <w:sz w:val="28"/>
              <w:szCs w:val="32"/>
            </w:rPr>
            <w:tab/>
          </w:r>
          <w:r>
            <w:rPr>
              <w:sz w:val="28"/>
              <w:szCs w:val="32"/>
            </w:rPr>
            <w:fldChar w:fldCharType="begin"/>
          </w:r>
          <w:r>
            <w:rPr>
              <w:sz w:val="28"/>
              <w:szCs w:val="32"/>
            </w:rPr>
            <w:instrText xml:space="preserve"> PAGEREF _Toc27327 \h </w:instrText>
          </w:r>
          <w:r>
            <w:rPr>
              <w:sz w:val="28"/>
              <w:szCs w:val="32"/>
            </w:rPr>
            <w:fldChar w:fldCharType="separate"/>
          </w:r>
          <w:r>
            <w:rPr>
              <w:sz w:val="28"/>
              <w:szCs w:val="32"/>
            </w:rPr>
            <w:t>- 9 -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rFonts w:hint="eastAsia" w:ascii="仿宋_GB2312" w:hAnsi="仿宋_GB2312" w:eastAsia="仿宋_GB2312" w:cs="仿宋_GB2312"/>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_Toc2663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rPr>
            <w:t>（一）</w:t>
          </w:r>
          <w:r>
            <w:rPr>
              <w:rFonts w:hint="eastAsia" w:ascii="仿宋_GB2312" w:hAnsi="仿宋_GB2312" w:eastAsia="仿宋_GB2312" w:cs="仿宋_GB2312"/>
              <w:bCs/>
              <w:sz w:val="28"/>
              <w:szCs w:val="44"/>
              <w:lang w:eastAsia="zh-CN"/>
            </w:rPr>
            <w:t>总体绩效目标实现情况</w:t>
          </w:r>
          <w:r>
            <w:rPr>
              <w:rFonts w:hint="eastAsia" w:ascii="仿宋_GB2312" w:hAnsi="仿宋_GB2312" w:eastAsia="仿宋_GB2312" w:cs="仿宋_GB2312"/>
              <w:sz w:val="28"/>
              <w:szCs w:val="32"/>
            </w:rPr>
            <w:tab/>
          </w:r>
          <w:r>
            <w:rPr>
              <w:sz w:val="28"/>
              <w:szCs w:val="32"/>
            </w:rPr>
            <w:fldChar w:fldCharType="begin"/>
          </w:r>
          <w:r>
            <w:rPr>
              <w:sz w:val="28"/>
              <w:szCs w:val="32"/>
            </w:rPr>
            <w:instrText xml:space="preserve"> PAGEREF _Toc27327 \h </w:instrText>
          </w:r>
          <w:r>
            <w:rPr>
              <w:sz w:val="28"/>
              <w:szCs w:val="32"/>
            </w:rPr>
            <w:fldChar w:fldCharType="separate"/>
          </w:r>
          <w:r>
            <w:rPr>
              <w:sz w:val="28"/>
              <w:szCs w:val="32"/>
            </w:rPr>
            <w:t>- 9 -</w:t>
          </w:r>
          <w:r>
            <w:rPr>
              <w:sz w:val="28"/>
              <w:szCs w:val="32"/>
            </w:rPr>
            <w:fldChar w:fldCharType="end"/>
          </w:r>
          <w:r>
            <w:rPr>
              <w:rFonts w:hint="eastAsia" w:ascii="仿宋_GB2312" w:hAnsi="仿宋_GB2312" w:eastAsia="仿宋_GB2312" w:cs="仿宋_GB2312"/>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_Toc26201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lang w:eastAsia="zh-CN"/>
            </w:rPr>
            <w:t>（二）</w:t>
          </w:r>
          <w:r>
            <w:rPr>
              <w:rFonts w:hint="eastAsia" w:ascii="仿宋_GB2312" w:hAnsi="仿宋_GB2312" w:eastAsia="仿宋_GB2312" w:cs="仿宋_GB2312"/>
              <w:bCs/>
              <w:sz w:val="28"/>
              <w:szCs w:val="44"/>
              <w:highlight w:val="none"/>
              <w:lang w:eastAsia="zh-CN"/>
            </w:rPr>
            <w:t>分项绩效目标实现情况及指标分析</w:t>
          </w:r>
          <w:r>
            <w:rPr>
              <w:rFonts w:hint="eastAsia" w:ascii="仿宋_GB2312" w:hAnsi="仿宋_GB2312" w:eastAsia="仿宋_GB2312" w:cs="仿宋_GB2312"/>
              <w:sz w:val="28"/>
              <w:szCs w:val="32"/>
            </w:rPr>
            <w:tab/>
          </w:r>
          <w:r>
            <w:rPr>
              <w:rFonts w:hint="eastAsia" w:ascii="Calibri" w:hAnsi="Calibri" w:eastAsia="宋体" w:cs="黑体"/>
              <w:kern w:val="2"/>
              <w:sz w:val="28"/>
              <w:szCs w:val="32"/>
              <w:lang w:val="en-US" w:eastAsia="zh-CN" w:bidi="ar-SA"/>
            </w:rPr>
            <w:fldChar w:fldCharType="begin"/>
          </w:r>
          <w:r>
            <w:rPr>
              <w:rFonts w:hint="eastAsia" w:ascii="Calibri" w:hAnsi="Calibri" w:eastAsia="宋体" w:cs="黑体"/>
              <w:kern w:val="2"/>
              <w:sz w:val="28"/>
              <w:szCs w:val="32"/>
              <w:lang w:val="en-US" w:eastAsia="zh-CN" w:bidi="ar-SA"/>
            </w:rPr>
            <w:instrText xml:space="preserve"> PAGEREF _Toc26201 \h </w:instrText>
          </w:r>
          <w:r>
            <w:rPr>
              <w:rFonts w:hint="eastAsia" w:ascii="Calibri" w:hAnsi="Calibri" w:eastAsia="宋体" w:cs="黑体"/>
              <w:kern w:val="2"/>
              <w:sz w:val="28"/>
              <w:szCs w:val="32"/>
              <w:lang w:val="en-US" w:eastAsia="zh-CN" w:bidi="ar-SA"/>
            </w:rPr>
            <w:fldChar w:fldCharType="separate"/>
          </w:r>
          <w:r>
            <w:rPr>
              <w:rFonts w:hint="eastAsia" w:ascii="Calibri" w:hAnsi="Calibri" w:eastAsia="宋体" w:cs="黑体"/>
              <w:kern w:val="2"/>
              <w:sz w:val="28"/>
              <w:szCs w:val="32"/>
              <w:lang w:val="en-US" w:eastAsia="zh-CN" w:bidi="ar-SA"/>
            </w:rPr>
            <w:t>- 10 -</w:t>
          </w:r>
          <w:r>
            <w:rPr>
              <w:rFonts w:hint="eastAsia" w:ascii="Calibri" w:hAnsi="Calibri" w:eastAsia="宋体" w:cs="黑体"/>
              <w:kern w:val="2"/>
              <w:sz w:val="28"/>
              <w:szCs w:val="32"/>
              <w:lang w:val="en-US" w:eastAsia="zh-CN" w:bidi="ar-SA"/>
            </w:rPr>
            <w:fldChar w:fldCharType="end"/>
          </w:r>
          <w:r>
            <w:rPr>
              <w:rFonts w:hint="eastAsia" w:ascii="仿宋_GB2312" w:hAnsi="仿宋_GB2312" w:eastAsia="仿宋_GB2312" w:cs="仿宋_GB2312"/>
              <w:bCs/>
              <w:sz w:val="28"/>
              <w:szCs w:val="56"/>
              <w:lang w:eastAsia="zh-CN"/>
            </w:rPr>
            <w:fldChar w:fldCharType="end"/>
          </w:r>
        </w:p>
        <w:p>
          <w:pPr>
            <w:pStyle w:val="9"/>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_Toc12853 </w:instrText>
          </w:r>
          <w:r>
            <w:rPr>
              <w:rFonts w:hint="eastAsia" w:ascii="宋体" w:hAnsi="宋体" w:cs="宋体"/>
              <w:bCs/>
              <w:sz w:val="28"/>
              <w:szCs w:val="56"/>
              <w:lang w:eastAsia="zh-CN"/>
            </w:rPr>
            <w:fldChar w:fldCharType="separate"/>
          </w:r>
          <w:r>
            <w:rPr>
              <w:rFonts w:hint="eastAsia" w:ascii="黑体" w:hAnsi="黑体" w:eastAsia="黑体"/>
              <w:sz w:val="28"/>
              <w:szCs w:val="44"/>
            </w:rPr>
            <w:t>四、评价结论和评价等级</w:t>
          </w:r>
          <w:r>
            <w:rPr>
              <w:sz w:val="28"/>
              <w:szCs w:val="32"/>
            </w:rPr>
            <w:tab/>
          </w:r>
          <w:r>
            <w:rPr>
              <w:sz w:val="28"/>
              <w:szCs w:val="32"/>
            </w:rPr>
            <w:fldChar w:fldCharType="begin"/>
          </w:r>
          <w:r>
            <w:rPr>
              <w:sz w:val="28"/>
              <w:szCs w:val="32"/>
            </w:rPr>
            <w:instrText xml:space="preserve"> PAGEREF _Toc12853 \h </w:instrText>
          </w:r>
          <w:r>
            <w:rPr>
              <w:sz w:val="28"/>
              <w:szCs w:val="32"/>
            </w:rPr>
            <w:fldChar w:fldCharType="separate"/>
          </w:r>
          <w:r>
            <w:rPr>
              <w:sz w:val="28"/>
              <w:szCs w:val="32"/>
            </w:rPr>
            <w:t>- 13 -</w:t>
          </w:r>
          <w:r>
            <w:rPr>
              <w:sz w:val="28"/>
              <w:szCs w:val="32"/>
            </w:rPr>
            <w:fldChar w:fldCharType="end"/>
          </w:r>
          <w:r>
            <w:rPr>
              <w:rFonts w:hint="eastAsia" w:ascii="宋体" w:hAnsi="宋体" w:cs="宋体"/>
              <w:bCs/>
              <w:sz w:val="28"/>
              <w:szCs w:val="56"/>
              <w:lang w:eastAsia="zh-CN"/>
            </w:rPr>
            <w:fldChar w:fldCharType="end"/>
          </w:r>
        </w:p>
        <w:p>
          <w:pPr>
            <w:pStyle w:val="9"/>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_Toc15925 </w:instrText>
          </w:r>
          <w:r>
            <w:rPr>
              <w:rFonts w:hint="eastAsia" w:ascii="宋体" w:hAnsi="宋体" w:cs="宋体"/>
              <w:bCs/>
              <w:sz w:val="28"/>
              <w:szCs w:val="56"/>
              <w:lang w:eastAsia="zh-CN"/>
            </w:rPr>
            <w:fldChar w:fldCharType="separate"/>
          </w:r>
          <w:r>
            <w:rPr>
              <w:rFonts w:hint="eastAsia" w:ascii="黑体" w:hAnsi="黑体" w:eastAsia="黑体" w:cs="黑体"/>
              <w:sz w:val="28"/>
              <w:szCs w:val="44"/>
              <w:lang w:val="en-US" w:eastAsia="zh-CN"/>
            </w:rPr>
            <w:t>五、存在的问题及改进措施</w:t>
          </w:r>
          <w:r>
            <w:rPr>
              <w:sz w:val="28"/>
              <w:szCs w:val="32"/>
            </w:rPr>
            <w:tab/>
          </w:r>
          <w:r>
            <w:rPr>
              <w:sz w:val="28"/>
              <w:szCs w:val="32"/>
            </w:rPr>
            <w:fldChar w:fldCharType="begin"/>
          </w:r>
          <w:r>
            <w:rPr>
              <w:sz w:val="28"/>
              <w:szCs w:val="32"/>
            </w:rPr>
            <w:instrText xml:space="preserve"> PAGEREF _Toc15925 \h </w:instrText>
          </w:r>
          <w:r>
            <w:rPr>
              <w:sz w:val="28"/>
              <w:szCs w:val="32"/>
            </w:rPr>
            <w:fldChar w:fldCharType="separate"/>
          </w:r>
          <w:r>
            <w:rPr>
              <w:sz w:val="28"/>
              <w:szCs w:val="32"/>
            </w:rPr>
            <w:t>- 15 -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rFonts w:hint="eastAsia" w:ascii="仿宋_GB2312" w:hAnsi="仿宋_GB2312" w:eastAsia="仿宋_GB2312" w:cs="仿宋_GB2312"/>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_Toc24424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rPr>
            <w:t>（</w:t>
          </w:r>
          <w:r>
            <w:rPr>
              <w:rFonts w:hint="eastAsia" w:ascii="仿宋_GB2312" w:hAnsi="仿宋_GB2312" w:eastAsia="仿宋_GB2312" w:cs="仿宋_GB2312"/>
              <w:bCs/>
              <w:sz w:val="28"/>
              <w:szCs w:val="44"/>
              <w:lang w:val="en-US" w:eastAsia="zh-CN"/>
            </w:rPr>
            <w:t>一</w:t>
          </w:r>
          <w:r>
            <w:rPr>
              <w:rFonts w:hint="eastAsia" w:ascii="仿宋_GB2312" w:hAnsi="仿宋_GB2312" w:eastAsia="仿宋_GB2312" w:cs="仿宋_GB2312"/>
              <w:bCs/>
              <w:sz w:val="28"/>
              <w:szCs w:val="44"/>
            </w:rPr>
            <w:t>）</w:t>
          </w:r>
          <w:r>
            <w:rPr>
              <w:rFonts w:hint="eastAsia" w:ascii="仿宋_GB2312" w:hAnsi="仿宋_GB2312" w:eastAsia="仿宋_GB2312" w:cs="仿宋_GB2312"/>
              <w:bCs/>
              <w:sz w:val="28"/>
              <w:szCs w:val="44"/>
              <w:lang w:val="en-US" w:eastAsia="zh-CN"/>
            </w:rPr>
            <w:t>存在的问题</w:t>
          </w:r>
          <w:r>
            <w:rPr>
              <w:rFonts w:hint="eastAsia" w:ascii="仿宋_GB2312" w:hAnsi="仿宋_GB2312" w:eastAsia="仿宋_GB2312" w:cs="仿宋_GB2312"/>
              <w:sz w:val="28"/>
              <w:szCs w:val="32"/>
            </w:rPr>
            <w:tab/>
          </w:r>
          <w:r>
            <w:rPr>
              <w:rFonts w:hint="eastAsia" w:ascii="Calibri" w:hAnsi="Calibri" w:eastAsia="宋体" w:cs="黑体"/>
              <w:kern w:val="2"/>
              <w:sz w:val="28"/>
              <w:szCs w:val="32"/>
              <w:lang w:val="en-US" w:eastAsia="zh-CN" w:bidi="ar-SA"/>
            </w:rPr>
            <w:fldChar w:fldCharType="begin"/>
          </w:r>
          <w:r>
            <w:rPr>
              <w:rFonts w:hint="eastAsia" w:ascii="Calibri" w:hAnsi="Calibri" w:eastAsia="宋体" w:cs="黑体"/>
              <w:kern w:val="2"/>
              <w:sz w:val="28"/>
              <w:szCs w:val="32"/>
              <w:lang w:val="en-US" w:eastAsia="zh-CN" w:bidi="ar-SA"/>
            </w:rPr>
            <w:instrText xml:space="preserve"> PAGEREF _Toc24424 \h </w:instrText>
          </w:r>
          <w:r>
            <w:rPr>
              <w:rFonts w:hint="eastAsia" w:ascii="Calibri" w:hAnsi="Calibri" w:eastAsia="宋体" w:cs="黑体"/>
              <w:kern w:val="2"/>
              <w:sz w:val="28"/>
              <w:szCs w:val="32"/>
              <w:lang w:val="en-US" w:eastAsia="zh-CN" w:bidi="ar-SA"/>
            </w:rPr>
            <w:fldChar w:fldCharType="separate"/>
          </w:r>
          <w:r>
            <w:rPr>
              <w:rFonts w:hint="eastAsia" w:ascii="Calibri" w:hAnsi="Calibri" w:eastAsia="宋体" w:cs="黑体"/>
              <w:kern w:val="2"/>
              <w:sz w:val="28"/>
              <w:szCs w:val="32"/>
              <w:lang w:val="en-US" w:eastAsia="zh-CN" w:bidi="ar-SA"/>
            </w:rPr>
            <w:t>- 15 -</w:t>
          </w:r>
          <w:r>
            <w:rPr>
              <w:rFonts w:hint="eastAsia" w:ascii="Calibri" w:hAnsi="Calibri" w:eastAsia="宋体" w:cs="黑体"/>
              <w:kern w:val="2"/>
              <w:sz w:val="28"/>
              <w:szCs w:val="32"/>
              <w:lang w:val="en-US" w:eastAsia="zh-CN" w:bidi="ar-SA"/>
            </w:rPr>
            <w:fldChar w:fldCharType="end"/>
          </w:r>
          <w:r>
            <w:rPr>
              <w:rFonts w:hint="eastAsia" w:ascii="仿宋_GB2312" w:hAnsi="仿宋_GB2312" w:eastAsia="仿宋_GB2312" w:cs="仿宋_GB2312"/>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_Toc12390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rPr>
            <w:t>（二）针对问题提出具体的改进措施或建议</w:t>
          </w:r>
          <w:r>
            <w:rPr>
              <w:rFonts w:hint="eastAsia" w:ascii="仿宋_GB2312" w:hAnsi="仿宋_GB2312" w:eastAsia="仿宋_GB2312" w:cs="仿宋_GB2312"/>
              <w:sz w:val="28"/>
              <w:szCs w:val="32"/>
            </w:rPr>
            <w:tab/>
          </w:r>
          <w:r>
            <w:rPr>
              <w:rFonts w:hint="eastAsia" w:ascii="Calibri" w:hAnsi="Calibri" w:eastAsia="宋体" w:cs="黑体"/>
              <w:kern w:val="2"/>
              <w:sz w:val="28"/>
              <w:szCs w:val="32"/>
              <w:lang w:val="en-US" w:eastAsia="zh-CN" w:bidi="ar-SA"/>
            </w:rPr>
            <w:fldChar w:fldCharType="begin"/>
          </w:r>
          <w:r>
            <w:rPr>
              <w:rFonts w:hint="eastAsia" w:ascii="Calibri" w:hAnsi="Calibri" w:eastAsia="宋体" w:cs="黑体"/>
              <w:kern w:val="2"/>
              <w:sz w:val="28"/>
              <w:szCs w:val="32"/>
              <w:lang w:val="en-US" w:eastAsia="zh-CN" w:bidi="ar-SA"/>
            </w:rPr>
            <w:instrText xml:space="preserve"> PAGEREF _Toc12390 \h </w:instrText>
          </w:r>
          <w:r>
            <w:rPr>
              <w:rFonts w:hint="eastAsia" w:ascii="Calibri" w:hAnsi="Calibri" w:eastAsia="宋体" w:cs="黑体"/>
              <w:kern w:val="2"/>
              <w:sz w:val="28"/>
              <w:szCs w:val="32"/>
              <w:lang w:val="en-US" w:eastAsia="zh-CN" w:bidi="ar-SA"/>
            </w:rPr>
            <w:fldChar w:fldCharType="separate"/>
          </w:r>
          <w:r>
            <w:rPr>
              <w:rFonts w:hint="eastAsia" w:ascii="Calibri" w:hAnsi="Calibri" w:eastAsia="宋体" w:cs="黑体"/>
              <w:kern w:val="2"/>
              <w:sz w:val="28"/>
              <w:szCs w:val="32"/>
              <w:lang w:val="en-US" w:eastAsia="zh-CN" w:bidi="ar-SA"/>
            </w:rPr>
            <w:t>- 15 -</w:t>
          </w:r>
          <w:r>
            <w:rPr>
              <w:rFonts w:hint="eastAsia" w:ascii="Calibri" w:hAnsi="Calibri" w:eastAsia="宋体" w:cs="黑体"/>
              <w:kern w:val="2"/>
              <w:sz w:val="28"/>
              <w:szCs w:val="32"/>
              <w:lang w:val="en-US" w:eastAsia="zh-CN" w:bidi="ar-SA"/>
            </w:rPr>
            <w:fldChar w:fldCharType="end"/>
          </w:r>
          <w:r>
            <w:rPr>
              <w:rFonts w:hint="eastAsia" w:ascii="仿宋_GB2312" w:hAnsi="仿宋_GB2312" w:eastAsia="仿宋_GB2312" w:cs="仿宋_GB2312"/>
              <w:bCs/>
              <w:sz w:val="28"/>
              <w:szCs w:val="56"/>
              <w:lang w:eastAsia="zh-CN"/>
            </w:rPr>
            <w:fldChar w:fldCharType="end"/>
          </w:r>
        </w:p>
        <w:p>
          <w:pPr>
            <w:pStyle w:val="9"/>
            <w:pageBreakBefore w:val="0"/>
            <w:tabs>
              <w:tab w:val="right" w:leader="dot" w:pos="8845"/>
            </w:tabs>
            <w:kinsoku/>
            <w:wordWrap/>
            <w:overflowPunct/>
            <w:topLinePunct w:val="0"/>
            <w:autoSpaceDE/>
            <w:autoSpaceDN/>
            <w:bidi w:val="0"/>
            <w:spacing w:line="578" w:lineRule="exact"/>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_Toc21273 </w:instrText>
          </w:r>
          <w:r>
            <w:rPr>
              <w:rFonts w:hint="eastAsia" w:ascii="宋体" w:hAnsi="宋体" w:cs="宋体"/>
              <w:bCs/>
              <w:sz w:val="28"/>
              <w:szCs w:val="56"/>
              <w:lang w:eastAsia="zh-CN"/>
            </w:rPr>
            <w:fldChar w:fldCharType="separate"/>
          </w:r>
          <w:r>
            <w:rPr>
              <w:rFonts w:hint="eastAsia" w:ascii="黑体" w:hAnsi="黑体" w:eastAsia="黑体" w:cs="黑体"/>
              <w:sz w:val="28"/>
              <w:szCs w:val="44"/>
              <w:lang w:val="en-US" w:eastAsia="zh-CN"/>
            </w:rPr>
            <w:t>六</w:t>
          </w:r>
          <w:r>
            <w:rPr>
              <w:rFonts w:hint="eastAsia" w:ascii="黑体" w:hAnsi="黑体" w:eastAsia="黑体" w:cs="黑体"/>
              <w:sz w:val="28"/>
              <w:szCs w:val="44"/>
            </w:rPr>
            <w:t>、</w:t>
          </w:r>
          <w:r>
            <w:rPr>
              <w:rFonts w:hint="eastAsia" w:ascii="黑体" w:hAnsi="黑体" w:eastAsia="黑体" w:cs="黑体"/>
              <w:sz w:val="28"/>
              <w:szCs w:val="44"/>
              <w:highlight w:val="none"/>
            </w:rPr>
            <w:t>评价工作组人员名单</w:t>
          </w:r>
          <w:r>
            <w:rPr>
              <w:rFonts w:hint="eastAsia" w:ascii="黑体" w:hAnsi="黑体" w:eastAsia="黑体" w:cs="黑体"/>
              <w:sz w:val="28"/>
              <w:szCs w:val="44"/>
            </w:rPr>
            <w:t>及签字</w:t>
          </w:r>
          <w:r>
            <w:rPr>
              <w:sz w:val="28"/>
              <w:szCs w:val="32"/>
            </w:rPr>
            <w:tab/>
          </w:r>
          <w:r>
            <w:rPr>
              <w:sz w:val="28"/>
              <w:szCs w:val="32"/>
            </w:rPr>
            <w:fldChar w:fldCharType="begin"/>
          </w:r>
          <w:r>
            <w:rPr>
              <w:sz w:val="28"/>
              <w:szCs w:val="32"/>
            </w:rPr>
            <w:instrText xml:space="preserve"> PAGEREF _Toc21273 \h </w:instrText>
          </w:r>
          <w:r>
            <w:rPr>
              <w:sz w:val="28"/>
              <w:szCs w:val="32"/>
            </w:rPr>
            <w:fldChar w:fldCharType="separate"/>
          </w:r>
          <w:r>
            <w:rPr>
              <w:sz w:val="28"/>
              <w:szCs w:val="32"/>
            </w:rPr>
            <w:t>- 16 -</w:t>
          </w:r>
          <w:r>
            <w:rPr>
              <w:sz w:val="28"/>
              <w:szCs w:val="32"/>
            </w:rPr>
            <w:fldChar w:fldCharType="end"/>
          </w:r>
          <w:r>
            <w:rPr>
              <w:rFonts w:hint="eastAsia" w:ascii="宋体" w:hAnsi="宋体" w:cs="宋体"/>
              <w:bCs/>
              <w:sz w:val="28"/>
              <w:szCs w:val="56"/>
              <w:lang w:eastAsia="zh-CN"/>
            </w:rPr>
            <w:fldChar w:fldCharType="end"/>
          </w:r>
        </w:p>
        <w:p>
          <w:pPr>
            <w:pStyle w:val="5"/>
            <w:pageBreakBefore w:val="0"/>
            <w:kinsoku/>
            <w:wordWrap/>
            <w:overflowPunct/>
            <w:topLinePunct w:val="0"/>
            <w:autoSpaceDE/>
            <w:autoSpaceDN/>
            <w:bidi w:val="0"/>
            <w:spacing w:before="0" w:after="0" w:line="578" w:lineRule="exact"/>
            <w:ind w:left="0" w:leftChars="0" w:right="0" w:rightChars="0" w:firstLine="0" w:firstLineChars="0"/>
            <w:jc w:val="center"/>
            <w:outlineLvl w:val="9"/>
            <w:rPr>
              <w:rFonts w:hint="eastAsia" w:ascii="宋体" w:hAnsi="宋体" w:cs="宋体"/>
              <w:b/>
              <w:bCs/>
              <w:sz w:val="44"/>
              <w:szCs w:val="44"/>
              <w:lang w:eastAsia="zh-CN"/>
            </w:rPr>
          </w:pPr>
          <w:r>
            <w:rPr>
              <w:rFonts w:hint="eastAsia" w:ascii="宋体" w:hAnsi="宋体" w:cs="宋体"/>
              <w:bCs/>
              <w:szCs w:val="44"/>
              <w:lang w:eastAsia="zh-CN"/>
            </w:rPr>
            <w:fldChar w:fldCharType="end"/>
          </w:r>
        </w:p>
      </w:sdtContent>
    </w:sdt>
    <w:p>
      <w:pPr>
        <w:pageBreakBefore w:val="0"/>
        <w:kinsoku/>
        <w:wordWrap/>
        <w:overflowPunct/>
        <w:topLinePunct w:val="0"/>
        <w:autoSpaceDE/>
        <w:autoSpaceDN/>
        <w:bidi w:val="0"/>
        <w:spacing w:line="578" w:lineRule="exact"/>
        <w:rPr>
          <w:rFonts w:hint="eastAsia" w:ascii="宋体" w:hAnsi="宋体" w:cs="宋体"/>
          <w:b/>
          <w:bCs/>
          <w:sz w:val="44"/>
          <w:szCs w:val="44"/>
          <w:lang w:eastAsia="zh-CN"/>
        </w:rPr>
      </w:pPr>
    </w:p>
    <w:p>
      <w:pPr>
        <w:pStyle w:val="5"/>
        <w:pageBreakBefore w:val="0"/>
        <w:kinsoku/>
        <w:wordWrap/>
        <w:overflowPunct/>
        <w:topLinePunct w:val="0"/>
        <w:autoSpaceDE/>
        <w:autoSpaceDN/>
        <w:bidi w:val="0"/>
        <w:spacing w:before="0" w:after="0" w:line="578" w:lineRule="exact"/>
        <w:outlineLvl w:val="9"/>
        <w:rPr>
          <w:rFonts w:hint="eastAsia" w:ascii="宋体" w:hAnsi="宋体" w:cs="宋体"/>
          <w:b/>
          <w:bCs/>
          <w:sz w:val="44"/>
          <w:szCs w:val="44"/>
          <w:lang w:eastAsia="zh-CN"/>
        </w:rPr>
        <w:sectPr>
          <w:headerReference r:id="rId4" w:type="default"/>
          <w:footerReference r:id="rId5" w:type="default"/>
          <w:pgSz w:w="11906" w:h="16838"/>
          <w:pgMar w:top="1440" w:right="1474" w:bottom="1440" w:left="1587" w:header="851" w:footer="992" w:gutter="0"/>
          <w:pgNumType w:fmt="numberInDash"/>
          <w:cols w:space="0" w:num="1"/>
          <w:rtlGutter w:val="0"/>
          <w:docGrid w:type="lines" w:linePitch="312" w:charSpace="0"/>
        </w:sectPr>
      </w:pPr>
    </w:p>
    <w:p>
      <w:pPr>
        <w:pageBreakBefore w:val="0"/>
        <w:kinsoku/>
        <w:wordWrap/>
        <w:overflowPunct/>
        <w:topLinePunct w:val="0"/>
        <w:autoSpaceDE/>
        <w:autoSpaceDN/>
        <w:bidi w:val="0"/>
        <w:spacing w:line="578" w:lineRule="exact"/>
        <w:rPr>
          <w:rFonts w:hint="eastAsia"/>
          <w:lang w:eastAsia="zh-CN"/>
        </w:rPr>
      </w:pPr>
    </w:p>
    <w:p>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hint="eastAsia" w:ascii="宋体" w:hAnsi="宋体" w:eastAsia="宋体" w:cs="宋体"/>
          <w:b/>
          <w:bCs/>
          <w:sz w:val="44"/>
          <w:szCs w:val="44"/>
          <w:lang w:eastAsia="zh-CN"/>
        </w:rPr>
      </w:pPr>
      <w:r>
        <w:rPr>
          <w:rFonts w:hint="eastAsia" w:ascii="宋体" w:hAnsi="宋体" w:cs="宋体"/>
          <w:b/>
          <w:bCs/>
          <w:sz w:val="44"/>
          <w:szCs w:val="44"/>
          <w:lang w:val="en-US" w:eastAsia="zh-CN"/>
        </w:rPr>
        <w:t>石家庄市卫生健康委员会</w:t>
      </w:r>
    </w:p>
    <w:p>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hint="eastAsia" w:ascii="宋体" w:hAnsi="宋体" w:cs="宋体"/>
          <w:b/>
          <w:bCs/>
          <w:sz w:val="44"/>
          <w:szCs w:val="44"/>
        </w:rPr>
      </w:pPr>
      <w:bookmarkStart w:id="0" w:name="_Toc6783"/>
      <w:bookmarkStart w:id="1" w:name="_Toc22577"/>
      <w:r>
        <w:rPr>
          <w:rFonts w:hint="eastAsia" w:ascii="宋体" w:hAnsi="宋体" w:eastAsia="宋体" w:cs="宋体"/>
          <w:b/>
          <w:bCs/>
          <w:sz w:val="44"/>
          <w:szCs w:val="44"/>
          <w:lang w:val="en-US" w:eastAsia="zh-CN"/>
        </w:rPr>
        <w:t>202</w:t>
      </w:r>
      <w:r>
        <w:rPr>
          <w:rFonts w:hint="eastAsia" w:ascii="宋体" w:hAnsi="宋体" w:cs="宋体"/>
          <w:b/>
          <w:bCs/>
          <w:sz w:val="44"/>
          <w:szCs w:val="44"/>
          <w:lang w:val="en-US" w:eastAsia="zh-CN"/>
        </w:rPr>
        <w:t>3</w:t>
      </w:r>
      <w:r>
        <w:rPr>
          <w:rFonts w:hint="eastAsia" w:ascii="宋体" w:hAnsi="宋体" w:eastAsia="宋体" w:cs="宋体"/>
          <w:b/>
          <w:bCs/>
          <w:sz w:val="44"/>
          <w:szCs w:val="44"/>
          <w:lang w:val="en-US" w:eastAsia="zh-CN"/>
        </w:rPr>
        <w:t>年度</w:t>
      </w:r>
      <w:r>
        <w:rPr>
          <w:rFonts w:hint="eastAsia" w:ascii="宋体" w:hAnsi="宋体" w:cs="宋体"/>
          <w:b/>
          <w:bCs/>
          <w:sz w:val="44"/>
          <w:szCs w:val="44"/>
          <w:lang w:val="en-US" w:eastAsia="zh-CN"/>
        </w:rPr>
        <w:t>部门</w:t>
      </w:r>
      <w:r>
        <w:rPr>
          <w:rFonts w:hint="eastAsia" w:ascii="宋体" w:hAnsi="宋体" w:eastAsia="宋体" w:cs="宋体"/>
          <w:b/>
          <w:bCs/>
          <w:sz w:val="44"/>
          <w:szCs w:val="44"/>
          <w:lang w:val="en-US" w:eastAsia="zh-CN"/>
        </w:rPr>
        <w:t>整体支出</w:t>
      </w:r>
      <w:bookmarkEnd w:id="0"/>
      <w:bookmarkEnd w:id="1"/>
      <w:bookmarkStart w:id="2" w:name="_Toc9764"/>
      <w:bookmarkStart w:id="3" w:name="_Toc15596"/>
      <w:r>
        <w:rPr>
          <w:rFonts w:hint="eastAsia" w:ascii="宋体" w:hAnsi="宋体" w:eastAsia="宋体" w:cs="宋体"/>
          <w:b/>
          <w:bCs/>
          <w:sz w:val="44"/>
          <w:szCs w:val="44"/>
          <w:lang w:val="en-US" w:eastAsia="zh-CN"/>
        </w:rPr>
        <w:t>绩效</w:t>
      </w:r>
      <w:r>
        <w:rPr>
          <w:rFonts w:hint="eastAsia" w:ascii="宋体" w:hAnsi="宋体" w:eastAsia="宋体" w:cs="宋体"/>
          <w:b/>
          <w:bCs/>
          <w:sz w:val="44"/>
          <w:szCs w:val="44"/>
          <w:lang w:eastAsia="zh-CN"/>
        </w:rPr>
        <w:t>自</w:t>
      </w:r>
      <w:r>
        <w:rPr>
          <w:rFonts w:hint="eastAsia" w:ascii="宋体" w:hAnsi="宋体" w:cs="宋体"/>
          <w:b/>
          <w:bCs/>
          <w:sz w:val="44"/>
          <w:szCs w:val="44"/>
        </w:rPr>
        <w:t>评报告</w:t>
      </w:r>
      <w:bookmarkEnd w:id="2"/>
      <w:bookmarkEnd w:id="3"/>
    </w:p>
    <w:p>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eastAsia="zh-CN"/>
        </w:rPr>
        <w:t>市委市政府《关于全面落实预算绩效管理的实施意见》（石发﹝</w:t>
      </w:r>
      <w:r>
        <w:rPr>
          <w:rFonts w:hint="eastAsia" w:ascii="仿宋_GB2312" w:hAnsi="仿宋_GB2312" w:eastAsia="仿宋_GB2312" w:cs="仿宋_GB2312"/>
          <w:sz w:val="32"/>
          <w:szCs w:val="32"/>
          <w:lang w:val="en-US" w:eastAsia="zh-CN"/>
        </w:rPr>
        <w:t>2019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文件精神，遵循“科学性、规范性、客观性和公正性”的原则，</w:t>
      </w:r>
      <w:r>
        <w:rPr>
          <w:rFonts w:hint="eastAsia" w:ascii="仿宋_GB2312" w:hAnsi="仿宋_GB2312" w:eastAsia="仿宋_GB2312" w:cs="仿宋_GB2312"/>
          <w:sz w:val="32"/>
          <w:szCs w:val="32"/>
          <w:lang w:val="en-US" w:eastAsia="zh-CN"/>
        </w:rPr>
        <w:t>石家庄市卫生健康委员会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以下简称“我委”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对2023年部门</w:t>
      </w:r>
      <w:r>
        <w:rPr>
          <w:rFonts w:hint="eastAsia" w:ascii="仿宋_GB2312" w:hAnsi="仿宋_GB2312" w:eastAsia="仿宋_GB2312" w:cs="仿宋_GB2312"/>
          <w:sz w:val="32"/>
          <w:szCs w:val="32"/>
          <w:lang w:eastAsia="zh-CN"/>
        </w:rPr>
        <w:t>整体支出情况</w:t>
      </w:r>
      <w:r>
        <w:rPr>
          <w:rFonts w:hint="eastAsia" w:ascii="仿宋_GB2312" w:hAnsi="仿宋_GB2312" w:eastAsia="仿宋_GB2312" w:cs="仿宋_GB2312"/>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0"/>
        <w:rPr>
          <w:rFonts w:ascii="黑体" w:hAnsi="黑体" w:eastAsia="黑体"/>
          <w:b/>
          <w:bCs/>
          <w:sz w:val="32"/>
          <w:szCs w:val="32"/>
        </w:rPr>
      </w:pPr>
      <w:bookmarkStart w:id="4" w:name="_Toc25494"/>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2"/>
        </w:rPr>
        <w:t>基本情况</w:t>
      </w:r>
      <w:bookmarkEnd w:id="4"/>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1"/>
        <w:rPr>
          <w:rFonts w:hint="eastAsia" w:ascii="楷体" w:hAnsi="楷体" w:eastAsia="楷体" w:cs="楷体"/>
          <w:sz w:val="32"/>
          <w:szCs w:val="32"/>
        </w:rPr>
      </w:pPr>
      <w:bookmarkStart w:id="5" w:name="_Toc7026"/>
      <w:r>
        <w:rPr>
          <w:rFonts w:hint="eastAsia" w:ascii="楷体" w:hAnsi="楷体" w:eastAsia="楷体" w:cs="楷体"/>
          <w:sz w:val="32"/>
          <w:szCs w:val="32"/>
        </w:rPr>
        <w:t>（一）</w:t>
      </w:r>
      <w:r>
        <w:rPr>
          <w:rFonts w:hint="eastAsia" w:ascii="楷体" w:hAnsi="楷体" w:eastAsia="楷体" w:cs="楷体"/>
          <w:sz w:val="32"/>
          <w:szCs w:val="32"/>
          <w:lang w:eastAsia="zh-CN"/>
        </w:rPr>
        <w:t>部门</w:t>
      </w:r>
      <w:r>
        <w:rPr>
          <w:rFonts w:hint="eastAsia" w:ascii="楷体" w:hAnsi="楷体" w:eastAsia="楷体" w:cs="楷体"/>
          <w:sz w:val="32"/>
          <w:szCs w:val="32"/>
        </w:rPr>
        <w:t>概况</w:t>
      </w:r>
      <w:bookmarkEnd w:id="5"/>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1.部门职责</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负责起草卫生健康、中医药事业发展地方性法规、政府规章草案，拟定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（3）制定并组织落实疾病预防控制规划、国家免疫规划以及危害人民健康的公共卫生问题的干预措施。负责卫生应急工作，组织指导突发公共卫生事件的预防控制和各类突发公共事件的医疗卫生救援。</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（4）组织拟定并协调落实应对人口老龄化政策措施，负责推进老年健康服务体系建设和医养结合工作。</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组织实施国家基本药物政策和国家基本药物制度，开展药品使用监测、临床综合评价和短缺药品预警，提出全市基本药物价格政策的建议，参与拟订药品地方性法规、政府规章草案。配合省卫生健康委做好食品安全风险监测和食品安全地方标准跟踪评价工作。</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负责职责范围内的职业卫生、放射卫生、环境卫生、学校卫生、公共场所卫生、饮用水卫生等公共卫生的监督管理，负责传染病防治监督，健全卫生健康综合监督体系。牵头《烟草控制框架公约》履约工作。</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（8）负责计划生育管理和服务工作，开展人口监测预警，研究提出人口与家庭发展相关政策建议，落实计划生育政策。</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（9）负责全市卫生健康工作，负责基层医疗卫生、妇幼健康服务体系和全科医生队伍建设。推进卫生健康科技创新发展。</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（10）拟订中医药中长期发展规划，并纳入卫生健康事业发展总体规划和战略目标。</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（11）负责市保健对象的医疗保健工作，负责市直部门有关干部医疗管理工作，负责重要会议与重大活动的医疗卫生保障工作。</w:t>
      </w:r>
    </w:p>
    <w:p>
      <w:pPr>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val="en-US" w:eastAsia="zh-CN"/>
        </w:rPr>
        <w:t>（12）承办市委、市政府交办的其他事项。</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2.资产情况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val="en-US" w:eastAsia="zh-CN"/>
        </w:rPr>
        <w:t>我委资产管理</w:t>
      </w:r>
      <w:r>
        <w:rPr>
          <w:rFonts w:hint="eastAsia" w:ascii="仿宋_GB2312" w:hAnsi="仿宋_GB2312" w:eastAsia="仿宋_GB2312" w:cs="仿宋_GB2312"/>
          <w:sz w:val="32"/>
          <w:szCs w:val="32"/>
          <w:lang w:eastAsia="zh-CN"/>
        </w:rPr>
        <w:t>依照政府采购目录进行政府采购，加强固定资产登记、使用和报废处置管理，做到支出合理，物尽其用。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highlight w:val="none"/>
          <w:lang w:val="en-US" w:eastAsia="zh-CN"/>
        </w:rPr>
        <w:t>截止2023年底，我委共有资产</w:t>
      </w:r>
      <w:r>
        <w:rPr>
          <w:rFonts w:hint="eastAsia" w:ascii="仿宋_GB2312" w:hAnsi="仿宋_GB2312" w:eastAsia="仿宋_GB2312" w:cs="仿宋_GB2312"/>
          <w:kern w:val="2"/>
          <w:sz w:val="32"/>
          <w:szCs w:val="32"/>
          <w:highlight w:val="none"/>
          <w:lang w:val="en-US" w:eastAsia="zh-CN"/>
        </w:rPr>
        <w:t>1144267.90</w:t>
      </w:r>
      <w:r>
        <w:rPr>
          <w:rFonts w:hint="eastAsia" w:ascii="仿宋_GB2312" w:hAnsi="仿宋_GB2312" w:eastAsia="仿宋_GB2312" w:cs="仿宋_GB2312"/>
          <w:sz w:val="32"/>
          <w:szCs w:val="32"/>
          <w:highlight w:val="none"/>
          <w:lang w:val="en-US" w:eastAsia="zh-CN"/>
        </w:rPr>
        <w:t>万元，其中货币资金221230.79万元；固定资产净值572581.50万元（较年初增加173326.62万元，原值923037.11万元、累计折旧350455.61万元）。固定资产原值情况如下：</w:t>
      </w:r>
    </w:p>
    <w:tbl>
      <w:tblPr>
        <w:tblStyle w:val="11"/>
        <w:tblW w:w="0" w:type="auto"/>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54"/>
        <w:gridCol w:w="1296"/>
        <w:gridCol w:w="1145"/>
        <w:gridCol w:w="1268"/>
        <w:gridCol w:w="1132"/>
        <w:gridCol w:w="1159"/>
        <w:gridCol w:w="11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2" w:hRule="atLeast"/>
        </w:trPr>
        <w:tc>
          <w:tcPr>
            <w:tcW w:w="1854" w:type="dxa"/>
            <w:vMerge w:val="restart"/>
            <w:tcBorders>
              <w:top w:val="single" w:color="000000" w:sz="4" w:space="0"/>
              <w:left w:val="single" w:color="000000" w:sz="4" w:space="0"/>
              <w:bottom w:val="single" w:color="000000" w:sz="4" w:space="0"/>
              <w:right w:val="single" w:color="000000" w:sz="4" w:space="0"/>
              <w:tl2br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44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年初数</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年末数</w:t>
            </w:r>
          </w:p>
        </w:tc>
        <w:tc>
          <w:tcPr>
            <w:tcW w:w="22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增量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 w:hRule="atLeast"/>
        </w:trPr>
        <w:tc>
          <w:tcPr>
            <w:tcW w:w="1854" w:type="dxa"/>
            <w:vMerge w:val="continue"/>
            <w:tcBorders>
              <w:top w:val="single" w:color="000000" w:sz="4" w:space="0"/>
              <w:left w:val="single" w:color="000000" w:sz="4" w:space="0"/>
              <w:bottom w:val="single" w:color="000000" w:sz="4" w:space="0"/>
              <w:right w:val="single" w:color="000000" w:sz="4" w:space="0"/>
              <w:tl2br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2" w:hRule="atLeast"/>
        </w:trPr>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固定资产原值</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724194.15 </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923037.11 </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198842.96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 w:hRule="atLeast"/>
        </w:trPr>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其中：房屋（平方米）</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651,127.39</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288434.74 </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913,026.79</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381967.45 </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261899.4</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93532.70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 w:hRule="atLeast"/>
        </w:trPr>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1.办公用房</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87,968.05</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30007.48 </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80,680.91</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34993.53 </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-7287.14</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4986.05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2" w:hRule="atLeast"/>
        </w:trPr>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2.业务用房</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557,605.18</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257061.05 </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826,722.53</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345534.53 </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269117.35</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88473.48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2" w:hRule="atLeast"/>
        </w:trPr>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3.其他（不含构筑物）</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5,554.16</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1366.21 </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5,623.35</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1439.39 </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69.19</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73.17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2" w:hRule="atLeast"/>
        </w:trPr>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车辆（台、辆）</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216</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5930.23 </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5909.37 </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-20.86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 w:hRule="atLeast"/>
        </w:trPr>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1.轿车</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410.49 </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576.29 </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165.79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 w:hRule="atLeast"/>
        </w:trPr>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2.越野车</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65.65 </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84.21 </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18.56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 w:hRule="atLeast"/>
        </w:trPr>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3.小型客车</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252.46 </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366.61 </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114.15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 w:hRule="atLeast"/>
        </w:trPr>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4.中型客车和大型客车</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0.00 </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34.20 </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34.20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2" w:hRule="atLeast"/>
        </w:trPr>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5.其他车型</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178</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5201.63 </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161</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4848.06 </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-353.57 </w:t>
            </w:r>
          </w:p>
        </w:tc>
      </w:tr>
    </w:tbl>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textAlignment w:val="auto"/>
        <w:outlineLvl w:val="9"/>
        <w:rPr>
          <w:rFonts w:hint="eastAsia" w:ascii="仿宋" w:hAnsi="仿宋" w:eastAsia="仿宋" w:cs="楷体_GB2312"/>
          <w:b/>
          <w:bCs/>
          <w:sz w:val="32"/>
          <w:szCs w:val="32"/>
          <w:highlight w:val="yellow"/>
          <w:lang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楷体" w:hAnsi="楷体" w:eastAsia="楷体" w:cs="楷体"/>
          <w:b w:val="0"/>
          <w:bCs w:val="0"/>
          <w:sz w:val="32"/>
          <w:szCs w:val="32"/>
          <w:highlight w:val="none"/>
          <w:lang w:eastAsia="zh-CN"/>
        </w:rPr>
      </w:pPr>
      <w:bookmarkStart w:id="6" w:name="_Toc25571"/>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1"/>
        <w:rPr>
          <w:rFonts w:hint="eastAsia" w:ascii="楷体" w:hAnsi="楷体" w:eastAsia="楷体" w:cs="楷体"/>
          <w:b w:val="0"/>
          <w:bCs w:val="0"/>
          <w:kern w:val="2"/>
          <w:sz w:val="32"/>
          <w:szCs w:val="32"/>
          <w:highlight w:val="none"/>
        </w:rPr>
      </w:pPr>
      <w:r>
        <w:rPr>
          <w:rFonts w:hint="eastAsia" w:ascii="楷体" w:hAnsi="楷体" w:eastAsia="楷体" w:cs="楷体"/>
          <w:b w:val="0"/>
          <w:bCs w:val="0"/>
          <w:sz w:val="32"/>
          <w:szCs w:val="32"/>
          <w:highlight w:val="none"/>
          <w:lang w:eastAsia="zh-CN"/>
        </w:rPr>
        <w:t>（</w:t>
      </w:r>
      <w:r>
        <w:rPr>
          <w:rFonts w:hint="eastAsia" w:ascii="楷体" w:hAnsi="楷体" w:eastAsia="楷体" w:cs="楷体"/>
          <w:b w:val="0"/>
          <w:bCs w:val="0"/>
          <w:sz w:val="32"/>
          <w:szCs w:val="32"/>
          <w:highlight w:val="none"/>
          <w:lang w:val="en-US" w:eastAsia="zh-CN"/>
        </w:rPr>
        <w:t>二</w:t>
      </w:r>
      <w:r>
        <w:rPr>
          <w:rFonts w:hint="eastAsia" w:ascii="楷体" w:hAnsi="楷体" w:eastAsia="楷体" w:cs="楷体"/>
          <w:b w:val="0"/>
          <w:bCs w:val="0"/>
          <w:sz w:val="32"/>
          <w:szCs w:val="32"/>
          <w:highlight w:val="none"/>
          <w:lang w:eastAsia="zh-CN"/>
        </w:rPr>
        <w:t>）部门收支预决算情况</w:t>
      </w:r>
      <w:bookmarkEnd w:id="6"/>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yellow"/>
          <w:lang w:val="en-US" w:eastAsia="zh-CN"/>
        </w:rPr>
      </w:pPr>
      <w:r>
        <w:rPr>
          <w:rFonts w:hint="eastAsia" w:ascii="仿宋_GB2312" w:hAnsi="仿宋_GB2312" w:eastAsia="仿宋_GB2312" w:cs="仿宋_GB2312"/>
          <w:sz w:val="32"/>
          <w:szCs w:val="32"/>
          <w:highlight w:val="none"/>
          <w:lang w:val="en-US" w:eastAsia="zh-CN"/>
        </w:rPr>
        <w:t>2023年我委</w:t>
      </w:r>
      <w:r>
        <w:rPr>
          <w:rFonts w:hint="eastAsia" w:ascii="仿宋_GB2312" w:hAnsi="仿宋_GB2312" w:eastAsia="仿宋_GB2312" w:cs="仿宋_GB2312"/>
          <w:kern w:val="2"/>
          <w:sz w:val="32"/>
          <w:szCs w:val="32"/>
          <w:highlight w:val="none"/>
          <w:lang w:val="en-US" w:eastAsia="zh-CN"/>
        </w:rPr>
        <w:t>年初</w:t>
      </w:r>
      <w:r>
        <w:rPr>
          <w:rFonts w:hint="eastAsia" w:ascii="仿宋_GB2312" w:hAnsi="仿宋_GB2312" w:eastAsia="仿宋_GB2312" w:cs="仿宋_GB2312"/>
          <w:kern w:val="2"/>
          <w:sz w:val="32"/>
          <w:szCs w:val="32"/>
          <w:highlight w:val="none"/>
        </w:rPr>
        <w:t>预算</w:t>
      </w:r>
      <w:r>
        <w:rPr>
          <w:rFonts w:hint="eastAsia" w:ascii="仿宋_GB2312" w:hAnsi="仿宋_GB2312" w:eastAsia="仿宋_GB2312" w:cs="仿宋_GB2312"/>
          <w:kern w:val="2"/>
          <w:sz w:val="32"/>
          <w:szCs w:val="32"/>
          <w:highlight w:val="none"/>
          <w:lang w:val="en-US" w:eastAsia="zh-CN"/>
        </w:rPr>
        <w:t>收入860455.63万元、预算调整收入928364.87万元、年度决算收入928361.64万元、年度支出数826150.18</w:t>
      </w:r>
      <w:r>
        <w:rPr>
          <w:rFonts w:hint="eastAsia" w:ascii="仿宋_GB2312" w:hAnsi="仿宋_GB2312" w:eastAsia="仿宋_GB2312" w:cs="仿宋_GB2312"/>
          <w:kern w:val="2"/>
          <w:sz w:val="32"/>
          <w:szCs w:val="32"/>
          <w:highlight w:val="none"/>
        </w:rPr>
        <w:t>万元</w:t>
      </w:r>
      <w:r>
        <w:rPr>
          <w:rFonts w:hint="eastAsia" w:ascii="仿宋_GB2312" w:hAnsi="仿宋_GB2312" w:eastAsia="仿宋_GB2312" w:cs="仿宋_GB2312"/>
          <w:kern w:val="2"/>
          <w:sz w:val="32"/>
          <w:szCs w:val="32"/>
          <w:highlight w:val="none"/>
          <w:lang w:eastAsia="zh-CN"/>
        </w:rPr>
        <w:t>、年度结余分配资金</w:t>
      </w:r>
      <w:r>
        <w:rPr>
          <w:rFonts w:hint="eastAsia" w:ascii="仿宋_GB2312" w:hAnsi="仿宋_GB2312" w:eastAsia="仿宋_GB2312" w:cs="仿宋_GB2312"/>
          <w:kern w:val="2"/>
          <w:sz w:val="32"/>
          <w:szCs w:val="32"/>
          <w:highlight w:val="none"/>
          <w:lang w:val="en-US" w:eastAsia="zh-CN"/>
        </w:rPr>
        <w:t>14476.42万元</w:t>
      </w:r>
      <w:r>
        <w:rPr>
          <w:rFonts w:hint="eastAsia" w:ascii="仿宋_GB2312" w:hAnsi="仿宋_GB2312" w:eastAsia="仿宋_GB2312" w:cs="仿宋_GB2312"/>
          <w:kern w:val="2"/>
          <w:sz w:val="32"/>
          <w:szCs w:val="32"/>
          <w:highlight w:val="none"/>
          <w:lang w:eastAsia="zh-CN"/>
        </w:rPr>
        <w:t>、</w:t>
      </w:r>
      <w:r>
        <w:rPr>
          <w:rFonts w:hint="eastAsia" w:ascii="仿宋_GB2312" w:hAnsi="仿宋_GB2312" w:eastAsia="仿宋_GB2312" w:cs="仿宋_GB2312"/>
          <w:kern w:val="2"/>
          <w:sz w:val="32"/>
          <w:szCs w:val="32"/>
          <w:highlight w:val="none"/>
          <w:lang w:val="en-US" w:eastAsia="zh-CN"/>
        </w:rPr>
        <w:t>年度结转结余资金87735.04万元。具体情况如下：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none"/>
          <w:lang w:val="en-US" w:eastAsia="zh-CN"/>
        </w:rPr>
      </w:pPr>
      <w:r>
        <w:rPr>
          <w:rFonts w:hint="eastAsia" w:ascii="仿宋_GB2312" w:hAnsi="仿宋_GB2312" w:eastAsia="仿宋_GB2312" w:cs="仿宋_GB2312"/>
          <w:kern w:val="2"/>
          <w:sz w:val="32"/>
          <w:szCs w:val="32"/>
          <w:highlight w:val="none"/>
          <w:lang w:val="en-US" w:eastAsia="zh-CN"/>
        </w:rPr>
        <w:t>1.年初预算860455.63万元均为一般公共预算财政拨款收入，按资金支出性质分类：基本支出预算450316.86万元，其中人员经费348118.86万元、公用经费102198.01万元；项目支出预算410138.77万元。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none"/>
        </w:rPr>
      </w:pPr>
      <w:r>
        <w:rPr>
          <w:rFonts w:hint="eastAsia" w:ascii="仿宋_GB2312" w:hAnsi="仿宋_GB2312" w:eastAsia="仿宋_GB2312" w:cs="仿宋_GB2312"/>
          <w:kern w:val="2"/>
          <w:sz w:val="32"/>
          <w:szCs w:val="32"/>
          <w:highlight w:val="none"/>
          <w:lang w:val="en-US" w:eastAsia="zh-CN"/>
        </w:rPr>
        <w:t>2.预算调整收入928364.87万元，包含本年预算调整数821555.08万元，非财政拨款结余数4847.83万元，年初结转结余数101961.96万元，均为一般公共预算财政拨款收入</w:t>
      </w:r>
      <w:r>
        <w:rPr>
          <w:rFonts w:hint="eastAsia" w:ascii="仿宋_GB2312" w:hAnsi="仿宋_GB2312" w:eastAsia="仿宋_GB2312" w:cs="仿宋_GB2312"/>
          <w:kern w:val="2"/>
          <w:sz w:val="32"/>
          <w:szCs w:val="32"/>
          <w:highlight w:val="none"/>
        </w:rPr>
        <w:t>。</w:t>
      </w:r>
      <w:r>
        <w:rPr>
          <w:rFonts w:hint="eastAsia" w:ascii="仿宋_GB2312" w:hAnsi="仿宋_GB2312" w:eastAsia="仿宋_GB2312" w:cs="仿宋_GB2312"/>
          <w:kern w:val="2"/>
          <w:sz w:val="32"/>
          <w:szCs w:val="32"/>
          <w:highlight w:val="none"/>
          <w:lang w:val="en-US" w:eastAsia="zh-CN"/>
        </w:rPr>
        <w:t>按资金支出性质分类：基本支出预算817804.80万元，其中人员经费375360.27万元、公用经费442444.53万元；项目支出预算110560.07万元。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none"/>
        </w:rPr>
      </w:pPr>
      <w:r>
        <w:rPr>
          <w:rFonts w:hint="eastAsia" w:ascii="仿宋_GB2312" w:hAnsi="仿宋_GB2312" w:eastAsia="仿宋_GB2312" w:cs="仿宋_GB2312"/>
          <w:kern w:val="2"/>
          <w:sz w:val="32"/>
          <w:szCs w:val="32"/>
          <w:highlight w:val="none"/>
          <w:lang w:val="en-US" w:eastAsia="zh-CN"/>
        </w:rPr>
        <w:t>3.年度支出数826150.18</w:t>
      </w:r>
      <w:r>
        <w:rPr>
          <w:rFonts w:hint="eastAsia" w:ascii="仿宋_GB2312" w:hAnsi="仿宋_GB2312" w:eastAsia="仿宋_GB2312" w:cs="仿宋_GB2312"/>
          <w:kern w:val="2"/>
          <w:sz w:val="32"/>
          <w:szCs w:val="32"/>
          <w:highlight w:val="none"/>
        </w:rPr>
        <w:t>万元</w:t>
      </w:r>
      <w:r>
        <w:rPr>
          <w:rFonts w:hint="eastAsia" w:ascii="仿宋_GB2312" w:hAnsi="仿宋_GB2312" w:eastAsia="仿宋_GB2312" w:cs="仿宋_GB2312"/>
          <w:kern w:val="2"/>
          <w:sz w:val="32"/>
          <w:szCs w:val="32"/>
          <w:highlight w:val="none"/>
          <w:lang w:eastAsia="zh-CN"/>
        </w:rPr>
        <w:t>，</w:t>
      </w:r>
      <w:r>
        <w:rPr>
          <w:rFonts w:hint="eastAsia" w:ascii="仿宋_GB2312" w:hAnsi="仿宋_GB2312" w:eastAsia="仿宋_GB2312" w:cs="仿宋_GB2312"/>
          <w:kern w:val="2"/>
          <w:sz w:val="32"/>
          <w:szCs w:val="32"/>
          <w:highlight w:val="none"/>
          <w:lang w:val="en-US" w:eastAsia="zh-CN"/>
        </w:rPr>
        <w:t>按资金支出性质分类：基本支出729898.80万元，其中人员经费306097.16万元、公用经费423801.64万元；项目支出96251.38万元。</w:t>
      </w:r>
    </w:p>
    <w:p>
      <w:pPr>
        <w:keepNext w:val="0"/>
        <w:keepLines w:val="0"/>
        <w:pageBreakBefore w:val="0"/>
        <w:widowControl w:val="0"/>
        <w:kinsoku/>
        <w:wordWrap/>
        <w:overflowPunct/>
        <w:topLinePunct w:val="0"/>
        <w:autoSpaceDE/>
        <w:autoSpaceDN/>
        <w:bidi w:val="0"/>
        <w:spacing w:line="578" w:lineRule="exact"/>
        <w:ind w:left="0" w:firstLine="640" w:firstLineChars="200"/>
        <w:contextualSpacing/>
        <w:jc w:val="both"/>
        <w:textAlignment w:val="auto"/>
        <w:outlineLvl w:val="1"/>
        <w:rPr>
          <w:rFonts w:hint="eastAsia" w:ascii="楷体" w:hAnsi="楷体" w:eastAsia="楷体" w:cs="楷体"/>
          <w:b w:val="0"/>
          <w:bCs w:val="0"/>
          <w:sz w:val="32"/>
          <w:szCs w:val="32"/>
          <w:lang w:eastAsia="zh-CN"/>
        </w:rPr>
      </w:pPr>
      <w:bookmarkStart w:id="7" w:name="_Toc15733"/>
      <w:r>
        <w:rPr>
          <w:rFonts w:hint="eastAsia" w:ascii="楷体" w:hAnsi="楷体" w:eastAsia="楷体" w:cs="楷体"/>
          <w:b w:val="0"/>
          <w:bCs w:val="0"/>
          <w:sz w:val="32"/>
          <w:szCs w:val="32"/>
          <w:lang w:eastAsia="zh-CN"/>
        </w:rPr>
        <w:t>（三）部门整体支出绩效目标、指标</w:t>
      </w:r>
      <w:bookmarkEnd w:id="7"/>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1.整体绩效目标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我委继续坚持以习近平新时代中国特色社会主义思想为指导，紧紧围绕国家、省市重大决策部署，紧盯人民群众健康需求，坚持高质量发展主线，以加快推进健康石家庄建设为统领，持续用心用情用力，着力推进卫生健康事业高质量发展，加快把医疗资源优势转化为发展优势，努力全方位全周期保障人民健康，以更加优异的成绩为建设现代化、国家化美丽省会城市贡献力量。</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3"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2.分项绩效目标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kern w:val="2"/>
          <w:sz w:val="32"/>
          <w:szCs w:val="32"/>
          <w:highlight w:val="none"/>
          <w:lang w:val="en-US" w:eastAsia="zh-CN" w:bidi="ar-SA"/>
        </w:rPr>
        <w:t>（1）持续抓好疫情防控工作</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绩效目标：持续抓好疫情防控工作。</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①统筹全市医疗资源，全力推进定点医院、亚定点医院、发热门诊、重症救治床位等建设；</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②重点抓好医疗救治和医疗服务保障工作，确保满足群众医疗服务需求；</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③切实加强重点人员健康管理，全面掌握底数，建立台账，全力做好居家人员健康服务保障；</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sz w:val="32"/>
          <w:szCs w:val="32"/>
          <w:highlight w:val="none"/>
        </w:rPr>
      </w:pPr>
      <w:r>
        <w:rPr>
          <w:rFonts w:hint="eastAsia" w:ascii="仿宋_GB2312" w:hAnsi="仿宋_GB2312" w:eastAsia="仿宋_GB2312" w:cs="仿宋_GB2312"/>
          <w:kern w:val="2"/>
          <w:sz w:val="32"/>
          <w:szCs w:val="32"/>
          <w:highlight w:val="none"/>
          <w:lang w:val="en-US" w:eastAsia="zh-CN" w:bidi="ar-SA"/>
        </w:rPr>
        <w:t>④加快推进60岁以上重点人群疫苗接种和加强免疫工作，确保符合条件的人群应接尽接。</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（2）加快推进重点项目建设</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绩效目标：推进重点项目建设。</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①市传染病应急救治中心项目2023年底前完工投用；</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②市疾病预防控制中心整体迁建项目、市慢病防治中心、市智慧化创伤救治中心、市中医特色诊疗中心、北京大学人民医院石家庄医院项目力争年内开工建设。</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（3）大力实施“三名”工程</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绩效目标：大力实施三名工程。</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①扎实推进北京大学人民医院石家庄医院、天津中医药大学第一附属医院、首都儿研所附属儿童医院石家庄医院建设和高质量发展，充分发挥示范、引领和带动作用；</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②着力树名医，年内打造4个国家级名医工作室，引进5个高水平合作团队，柔性引进20名学科带头人或知名专家，引进医学博士不少于20名、硕士研究生不少于300名；</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③着力建名科，力争打造1～2个国家级临床（中医）重点专科或特色专科，加快形成省内领先、国内先进的重点专科（学科）群。</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（4）深化公立医院综合改革</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绩效目标：深化公立医院综合改革。</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①年内培树2-4家“市级现代医院管理制度建设样板”，积极争创1-2家“省级现代医院管理制度建设样板”；</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sz w:val="32"/>
          <w:szCs w:val="32"/>
          <w:highlight w:val="none"/>
        </w:rPr>
      </w:pPr>
      <w:r>
        <w:rPr>
          <w:rFonts w:hint="eastAsia" w:ascii="仿宋_GB2312" w:hAnsi="仿宋_GB2312" w:eastAsia="仿宋_GB2312" w:cs="仿宋_GB2312"/>
          <w:kern w:val="2"/>
          <w:sz w:val="32"/>
          <w:szCs w:val="32"/>
          <w:highlight w:val="none"/>
          <w:lang w:val="en-US" w:eastAsia="zh-CN" w:bidi="ar-SA"/>
        </w:rPr>
        <w:t>②持续扩大公立医院高质量发展试点范围，年内增加2-4个公立医院试点单位，加快形成符合实际、可推广、可复制、可持续的经验和模式。</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（5）深入推进全域卫生创建</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绩效目标：深入推进全域卫生创建。</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①巩固国家卫生城市创建成果，推动石家庄市和新乐市、正定县、高邑县顺利通过国家复审检查；</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②全面开展卫生城市（县城）、村镇创建，推动省级卫生县实现全覆盖。</w:t>
      </w:r>
    </w:p>
    <w:p>
      <w:pPr>
        <w:pStyle w:val="15"/>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（6）加快提升基层医疗卫生机构服务能力</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绩效目标：加快提升基层医疗卫生机构服务能力。</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default" w:ascii="仿宋_GB2312" w:hAnsi="仿宋_GB2312" w:eastAsia="仿宋_GB2312" w:cs="仿宋_GB2312"/>
          <w:kern w:val="2"/>
          <w:sz w:val="32"/>
          <w:szCs w:val="32"/>
          <w:highlight w:val="none"/>
          <w:lang w:val="en-US" w:eastAsia="zh-CN" w:bidi="ar-SA"/>
        </w:rPr>
        <w:t>①</w:t>
      </w:r>
      <w:r>
        <w:rPr>
          <w:rFonts w:hint="eastAsia" w:ascii="仿宋_GB2312" w:hAnsi="仿宋_GB2312" w:eastAsia="仿宋_GB2312" w:cs="仿宋_GB2312"/>
          <w:kern w:val="2"/>
          <w:sz w:val="32"/>
          <w:szCs w:val="32"/>
          <w:highlight w:val="none"/>
          <w:lang w:val="en-US" w:eastAsia="zh-CN" w:bidi="ar-SA"/>
        </w:rPr>
        <w:t>大力实施基层千人骨干培训计划，为基层培养不少于</w:t>
      </w:r>
      <w:r>
        <w:rPr>
          <w:rFonts w:hint="default" w:ascii="仿宋_GB2312" w:hAnsi="仿宋_GB2312" w:eastAsia="仿宋_GB2312" w:cs="仿宋_GB2312"/>
          <w:kern w:val="2"/>
          <w:sz w:val="32"/>
          <w:szCs w:val="32"/>
          <w:highlight w:val="none"/>
          <w:lang w:val="en-US" w:eastAsia="zh-CN" w:bidi="ar-SA"/>
        </w:rPr>
        <w:t>140</w:t>
      </w:r>
      <w:r>
        <w:rPr>
          <w:rFonts w:hint="eastAsia" w:ascii="仿宋_GB2312" w:hAnsi="仿宋_GB2312" w:eastAsia="仿宋_GB2312" w:cs="仿宋_GB2312"/>
          <w:kern w:val="2"/>
          <w:sz w:val="32"/>
          <w:szCs w:val="32"/>
          <w:highlight w:val="none"/>
          <w:lang w:val="en-US" w:eastAsia="zh-CN" w:bidi="ar-SA"/>
        </w:rPr>
        <w:t>名全科医生，完成不少于</w:t>
      </w:r>
      <w:r>
        <w:rPr>
          <w:rFonts w:hint="default" w:ascii="仿宋_GB2312" w:hAnsi="仿宋_GB2312" w:eastAsia="仿宋_GB2312" w:cs="仿宋_GB2312"/>
          <w:kern w:val="2"/>
          <w:sz w:val="32"/>
          <w:szCs w:val="32"/>
          <w:highlight w:val="none"/>
          <w:lang w:val="en-US" w:eastAsia="zh-CN" w:bidi="ar-SA"/>
        </w:rPr>
        <w:t>20</w:t>
      </w:r>
      <w:r>
        <w:rPr>
          <w:rFonts w:hint="eastAsia" w:ascii="仿宋_GB2312" w:hAnsi="仿宋_GB2312" w:eastAsia="仿宋_GB2312" w:cs="仿宋_GB2312"/>
          <w:kern w:val="2"/>
          <w:sz w:val="32"/>
          <w:szCs w:val="32"/>
          <w:highlight w:val="none"/>
          <w:lang w:val="en-US" w:eastAsia="zh-CN" w:bidi="ar-SA"/>
        </w:rPr>
        <w:t>项适宜技术推广工作。</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default" w:ascii="仿宋_GB2312" w:hAnsi="仿宋_GB2312" w:eastAsia="仿宋_GB2312" w:cs="仿宋_GB2312"/>
          <w:kern w:val="2"/>
          <w:sz w:val="32"/>
          <w:szCs w:val="32"/>
          <w:highlight w:val="none"/>
          <w:lang w:val="en-US" w:eastAsia="zh-CN" w:bidi="ar-SA"/>
        </w:rPr>
        <w:t>②</w:t>
      </w:r>
      <w:r>
        <w:rPr>
          <w:rFonts w:hint="eastAsia" w:ascii="仿宋_GB2312" w:hAnsi="仿宋_GB2312" w:eastAsia="仿宋_GB2312" w:cs="仿宋_GB2312"/>
          <w:kern w:val="2"/>
          <w:sz w:val="32"/>
          <w:szCs w:val="32"/>
          <w:highlight w:val="none"/>
          <w:lang w:val="en-US" w:eastAsia="zh-CN" w:bidi="ar-SA"/>
        </w:rPr>
        <w:t>深入开展基层临床医师</w:t>
      </w:r>
      <w:r>
        <w:rPr>
          <w:rFonts w:hint="default" w:ascii="仿宋_GB2312" w:hAnsi="仿宋_GB2312" w:eastAsia="仿宋_GB2312" w:cs="仿宋_GB2312"/>
          <w:kern w:val="2"/>
          <w:sz w:val="32"/>
          <w:szCs w:val="32"/>
          <w:highlight w:val="none"/>
          <w:lang w:val="en-US" w:eastAsia="zh-CN" w:bidi="ar-SA"/>
        </w:rPr>
        <w:t>“</w:t>
      </w:r>
      <w:r>
        <w:rPr>
          <w:rFonts w:hint="eastAsia" w:ascii="仿宋_GB2312" w:hAnsi="仿宋_GB2312" w:eastAsia="仿宋_GB2312" w:cs="仿宋_GB2312"/>
          <w:kern w:val="2"/>
          <w:sz w:val="32"/>
          <w:szCs w:val="32"/>
          <w:highlight w:val="none"/>
          <w:lang w:val="en-US" w:eastAsia="zh-CN" w:bidi="ar-SA"/>
        </w:rPr>
        <w:t>西学中</w:t>
      </w:r>
      <w:r>
        <w:rPr>
          <w:rFonts w:hint="default" w:ascii="仿宋_GB2312" w:hAnsi="仿宋_GB2312" w:eastAsia="仿宋_GB2312" w:cs="仿宋_GB2312"/>
          <w:kern w:val="2"/>
          <w:sz w:val="32"/>
          <w:szCs w:val="32"/>
          <w:highlight w:val="none"/>
          <w:lang w:val="en-US" w:eastAsia="zh-CN" w:bidi="ar-SA"/>
        </w:rPr>
        <w:t>”</w:t>
      </w:r>
      <w:r>
        <w:rPr>
          <w:rFonts w:hint="eastAsia" w:ascii="仿宋_GB2312" w:hAnsi="仿宋_GB2312" w:eastAsia="仿宋_GB2312" w:cs="仿宋_GB2312"/>
          <w:kern w:val="2"/>
          <w:sz w:val="32"/>
          <w:szCs w:val="32"/>
          <w:highlight w:val="none"/>
          <w:lang w:val="en-US" w:eastAsia="zh-CN" w:bidi="ar-SA"/>
        </w:rPr>
        <w:t>培养，组织做好</w:t>
      </w:r>
      <w:r>
        <w:rPr>
          <w:rFonts w:hint="default" w:ascii="仿宋_GB2312" w:hAnsi="仿宋_GB2312" w:eastAsia="仿宋_GB2312" w:cs="仿宋_GB2312"/>
          <w:kern w:val="2"/>
          <w:sz w:val="32"/>
          <w:szCs w:val="32"/>
          <w:highlight w:val="none"/>
          <w:lang w:val="en-US" w:eastAsia="zh-CN" w:bidi="ar-SA"/>
        </w:rPr>
        <w:t>2000</w:t>
      </w:r>
      <w:r>
        <w:rPr>
          <w:rFonts w:hint="eastAsia" w:ascii="仿宋_GB2312" w:hAnsi="仿宋_GB2312" w:eastAsia="仿宋_GB2312" w:cs="仿宋_GB2312"/>
          <w:kern w:val="2"/>
          <w:sz w:val="32"/>
          <w:szCs w:val="32"/>
          <w:highlight w:val="none"/>
          <w:lang w:val="en-US" w:eastAsia="zh-CN" w:bidi="ar-SA"/>
        </w:rPr>
        <w:t>名学员的线上学习、理论面授、临床实践和考试考核工作，加快提升基层中医药医疗服务水平。</w:t>
      </w:r>
    </w:p>
    <w:p>
      <w:pPr>
        <w:pStyle w:val="15"/>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（7）加快推进中医药传承创新发展</w:t>
      </w:r>
    </w:p>
    <w:p>
      <w:pPr>
        <w:pStyle w:val="15"/>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绩效目标：推动中医药综合服务水平进一步提升。</w:t>
      </w:r>
    </w:p>
    <w:p>
      <w:pPr>
        <w:pStyle w:val="15"/>
        <w:pageBreakBefore w:val="0"/>
        <w:kinsoku/>
        <w:wordWrap/>
        <w:overflowPunct/>
        <w:topLinePunct w:val="0"/>
        <w:autoSpaceDE/>
        <w:autoSpaceDN/>
        <w:bidi w:val="0"/>
        <w:spacing w:line="578" w:lineRule="exact"/>
        <w:ind w:left="0" w:leftChars="0"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default" w:ascii="仿宋_GB2312" w:hAnsi="仿宋_GB2312" w:eastAsia="仿宋_GB2312" w:cs="仿宋_GB2312"/>
          <w:kern w:val="2"/>
          <w:sz w:val="32"/>
          <w:szCs w:val="32"/>
          <w:highlight w:val="none"/>
          <w:lang w:val="en-US" w:eastAsia="zh-CN" w:bidi="ar-SA"/>
        </w:rPr>
        <w:t>①</w:t>
      </w:r>
      <w:r>
        <w:rPr>
          <w:rFonts w:hint="eastAsia" w:ascii="仿宋_GB2312" w:hAnsi="仿宋_GB2312" w:eastAsia="仿宋_GB2312" w:cs="仿宋_GB2312"/>
          <w:kern w:val="2"/>
          <w:sz w:val="32"/>
          <w:szCs w:val="32"/>
          <w:highlight w:val="none"/>
          <w:lang w:val="en-US" w:eastAsia="zh-CN" w:bidi="ar-SA"/>
        </w:rPr>
        <w:t>打造一批具有中医药服务优势的卫生医疗机构；</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default" w:ascii="仿宋_GB2312" w:hAnsi="仿宋_GB2312" w:eastAsia="仿宋_GB2312" w:cs="仿宋_GB2312"/>
          <w:kern w:val="2"/>
          <w:sz w:val="32"/>
          <w:szCs w:val="32"/>
          <w:highlight w:val="none"/>
          <w:lang w:val="en-US" w:eastAsia="zh-CN" w:bidi="ar-SA"/>
        </w:rPr>
        <w:t>②</w:t>
      </w:r>
      <w:r>
        <w:rPr>
          <w:rFonts w:hint="eastAsia" w:ascii="仿宋_GB2312" w:hAnsi="仿宋_GB2312" w:eastAsia="仿宋_GB2312" w:cs="仿宋_GB2312"/>
          <w:kern w:val="2"/>
          <w:sz w:val="32"/>
          <w:szCs w:val="32"/>
          <w:highlight w:val="none"/>
          <w:lang w:val="en-US" w:eastAsia="zh-CN" w:bidi="ar-SA"/>
        </w:rPr>
        <w:t>年内再新建25个高水平国医堂；</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default" w:ascii="仿宋_GB2312" w:hAnsi="仿宋_GB2312" w:eastAsia="仿宋_GB2312" w:cs="仿宋_GB2312"/>
          <w:kern w:val="2"/>
          <w:sz w:val="32"/>
          <w:szCs w:val="32"/>
          <w:highlight w:val="none"/>
          <w:lang w:val="en-US" w:eastAsia="zh-CN" w:bidi="ar-SA"/>
        </w:rPr>
        <w:t>③</w:t>
      </w:r>
      <w:r>
        <w:rPr>
          <w:rFonts w:hint="eastAsia" w:ascii="仿宋_GB2312" w:hAnsi="仿宋_GB2312" w:eastAsia="仿宋_GB2312" w:cs="仿宋_GB2312"/>
          <w:kern w:val="2"/>
          <w:sz w:val="32"/>
          <w:szCs w:val="32"/>
          <w:highlight w:val="none"/>
          <w:lang w:val="en-US" w:eastAsia="zh-CN" w:bidi="ar-SA"/>
        </w:rPr>
        <w:t>打造3个中医药区域诊疗中心。</w:t>
      </w:r>
    </w:p>
    <w:p>
      <w:pPr>
        <w:pStyle w:val="15"/>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（8）大力实施利民惠民工程。</w:t>
      </w:r>
    </w:p>
    <w:p>
      <w:pPr>
        <w:pStyle w:val="15"/>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绩效目标：大力实施利民惠民工程。</w:t>
      </w:r>
    </w:p>
    <w:p>
      <w:pPr>
        <w:pStyle w:val="15"/>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default" w:ascii="仿宋_GB2312" w:hAnsi="仿宋_GB2312" w:eastAsia="仿宋_GB2312" w:cs="仿宋_GB2312"/>
          <w:kern w:val="2"/>
          <w:sz w:val="32"/>
          <w:szCs w:val="32"/>
          <w:highlight w:val="none"/>
          <w:lang w:val="en-US" w:eastAsia="zh-CN" w:bidi="ar-SA"/>
        </w:rPr>
        <w:t>①</w:t>
      </w:r>
      <w:r>
        <w:rPr>
          <w:rFonts w:hint="eastAsia" w:ascii="仿宋_GB2312" w:hAnsi="仿宋_GB2312" w:eastAsia="仿宋_GB2312" w:cs="仿宋_GB2312"/>
          <w:kern w:val="2"/>
          <w:sz w:val="32"/>
          <w:szCs w:val="32"/>
          <w:highlight w:val="none"/>
          <w:lang w:val="en-US" w:eastAsia="zh-CN" w:bidi="ar-SA"/>
        </w:rPr>
        <w:t>继续为全市14周岁女孩免费接种HPV疫苗工作，构建宫颈癌防治屏障；</w:t>
      </w:r>
    </w:p>
    <w:p>
      <w:pPr>
        <w:pStyle w:val="15"/>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default" w:ascii="仿宋_GB2312" w:hAnsi="仿宋_GB2312" w:eastAsia="仿宋_GB2312" w:cs="仿宋_GB2312"/>
          <w:kern w:val="2"/>
          <w:sz w:val="32"/>
          <w:szCs w:val="32"/>
          <w:highlight w:val="none"/>
          <w:lang w:val="en-US" w:eastAsia="zh-CN" w:bidi="ar-SA"/>
        </w:rPr>
        <w:t>②</w:t>
      </w:r>
      <w:r>
        <w:rPr>
          <w:rFonts w:hint="eastAsia" w:ascii="仿宋_GB2312" w:hAnsi="仿宋_GB2312" w:eastAsia="仿宋_GB2312" w:cs="仿宋_GB2312"/>
          <w:kern w:val="2"/>
          <w:sz w:val="32"/>
          <w:szCs w:val="32"/>
          <w:highlight w:val="none"/>
          <w:lang w:val="en-US" w:eastAsia="zh-CN" w:bidi="ar-SA"/>
        </w:rPr>
        <w:t>加快推进婴幼儿照护服务机构建设，力争2023年底前达到每千人口3.4个托位，实现家庭托育服务满意度大幅提升；</w:t>
      </w:r>
    </w:p>
    <w:p>
      <w:pPr>
        <w:pStyle w:val="15"/>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bCs/>
          <w:kern w:val="2"/>
          <w:sz w:val="32"/>
          <w:szCs w:val="32"/>
          <w:highlight w:val="none"/>
          <w:lang w:val="en-US" w:eastAsia="zh-CN" w:bidi="ar-SA"/>
        </w:rPr>
      </w:pPr>
      <w:r>
        <w:rPr>
          <w:rFonts w:hint="default" w:ascii="仿宋_GB2312" w:hAnsi="仿宋_GB2312" w:eastAsia="仿宋_GB2312" w:cs="仿宋_GB2312"/>
          <w:kern w:val="2"/>
          <w:sz w:val="32"/>
          <w:szCs w:val="32"/>
          <w:highlight w:val="none"/>
          <w:lang w:val="en-US" w:eastAsia="zh-CN" w:bidi="ar-SA"/>
        </w:rPr>
        <w:t>③</w:t>
      </w:r>
      <w:r>
        <w:rPr>
          <w:rFonts w:hint="eastAsia" w:ascii="仿宋_GB2312" w:hAnsi="仿宋_GB2312" w:eastAsia="仿宋_GB2312" w:cs="仿宋_GB2312"/>
          <w:kern w:val="2"/>
          <w:sz w:val="32"/>
          <w:szCs w:val="32"/>
          <w:highlight w:val="none"/>
          <w:lang w:val="en-US" w:eastAsia="zh-CN" w:bidi="ar-SA"/>
        </w:rPr>
        <w:t>深化医养结合工作，支持以医优养、养中有医、医养签约等多种形式医养结合服务，老年人健康获得感明显增强。</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left="0" w:leftChars="0" w:right="0" w:firstLine="640" w:firstLineChars="200"/>
        <w:textAlignment w:val="auto"/>
        <w:outlineLvl w:val="0"/>
        <w:rPr>
          <w:rFonts w:hint="eastAsia" w:ascii="黑体" w:hAnsi="黑体" w:eastAsia="黑体"/>
          <w:sz w:val="32"/>
          <w:szCs w:val="32"/>
        </w:rPr>
      </w:pPr>
      <w:bookmarkStart w:id="8" w:name="_Toc20289"/>
      <w:r>
        <w:rPr>
          <w:rFonts w:hint="eastAsia" w:ascii="黑体" w:hAnsi="黑体" w:eastAsia="黑体"/>
          <w:sz w:val="32"/>
          <w:szCs w:val="32"/>
        </w:rPr>
        <w:t>自评工作</w:t>
      </w:r>
      <w:r>
        <w:rPr>
          <w:rFonts w:hint="eastAsia" w:ascii="黑体" w:hAnsi="黑体" w:eastAsia="黑体"/>
          <w:sz w:val="32"/>
          <w:szCs w:val="32"/>
          <w:lang w:eastAsia="zh-CN"/>
        </w:rPr>
        <w:t>开展</w:t>
      </w:r>
      <w:r>
        <w:rPr>
          <w:rFonts w:hint="eastAsia" w:ascii="黑体" w:hAnsi="黑体" w:eastAsia="黑体"/>
          <w:sz w:val="32"/>
          <w:szCs w:val="32"/>
        </w:rPr>
        <w:t>情况</w:t>
      </w:r>
      <w:bookmarkEnd w:id="8"/>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lang w:eastAsia="zh-CN"/>
        </w:rPr>
      </w:pPr>
      <w:bookmarkStart w:id="9" w:name="_Toc22722"/>
      <w:r>
        <w:rPr>
          <w:rFonts w:hint="eastAsia" w:ascii="楷体" w:hAnsi="楷体" w:eastAsia="楷体" w:cs="楷体"/>
          <w:b w:val="0"/>
          <w:bCs w:val="0"/>
          <w:sz w:val="32"/>
          <w:szCs w:val="32"/>
          <w:lang w:eastAsia="zh-CN"/>
        </w:rPr>
        <w:t>（一）自评的组织工作</w:t>
      </w:r>
      <w:bookmarkEnd w:id="9"/>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color w:val="auto"/>
          <w:kern w:val="0"/>
          <w:sz w:val="32"/>
          <w:szCs w:val="32"/>
          <w:lang w:val="en-US" w:eastAsia="zh-CN"/>
        </w:rPr>
        <w:t>我委高度重视此次年度预算绩效评价工作，成立了绩效评价工作组，</w:t>
      </w:r>
      <w:r>
        <w:rPr>
          <w:rFonts w:hint="eastAsia" w:ascii="仿宋_GB2312" w:hAnsi="仿宋_GB2312" w:eastAsia="仿宋_GB2312" w:cs="仿宋_GB2312"/>
          <w:color w:val="auto"/>
          <w:kern w:val="0"/>
          <w:sz w:val="32"/>
          <w:szCs w:val="32"/>
          <w:highlight w:val="none"/>
          <w:lang w:val="en-US" w:eastAsia="zh-CN"/>
        </w:rPr>
        <w:t>由</w:t>
      </w:r>
      <w:r>
        <w:rPr>
          <w:rFonts w:hint="eastAsia" w:ascii="仿宋_GB2312" w:hAnsi="仿宋_GB2312" w:eastAsia="仿宋_GB2312" w:cs="仿宋_GB2312"/>
          <w:sz w:val="32"/>
          <w:szCs w:val="32"/>
          <w:lang w:val="en-US" w:eastAsia="zh-CN"/>
        </w:rPr>
        <w:t xml:space="preserve">石家庄市卫健委副主任 </w:t>
      </w:r>
      <w:r>
        <w:rPr>
          <w:rFonts w:hint="eastAsia" w:ascii="仿宋_GB2312" w:hAnsi="仿宋_GB2312" w:eastAsia="仿宋_GB2312" w:cs="仿宋_GB2312"/>
          <w:color w:val="auto"/>
          <w:kern w:val="0"/>
          <w:sz w:val="32"/>
          <w:szCs w:val="32"/>
          <w:highlight w:val="none"/>
          <w:lang w:val="en-US" w:eastAsia="zh-CN"/>
        </w:rPr>
        <w:t>施文国任绩效评价组组长，</w:t>
      </w:r>
      <w:r>
        <w:rPr>
          <w:rFonts w:hint="eastAsia" w:ascii="仿宋_GB2312" w:hAnsi="仿宋_GB2312" w:eastAsia="仿宋_GB2312" w:cs="仿宋_GB2312"/>
          <w:sz w:val="32"/>
          <w:szCs w:val="32"/>
          <w:highlight w:val="none"/>
        </w:rPr>
        <w:t>成员包括</w:t>
      </w:r>
      <w:r>
        <w:rPr>
          <w:rFonts w:hint="eastAsia" w:ascii="仿宋_GB2312" w:hAnsi="仿宋_GB2312" w:eastAsia="仿宋_GB2312" w:cs="仿宋_GB2312"/>
          <w:sz w:val="32"/>
          <w:szCs w:val="32"/>
          <w:highlight w:val="none"/>
          <w:lang w:val="en-US" w:eastAsia="zh-CN"/>
        </w:rPr>
        <w:t>胡金石、杨伟娟</w:t>
      </w:r>
      <w:r>
        <w:rPr>
          <w:rFonts w:hint="eastAsia" w:ascii="仿宋_GB2312" w:hAnsi="仿宋_GB2312" w:eastAsia="仿宋_GB2312" w:cs="仿宋_GB2312"/>
          <w:color w:val="auto"/>
          <w:kern w:val="0"/>
          <w:sz w:val="32"/>
          <w:szCs w:val="32"/>
          <w:highlight w:val="none"/>
          <w:lang w:val="en-US" w:eastAsia="zh-CN"/>
        </w:rPr>
        <w:t>、王彦蕊、赵一丁、李广兴、陈瑜。</w:t>
      </w:r>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按照通知要求，评</w:t>
      </w:r>
      <w:bookmarkStart w:id="10" w:name="_Hlk43651802"/>
      <w:r>
        <w:rPr>
          <w:rFonts w:hint="eastAsia" w:ascii="仿宋_GB2312" w:hAnsi="仿宋_GB2312" w:eastAsia="仿宋_GB2312" w:cs="仿宋_GB2312"/>
          <w:sz w:val="32"/>
          <w:szCs w:val="32"/>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10"/>
      <w:r>
        <w:rPr>
          <w:rFonts w:hint="eastAsia" w:ascii="仿宋_GB2312" w:hAnsi="仿宋_GB2312" w:eastAsia="仿宋_GB2312" w:cs="仿宋_GB2312"/>
          <w:sz w:val="32"/>
          <w:szCs w:val="32"/>
        </w:rPr>
        <w:t>。</w:t>
      </w:r>
      <w:bookmarkStart w:id="39" w:name="_GoBack"/>
      <w:bookmarkEnd w:id="39"/>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lang w:eastAsia="zh-CN"/>
        </w:rPr>
      </w:pPr>
      <w:bookmarkStart w:id="11" w:name="_Toc11327"/>
      <w:bookmarkStart w:id="12" w:name="_Toc1205"/>
      <w:bookmarkStart w:id="13" w:name="_Toc28737"/>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二</w:t>
      </w:r>
      <w:r>
        <w:rPr>
          <w:rFonts w:hint="eastAsia" w:ascii="楷体" w:hAnsi="楷体" w:eastAsia="楷体" w:cs="楷体"/>
          <w:b w:val="0"/>
          <w:bCs w:val="0"/>
          <w:sz w:val="32"/>
          <w:szCs w:val="32"/>
          <w:lang w:eastAsia="zh-CN"/>
        </w:rPr>
        <w:t>）绩效自评目的</w:t>
      </w:r>
      <w:bookmarkEnd w:id="11"/>
      <w:bookmarkEnd w:id="12"/>
      <w:bookmarkEnd w:id="13"/>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bookmarkStart w:id="14" w:name="_Toc22462"/>
      <w:bookmarkStart w:id="15" w:name="_Toc19442"/>
      <w:bookmarkStart w:id="16" w:name="_Toc7758"/>
      <w:r>
        <w:rPr>
          <w:rFonts w:hint="eastAsia" w:ascii="仿宋_GB2312" w:hAnsi="仿宋_GB2312" w:eastAsia="仿宋_GB2312" w:cs="仿宋_GB2312"/>
          <w:sz w:val="32"/>
          <w:szCs w:val="32"/>
        </w:rPr>
        <w:t>本次绩效自评将结合</w:t>
      </w:r>
      <w:r>
        <w:rPr>
          <w:rFonts w:hint="eastAsia" w:ascii="仿宋_GB2312" w:hAnsi="仿宋_GB2312" w:eastAsia="仿宋_GB2312" w:cs="仿宋_GB2312"/>
          <w:sz w:val="32"/>
          <w:szCs w:val="32"/>
          <w:lang w:eastAsia="zh-CN"/>
        </w:rPr>
        <w:t>我委</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年度部门整体支出实际情况，运用科学、规范、合理的评价方法，全面、真实、客观地对</w:t>
      </w:r>
      <w:r>
        <w:rPr>
          <w:rFonts w:hint="eastAsia" w:ascii="仿宋_GB2312" w:hAnsi="仿宋_GB2312" w:eastAsia="仿宋_GB2312" w:cs="仿宋_GB2312"/>
          <w:sz w:val="32"/>
          <w:szCs w:val="32"/>
          <w:lang w:eastAsia="zh-CN"/>
        </w:rPr>
        <w:t>我委</w:t>
      </w:r>
      <w:r>
        <w:rPr>
          <w:rFonts w:hint="eastAsia" w:ascii="仿宋_GB2312" w:hAnsi="仿宋_GB2312" w:eastAsia="仿宋_GB2312" w:cs="仿宋_GB2312"/>
          <w:sz w:val="32"/>
          <w:szCs w:val="32"/>
        </w:rPr>
        <w:t>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w:t>
      </w:r>
      <w:r>
        <w:rPr>
          <w:rFonts w:hint="eastAsia" w:ascii="仿宋_GB2312" w:hAnsi="仿宋_GB2312" w:eastAsia="仿宋_GB2312" w:cs="仿宋_GB2312"/>
          <w:sz w:val="32"/>
          <w:szCs w:val="32"/>
          <w:lang w:eastAsia="zh-CN"/>
        </w:rPr>
        <w:t>我委</w:t>
      </w:r>
      <w:r>
        <w:rPr>
          <w:rFonts w:hint="eastAsia" w:ascii="仿宋_GB2312" w:hAnsi="仿宋_GB2312" w:eastAsia="仿宋_GB2312" w:cs="仿宋_GB2312"/>
          <w:sz w:val="32"/>
          <w:szCs w:val="32"/>
        </w:rPr>
        <w:t>履行部门职责作出更好的预算管理和资金安排。</w:t>
      </w:r>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lang w:eastAsia="zh-CN"/>
        </w:rPr>
      </w:pPr>
      <w:bookmarkStart w:id="17" w:name="_Toc31660"/>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三</w:t>
      </w:r>
      <w:r>
        <w:rPr>
          <w:rFonts w:hint="eastAsia" w:ascii="楷体" w:hAnsi="楷体" w:eastAsia="楷体" w:cs="楷体"/>
          <w:b w:val="0"/>
          <w:bCs w:val="0"/>
          <w:sz w:val="32"/>
          <w:szCs w:val="32"/>
          <w:lang w:eastAsia="zh-CN"/>
        </w:rPr>
        <w:t>）绩效自评内容</w:t>
      </w:r>
      <w:bookmarkEnd w:id="14"/>
      <w:bookmarkEnd w:id="15"/>
      <w:bookmarkEnd w:id="17"/>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w:t>
      </w:r>
      <w:r>
        <w:rPr>
          <w:rFonts w:hint="eastAsia" w:ascii="仿宋_GB2312" w:hAnsi="仿宋_GB2312" w:eastAsia="仿宋_GB2312" w:cs="仿宋_GB2312"/>
          <w:sz w:val="32"/>
          <w:szCs w:val="32"/>
          <w:lang w:val="en-US" w:eastAsia="zh-CN"/>
        </w:rPr>
        <w:t>我委</w:t>
      </w:r>
      <w:r>
        <w:rPr>
          <w:rFonts w:hint="eastAsia" w:ascii="仿宋_GB2312" w:hAnsi="仿宋_GB2312" w:eastAsia="仿宋_GB2312" w:cs="仿宋_GB2312"/>
          <w:sz w:val="32"/>
          <w:szCs w:val="32"/>
        </w:rPr>
        <w:t>部门整体支出绩效自评主要自评内容包括</w:t>
      </w:r>
      <w:r>
        <w:rPr>
          <w:rFonts w:hint="eastAsia" w:ascii="仿宋_GB2312" w:hAnsi="仿宋_GB2312" w:eastAsia="仿宋_GB2312" w:cs="仿宋_GB2312"/>
          <w:b/>
          <w:bCs/>
          <w:sz w:val="32"/>
          <w:szCs w:val="32"/>
        </w:rPr>
        <w:t>一是</w:t>
      </w:r>
      <w:r>
        <w:rPr>
          <w:rFonts w:hint="eastAsia" w:ascii="仿宋_GB2312" w:hAnsi="仿宋_GB2312" w:eastAsia="仿宋_GB2312" w:cs="仿宋_GB2312"/>
          <w:sz w:val="32"/>
          <w:szCs w:val="32"/>
        </w:rPr>
        <w:t>绩效目标和预算编制情况；</w:t>
      </w:r>
      <w:r>
        <w:rPr>
          <w:rFonts w:hint="eastAsia" w:ascii="仿宋_GB2312" w:hAnsi="仿宋_GB2312" w:eastAsia="仿宋_GB2312" w:cs="仿宋_GB2312"/>
          <w:b/>
          <w:bCs/>
          <w:sz w:val="32"/>
          <w:szCs w:val="32"/>
        </w:rPr>
        <w:t>二是</w:t>
      </w: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val="en-US" w:eastAsia="zh-CN"/>
        </w:rPr>
        <w:t>预决算收支</w:t>
      </w:r>
      <w:r>
        <w:rPr>
          <w:rFonts w:hint="eastAsia" w:ascii="仿宋_GB2312" w:hAnsi="仿宋_GB2312" w:eastAsia="仿宋_GB2312" w:cs="仿宋_GB2312"/>
          <w:sz w:val="32"/>
          <w:szCs w:val="32"/>
        </w:rPr>
        <w:t>情况；</w:t>
      </w:r>
      <w:r>
        <w:rPr>
          <w:rFonts w:hint="eastAsia" w:ascii="仿宋_GB2312" w:hAnsi="仿宋_GB2312" w:eastAsia="仿宋_GB2312" w:cs="仿宋_GB2312"/>
          <w:b/>
          <w:bCs/>
          <w:sz w:val="32"/>
          <w:szCs w:val="32"/>
        </w:rPr>
        <w:t>三是</w:t>
      </w:r>
      <w:r>
        <w:rPr>
          <w:rFonts w:hint="eastAsia" w:ascii="仿宋_GB2312" w:hAnsi="仿宋_GB2312" w:eastAsia="仿宋_GB2312" w:cs="仿宋_GB2312"/>
          <w:sz w:val="32"/>
          <w:szCs w:val="32"/>
        </w:rPr>
        <w:t>部门年度总体绩效目标完成情况；</w:t>
      </w:r>
      <w:r>
        <w:rPr>
          <w:rFonts w:hint="eastAsia" w:ascii="仿宋_GB2312" w:hAnsi="仿宋_GB2312" w:eastAsia="仿宋_GB2312" w:cs="仿宋_GB2312"/>
          <w:b/>
          <w:bCs/>
          <w:sz w:val="32"/>
          <w:szCs w:val="32"/>
        </w:rPr>
        <w:t>四是</w:t>
      </w:r>
      <w:r>
        <w:rPr>
          <w:rFonts w:hint="eastAsia" w:ascii="仿宋_GB2312" w:hAnsi="仿宋_GB2312" w:eastAsia="仿宋_GB2312" w:cs="仿宋_GB2312"/>
          <w:sz w:val="32"/>
          <w:szCs w:val="32"/>
        </w:rPr>
        <w:t>部门年度绩效指标完成情况，包括部门履职投入、履职过程、履职产出及履职效果等。</w:t>
      </w:r>
    </w:p>
    <w:bookmarkEnd w:id="16"/>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lang w:eastAsia="zh-CN"/>
        </w:rPr>
      </w:pPr>
      <w:bookmarkStart w:id="18" w:name="_Toc23011"/>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四</w:t>
      </w:r>
      <w:r>
        <w:rPr>
          <w:rFonts w:hint="eastAsia" w:ascii="楷体" w:hAnsi="楷体" w:eastAsia="楷体" w:cs="楷体"/>
          <w:b w:val="0"/>
          <w:bCs w:val="0"/>
          <w:sz w:val="32"/>
          <w:szCs w:val="32"/>
          <w:lang w:eastAsia="zh-CN"/>
        </w:rPr>
        <w:t>）自评的方法</w:t>
      </w:r>
      <w:bookmarkEnd w:id="18"/>
      <w:bookmarkStart w:id="19" w:name="_Toc25386"/>
    </w:p>
    <w:p>
      <w:pPr>
        <w:keepNext w:val="0"/>
        <w:keepLines w:val="0"/>
        <w:pageBreakBefore w:val="0"/>
        <w:widowControl w:val="0"/>
        <w:numPr>
          <w:ilvl w:val="0"/>
          <w:numId w:val="0"/>
        </w:numPr>
        <w:kinsoku/>
        <w:wordWrap/>
        <w:overflowPunct/>
        <w:topLinePunct w:val="0"/>
        <w:autoSpaceDE/>
        <w:autoSpaceDN/>
        <w:bidi w:val="0"/>
        <w:spacing w:line="578" w:lineRule="exact"/>
        <w:ind w:left="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科学公正原则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此次绩效自评运用科学合理的方法，按照规范的程序，对我</w:t>
      </w:r>
      <w:r>
        <w:rPr>
          <w:rFonts w:hint="eastAsia" w:ascii="仿宋_GB2312" w:hAnsi="仿宋_GB2312" w:eastAsia="仿宋_GB2312" w:cs="仿宋_GB2312"/>
          <w:sz w:val="32"/>
          <w:szCs w:val="32"/>
          <w:lang w:eastAsia="zh-CN"/>
        </w:rPr>
        <w:t>委</w:t>
      </w:r>
      <w:r>
        <w:rPr>
          <w:rFonts w:hint="eastAsia" w:ascii="仿宋_GB2312" w:hAnsi="仿宋_GB2312" w:eastAsia="仿宋_GB2312" w:cs="仿宋_GB2312"/>
          <w:sz w:val="32"/>
          <w:szCs w:val="32"/>
        </w:rPr>
        <w:t>部门整体预算资金使用绩效进行客观、公正的反映。</w:t>
      </w:r>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统筹兼顾原则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激励约束原则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此次绩效自评结果与预算安排、政策调整、改进管理实质性挂钩，体现奖优罚劣和激励相容导向，有效安排、低效压减、无效问责。</w:t>
      </w:r>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公开透明原则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此次绩效自评结果应依法依规在政府门户网站进行公开，并自觉接受社会监督。</w:t>
      </w:r>
    </w:p>
    <w:bookmarkEnd w:id="19"/>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lang w:val="en-US" w:eastAsia="zh-CN"/>
        </w:rPr>
      </w:pPr>
      <w:bookmarkStart w:id="20" w:name="_Toc8765"/>
      <w:bookmarkStart w:id="21" w:name="_Toc14749"/>
      <w:bookmarkStart w:id="22" w:name="_Toc6980"/>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五</w:t>
      </w:r>
      <w:r>
        <w:rPr>
          <w:rFonts w:hint="eastAsia" w:ascii="楷体" w:hAnsi="楷体" w:eastAsia="楷体" w:cs="楷体"/>
          <w:b w:val="0"/>
          <w:bCs w:val="0"/>
          <w:sz w:val="32"/>
          <w:szCs w:val="32"/>
          <w:lang w:eastAsia="zh-CN"/>
        </w:rPr>
        <w:t>）绩效自评</w:t>
      </w:r>
      <w:bookmarkEnd w:id="20"/>
      <w:bookmarkEnd w:id="21"/>
      <w:r>
        <w:rPr>
          <w:rFonts w:hint="eastAsia" w:ascii="楷体" w:hAnsi="楷体" w:eastAsia="楷体" w:cs="楷体"/>
          <w:b w:val="0"/>
          <w:bCs w:val="0"/>
          <w:sz w:val="32"/>
          <w:szCs w:val="32"/>
          <w:lang w:val="en-US" w:eastAsia="zh-CN"/>
        </w:rPr>
        <w:t>过程</w:t>
      </w:r>
      <w:bookmarkEnd w:id="22"/>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sz w:val="32"/>
          <w:szCs w:val="32"/>
        </w:rPr>
      </w:pPr>
      <w:r>
        <w:rPr>
          <w:rFonts w:hint="eastAsia" w:ascii="仿宋_GB2312" w:hAnsi="仿宋_GB2312" w:eastAsia="仿宋_GB2312" w:cs="仿宋_GB2312"/>
          <w:sz w:val="32"/>
          <w:szCs w:val="32"/>
        </w:rPr>
        <w:t>本次绩效自评将资金使用产出及效果与年初指标值相比较，完成相应指标值的</w:t>
      </w:r>
      <w:r>
        <w:rPr>
          <w:rFonts w:hint="eastAsia" w:ascii="仿宋_GB2312" w:hAnsi="仿宋_GB2312" w:eastAsia="仿宋_GB2312" w:cs="仿宋_GB2312"/>
          <w:sz w:val="32"/>
          <w:szCs w:val="32"/>
          <w:lang w:val="en-US" w:eastAsia="zh-CN"/>
        </w:rPr>
        <w:t>赋全部分值</w:t>
      </w:r>
      <w:r>
        <w:rPr>
          <w:rFonts w:hint="eastAsia" w:ascii="仿宋_GB2312" w:hAnsi="仿宋_GB2312" w:eastAsia="仿宋_GB2312" w:cs="仿宋_GB2312"/>
          <w:sz w:val="32"/>
          <w:szCs w:val="32"/>
        </w:rPr>
        <w:t>；对完成值</w:t>
      </w:r>
      <w:r>
        <w:rPr>
          <w:rFonts w:hint="eastAsia" w:ascii="仿宋_GB2312" w:hAnsi="仿宋_GB2312" w:eastAsia="仿宋_GB2312" w:cs="仿宋_GB2312"/>
          <w:sz w:val="32"/>
          <w:szCs w:val="32"/>
          <w:lang w:eastAsia="zh-CN"/>
        </w:rPr>
        <w:t>低</w:t>
      </w:r>
      <w:r>
        <w:rPr>
          <w:rFonts w:hint="eastAsia" w:ascii="仿宋_GB2312" w:hAnsi="仿宋_GB2312" w:eastAsia="仿宋_GB2312" w:cs="仿宋_GB2312"/>
          <w:sz w:val="32"/>
          <w:szCs w:val="32"/>
        </w:rPr>
        <w:t>于指标值较多的，分析其形成原因，针对评价过程中发现的问题进一步提出相关意见建议，为以后年度</w:t>
      </w:r>
      <w:r>
        <w:rPr>
          <w:rFonts w:hint="eastAsia" w:ascii="仿宋_GB2312" w:hAnsi="仿宋_GB2312" w:eastAsia="仿宋_GB2312" w:cs="仿宋_GB2312"/>
          <w:sz w:val="32"/>
          <w:szCs w:val="32"/>
          <w:lang w:eastAsia="zh-CN"/>
        </w:rPr>
        <w:t>我委</w:t>
      </w:r>
      <w:r>
        <w:rPr>
          <w:rFonts w:hint="eastAsia" w:ascii="仿宋_GB2312" w:hAnsi="仿宋_GB2312" w:eastAsia="仿宋_GB2312" w:cs="仿宋_GB2312"/>
          <w:sz w:val="32"/>
          <w:szCs w:val="32"/>
        </w:rPr>
        <w:t>履行部门职责作出更好的预算管理和资金安排。</w:t>
      </w:r>
    </w:p>
    <w:p>
      <w:pPr>
        <w:keepNext w:val="0"/>
        <w:keepLines w:val="0"/>
        <w:pageBreakBefore w:val="0"/>
        <w:widowControl w:val="0"/>
        <w:kinsoku/>
        <w:wordWrap/>
        <w:overflowPunct/>
        <w:topLinePunct w:val="0"/>
        <w:autoSpaceDE/>
        <w:autoSpaceDN/>
        <w:bidi w:val="0"/>
        <w:adjustRightInd/>
        <w:snapToGrid/>
        <w:spacing w:line="578" w:lineRule="exact"/>
        <w:ind w:left="0" w:leftChars="0" w:right="0" w:firstLine="640" w:firstLineChars="200"/>
        <w:textAlignment w:val="auto"/>
        <w:outlineLvl w:val="0"/>
        <w:rPr>
          <w:rFonts w:hint="eastAsia" w:ascii="黑体" w:hAnsi="黑体" w:eastAsia="黑体"/>
          <w:b/>
          <w:bCs/>
          <w:sz w:val="32"/>
          <w:szCs w:val="32"/>
          <w:lang w:eastAsia="zh-CN"/>
        </w:rPr>
      </w:pPr>
      <w:bookmarkStart w:id="23" w:name="_Toc27327"/>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bookmarkEnd w:id="23"/>
    </w:p>
    <w:p>
      <w:pPr>
        <w:keepNext w:val="0"/>
        <w:keepLines w:val="0"/>
        <w:pageBreakBefore w:val="0"/>
        <w:widowControl w:val="0"/>
        <w:numPr>
          <w:ilvl w:val="0"/>
          <w:numId w:val="2"/>
        </w:numPr>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rPr>
      </w:pPr>
      <w:bookmarkStart w:id="24" w:name="_Toc2663"/>
      <w:r>
        <w:rPr>
          <w:rFonts w:hint="eastAsia" w:ascii="楷体" w:hAnsi="楷体" w:eastAsia="楷体" w:cs="楷体"/>
          <w:b w:val="0"/>
          <w:bCs w:val="0"/>
          <w:sz w:val="32"/>
          <w:szCs w:val="32"/>
          <w:lang w:eastAsia="zh-CN"/>
        </w:rPr>
        <w:t>总体绩效目标实现情况</w:t>
      </w:r>
      <w:bookmarkEnd w:id="24"/>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_GB2312" w:hAnsi="仿宋_GB2312" w:eastAsia="仿宋_GB2312" w:cs="仿宋_GB2312"/>
          <w:color w:val="auto"/>
          <w:sz w:val="32"/>
          <w:szCs w:val="32"/>
          <w:highlight w:val="none"/>
          <w:lang w:val="en-US" w:eastAsia="zh-CN"/>
        </w:rPr>
        <w:t>2023年</w:t>
      </w:r>
      <w:r>
        <w:rPr>
          <w:rFonts w:hint="eastAsia" w:ascii="仿宋_GB2312" w:eastAsia="仿宋_GB2312"/>
          <w:sz w:val="32"/>
          <w:szCs w:val="32"/>
        </w:rPr>
        <w:t>，在市委、市政府的正确领导下，</w:t>
      </w:r>
      <w:r>
        <w:rPr>
          <w:rFonts w:hint="eastAsia" w:ascii="仿宋_GB2312" w:hAnsi="仿宋_GB2312" w:eastAsia="仿宋_GB2312" w:cs="仿宋_GB2312"/>
          <w:color w:val="auto"/>
          <w:sz w:val="32"/>
          <w:szCs w:val="32"/>
          <w:highlight w:val="none"/>
          <w:lang w:val="en-US" w:eastAsia="zh-CN"/>
        </w:rPr>
        <w:t>坚持以习近平新时代中国特色社会主义思想为指导，全面贯彻党的二十大精神，深入学习领会习近平总书记视察河北、视察石家庄重要讲话和重要指示批示精神，认真落实省委、省政府和市委、市政府部署要求，坚持新时代党的卫生健康工作方针,牢固树立“大卫生、大健康”理念,以开展学习贯彻习近平新时代中国特色社会主义思想主题教育为契机，高质高效推进卫生健康事业高质量发展，努力把卫生健康资源优势转化为发展优势，助力现代化、国际化美丽省会城市建设。</w:t>
      </w:r>
    </w:p>
    <w:p>
      <w:pPr>
        <w:keepNext w:val="0"/>
        <w:keepLines w:val="0"/>
        <w:pageBreakBefore w:val="0"/>
        <w:widowControl w:val="0"/>
        <w:numPr>
          <w:ilvl w:val="0"/>
          <w:numId w:val="2"/>
        </w:numPr>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highlight w:val="none"/>
          <w:lang w:eastAsia="zh-CN"/>
        </w:rPr>
      </w:pPr>
      <w:bookmarkStart w:id="25" w:name="_Toc26201"/>
      <w:r>
        <w:rPr>
          <w:rFonts w:hint="eastAsia" w:ascii="楷体" w:hAnsi="楷体" w:eastAsia="楷体" w:cs="楷体"/>
          <w:b w:val="0"/>
          <w:bCs w:val="0"/>
          <w:sz w:val="32"/>
          <w:szCs w:val="32"/>
          <w:highlight w:val="none"/>
          <w:lang w:eastAsia="zh-CN"/>
        </w:rPr>
        <w:t>分项绩效目标实现情况及指标分析</w:t>
      </w:r>
      <w:bookmarkEnd w:id="25"/>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1.京津冀医疗协同发展取得新突破</w:t>
      </w:r>
    </w:p>
    <w:p>
      <w:pPr>
        <w:pageBreakBefore w:val="0"/>
        <w:kinsoku/>
        <w:wordWrap/>
        <w:overflowPunct/>
        <w:topLinePunct w:val="0"/>
        <w:autoSpaceDE/>
        <w:autoSpaceDN/>
        <w:bidi w:val="0"/>
        <w:spacing w:line="578" w:lineRule="exact"/>
        <w:ind w:firstLine="640" w:firstLineChars="200"/>
        <w:rPr>
          <w:sz w:val="32"/>
          <w:szCs w:val="32"/>
          <w:highlight w:val="yellow"/>
        </w:rPr>
      </w:pPr>
      <w:r>
        <w:rPr>
          <w:rFonts w:hint="eastAsia" w:ascii="仿宋_GB2312" w:hAnsi="仿宋_GB2312" w:eastAsia="仿宋_GB2312" w:cs="仿宋_GB2312"/>
          <w:b w:val="0"/>
          <w:bCs w:val="0"/>
          <w:color w:val="auto"/>
          <w:sz w:val="32"/>
          <w:szCs w:val="32"/>
          <w:highlight w:val="none"/>
          <w:lang w:val="en-US" w:eastAsia="zh-CN"/>
        </w:rPr>
        <w:t>深入贯彻京津冀协同发展战略，按照习近平总书记“在对接京津、服务京津中加快发展自己”的重要指示要求，通过医疗联合、专科联盟、合作建院、科室托管、科研协作等方式，大力推动市属医院与京津高水平医院深度合作。北京大学人民医院石家庄医院、首都儿研所附属儿童医院石家庄医院和天津中医药大学第一附属医院石家庄医院等三所高水平医院建设成果凸显，在运营管理、诊疗服务等方面全部实现同质化打造，北京大学人民医院石家庄医院成功获批第五批国家区域医疗中心，域外患者就医率大幅提升，市人民医院、市儿童医院同期门诊量提升30%以上，市中医院住院人次同比增长超13%。市妇产医院与北京协和医院妇科共建妇产科协和病区，市第三医院与北京安贞医院合作共建国家心血管疾病临床医学研究中心石家庄地区合作中心，市第二医院与北京大学口腔医院共建石家庄市口腔医院，市第五医院入围国家感染性疾病临床医学研究中心网络核心单位等等，市属医院与京津名医名院开展各种类型合作项目达到21个，群众在家门口就能看京津名医成为常态。</w:t>
      </w:r>
    </w:p>
    <w:p>
      <w:pPr>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color w:val="auto"/>
          <w:sz w:val="32"/>
          <w:szCs w:val="32"/>
          <w:highlight w:val="yellow"/>
          <w:lang w:val="en-US" w:eastAsia="zh-CN"/>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color w:val="auto"/>
          <w:sz w:val="32"/>
          <w:szCs w:val="32"/>
          <w:highlight w:val="none"/>
          <w:lang w:val="en-US" w:eastAsia="zh-CN"/>
        </w:rPr>
        <w:t>加速推进重点医疗卫生项目建设</w:t>
      </w:r>
    </w:p>
    <w:p>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yellow"/>
          <w:lang w:val="en-US" w:eastAsia="zh-CN"/>
        </w:rPr>
      </w:pPr>
      <w:r>
        <w:rPr>
          <w:rFonts w:hint="eastAsia" w:ascii="仿宋_GB2312" w:hAnsi="仿宋_GB2312" w:eastAsia="仿宋_GB2312" w:cs="仿宋_GB2312"/>
          <w:b w:val="0"/>
          <w:bCs w:val="0"/>
          <w:color w:val="auto"/>
          <w:sz w:val="32"/>
          <w:szCs w:val="32"/>
          <w:highlight w:val="none"/>
          <w:lang w:val="en-US" w:eastAsia="zh-CN"/>
        </w:rPr>
        <w:t>积极抢抓城市更新重大历史机遇，按照“二环内做减法、二环外做乘法”战略布局，大力推动市级优质医疗资源向二环外和六大片区均衡布局，总投资近70亿元、总占地555亩的市人民医院、市二院新院区、市三院新院区等5个市属医院重点项目，全部按照“国际化视野、现代化标准、地标式风格”打造，9月20日已全部开工建设，规划新增床位4800张，努力让群众早日享受到环境更加优美、装备更为精良、设施愈发完备、服务更有温度的医疗服务。</w:t>
      </w:r>
    </w:p>
    <w:p>
      <w:pPr>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color w:val="auto"/>
          <w:sz w:val="32"/>
          <w:szCs w:val="32"/>
          <w:highlight w:val="yellow"/>
          <w:lang w:val="en-US" w:eastAsia="zh-CN"/>
        </w:rPr>
      </w:pPr>
      <w:r>
        <w:rPr>
          <w:rFonts w:hint="eastAsia" w:ascii="仿宋_GB2312" w:hAnsi="仿宋_GB2312" w:eastAsia="仿宋_GB2312" w:cs="仿宋_GB2312"/>
          <w:b/>
          <w:bCs/>
          <w:color w:val="auto"/>
          <w:sz w:val="32"/>
          <w:szCs w:val="32"/>
          <w:highlight w:val="none"/>
          <w:lang w:val="en-US" w:eastAsia="zh-CN"/>
        </w:rPr>
        <w:t>3.“三名”工程迈出坚实步伐</w:t>
      </w:r>
    </w:p>
    <w:p>
      <w:pPr>
        <w:pageBreakBefore w:val="0"/>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yellow"/>
          <w:lang w:val="en-US" w:eastAsia="zh-CN"/>
        </w:rPr>
      </w:pPr>
      <w:r>
        <w:rPr>
          <w:rFonts w:hint="eastAsia" w:ascii="仿宋_GB2312" w:hAnsi="仿宋_GB2312" w:eastAsia="仿宋_GB2312" w:cs="仿宋_GB2312"/>
          <w:b w:val="0"/>
          <w:bCs w:val="0"/>
          <w:color w:val="auto"/>
          <w:sz w:val="32"/>
          <w:szCs w:val="32"/>
          <w:highlight w:val="none"/>
          <w:lang w:val="en-US" w:eastAsia="zh-CN"/>
        </w:rPr>
        <w:t>在“树名医”方面，用足用好全市医疗卫生人才引进培养政策，引进高层次专家191人，其中院士2人，京津专家182人，正高级职称专家73人，副高级专家59人，招聘硕士研究生及以上学历专业技术人员326人，开展全科医生岗位技能竞赛、精神心理健康技能竞赛等岗位练兵，全面加强医疗卫生人才队伍建设，加快构筑人才高峰。在“建名科”方面，市属医院获批呼吸、神经内科等4个省级临床重点专科和58个省级中医优势专科，取得重大突破；获批传染病科、卫生检验科等9个省级医学重点学科，数量全省第一；确定50个市级医学重点学科，加快打造一批具有较强影响力和辐射带动能力的特色优势专科（学科）群。在“创名院”方面，积极拓展国际化合作交流，2023年以来，高水平举办国际糖尿病大会、石家庄口腔医学大会、国际重症肌无力精准治疗大会、国际妇产高峰论坛等11场国际、国内高端学术交流会议，累计分享学术报告200余场、百万余人次收听收看，成为服务人民健康、展现城市形象、推进卫生健康事业高质量发展的重要平台和重要支撑。</w:t>
      </w:r>
    </w:p>
    <w:p>
      <w:pPr>
        <w:pageBreakBefore w:val="0"/>
        <w:kinsoku/>
        <w:wordWrap/>
        <w:overflowPunct/>
        <w:topLinePunct w:val="0"/>
        <w:autoSpaceDE/>
        <w:autoSpaceDN/>
        <w:bidi w:val="0"/>
        <w:spacing w:line="578" w:lineRule="exact"/>
        <w:ind w:firstLine="643"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4.深化医改取得重大突破</w:t>
      </w:r>
    </w:p>
    <w:p>
      <w:pPr>
        <w:pageBreakBefore w:val="0"/>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把公立医院改革与高质量发展作为全面深化改革的重点任务，统筹谋划、高位推动，市第四医院、井陉县医院被评选为第二批公立医院高质量发展省级试点医院，市第二医院、市第四医院、井陉县医院入选省级现代医院管理制度建设样板，确定市人民医院、市妇幼保健院、新乐市医院、藁城人民医院、栾城人民医院5家医院为第二批公立医院高质量发展市级试点医院。作为河北省唯一推荐城市，成功获批国家公立医院改革与高质量发展示范项目，成为全国第二批15个示范城市之一，争取中央和省级补助资金7亿元，深化医改取得重大突破谋。截至目前，2023年计划开展的49个项目已全面启动，三级公立医院出院患者四级手术占比等指标较2022年有显著改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color w:val="auto"/>
          <w:sz w:val="32"/>
          <w:szCs w:val="32"/>
          <w:highlight w:val="yellow"/>
          <w:lang w:val="en-US" w:eastAsia="zh-CN"/>
        </w:rPr>
      </w:pPr>
      <w:r>
        <w:rPr>
          <w:rFonts w:hint="eastAsia" w:ascii="仿宋_GB2312" w:hAnsi="仿宋_GB2312" w:eastAsia="仿宋_GB2312" w:cs="仿宋_GB2312"/>
          <w:b/>
          <w:bCs w:val="0"/>
          <w:color w:val="auto"/>
          <w:sz w:val="32"/>
          <w:szCs w:val="32"/>
          <w:highlight w:val="none"/>
          <w:lang w:val="en-US" w:eastAsia="zh-CN"/>
        </w:rPr>
        <w:t>5.基层医疗卫生基础不断夯实</w:t>
      </w:r>
    </w:p>
    <w:p>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color w:val="auto"/>
          <w:sz w:val="32"/>
          <w:szCs w:val="32"/>
          <w:highlight w:val="none"/>
          <w:lang w:val="en-US" w:eastAsia="zh-CN"/>
        </w:rPr>
      </w:pPr>
      <w:bookmarkStart w:id="26" w:name="_Toc42610961"/>
      <w:bookmarkStart w:id="27" w:name="_Hlk41493160"/>
      <w:r>
        <w:rPr>
          <w:rFonts w:hint="eastAsia" w:ascii="仿宋_GB2312" w:hAnsi="仿宋_GB2312" w:eastAsia="仿宋_GB2312" w:cs="仿宋_GB2312"/>
          <w:color w:val="auto"/>
          <w:sz w:val="32"/>
          <w:szCs w:val="32"/>
          <w:highlight w:val="none"/>
          <w:lang w:val="en-US" w:eastAsia="zh-CN"/>
        </w:rPr>
        <w:t>坚持以“优质服务基层行”活动为抓手，以社区医院创建为引领，全面推进基层医疗卫生机构提档升级，不断提升基层医疗卫生机构服务能力。2023年底，全市191家基层医疗卫生机构达到基本标准及以上层次，其中36家机构达到推荐标准，建成社区医院23所（总量全省第一）着力推动特色发展，建成省级特色专科30个，位于全省前列。深化基层人才队伍建设，通过外派学习、上下交流、技能竞赛、专项培训等多种方式，累计培训基层业务骨干2000余人，通过招聘等方式引进人才861人，基层力量持续夯实。深入推进医防融合，确定2个2023年度医防融合省级示范区，3个市级示范区，5所社区卫生服务中心被国家授牌糖尿病规范化管理中心星级门诊。遴选13项适宜卫生技术，在无极县、正定县、赞皇县等7个县区进行推广，赞皇县、井陉县被确定为河北省县级适宜卫生技术推广示范建设医院。10月17日，全市275个受灾乡镇卫生院和村卫生室全部完成灾后修缮，较既定工期提前两个月，群众就近就医需求得到有效保障和满足。</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val="0"/>
          <w:color w:val="auto"/>
          <w:sz w:val="32"/>
          <w:szCs w:val="32"/>
          <w:highlight w:val="none"/>
          <w:lang w:val="en-US" w:eastAsia="zh-CN"/>
        </w:rPr>
      </w:pPr>
      <w:r>
        <w:rPr>
          <w:rFonts w:hint="eastAsia" w:ascii="仿宋_GB2312" w:hAnsi="仿宋_GB2312" w:eastAsia="仿宋_GB2312" w:cs="仿宋_GB2312"/>
          <w:b/>
          <w:bCs w:val="0"/>
          <w:color w:val="auto"/>
          <w:sz w:val="32"/>
          <w:szCs w:val="32"/>
          <w:highlight w:val="none"/>
          <w:lang w:val="en-US" w:eastAsia="zh-CN"/>
        </w:rPr>
        <w:t>6.</w:t>
      </w:r>
      <w:r>
        <w:rPr>
          <w:rFonts w:hint="default" w:ascii="仿宋_GB2312" w:hAnsi="仿宋_GB2312" w:eastAsia="仿宋_GB2312" w:cs="仿宋_GB2312"/>
          <w:b/>
          <w:bCs w:val="0"/>
          <w:color w:val="auto"/>
          <w:sz w:val="32"/>
          <w:szCs w:val="32"/>
          <w:highlight w:val="none"/>
          <w:lang w:val="en-US" w:eastAsia="zh-CN"/>
        </w:rPr>
        <w:t>中医药创新发展步伐持续加快</w:t>
      </w:r>
    </w:p>
    <w:bookmarkEnd w:id="26"/>
    <w:bookmarkEnd w:id="27"/>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outlineLvl w:val="9"/>
        <w:rPr>
          <w:rFonts w:hint="eastAsia" w:ascii="黑体" w:hAnsi="黑体" w:eastAsia="黑体"/>
          <w:sz w:val="32"/>
          <w:szCs w:val="32"/>
        </w:rPr>
      </w:pPr>
      <w:bookmarkStart w:id="28" w:name="_Toc12853"/>
      <w:bookmarkStart w:id="29" w:name="_Toc70582276"/>
      <w:r>
        <w:rPr>
          <w:rFonts w:hint="default" w:ascii="仿宋_GB2312" w:hAnsi="仿宋_GB2312" w:eastAsia="仿宋_GB2312" w:cs="仿宋_GB2312"/>
          <w:color w:val="auto"/>
          <w:sz w:val="32"/>
          <w:szCs w:val="32"/>
          <w:highlight w:val="none"/>
          <w:lang w:val="en-US" w:eastAsia="zh-CN"/>
        </w:rPr>
        <w:t>确定新乐市中医院、元氏县中医院、晋州市中医院、井陉县中医院4个市级中医药区域诊疗中心，新乐市中医医院</w:t>
      </w:r>
      <w:r>
        <w:rPr>
          <w:rFonts w:hint="eastAsia" w:ascii="仿宋_GB2312" w:hAnsi="仿宋_GB2312" w:eastAsia="仿宋_GB2312" w:cs="仿宋_GB2312"/>
          <w:color w:val="auto"/>
          <w:sz w:val="32"/>
          <w:szCs w:val="32"/>
          <w:highlight w:val="none"/>
          <w:lang w:val="en-US" w:eastAsia="zh-CN"/>
        </w:rPr>
        <w:t>被评为</w:t>
      </w:r>
      <w:r>
        <w:rPr>
          <w:rFonts w:hint="default" w:ascii="仿宋_GB2312" w:hAnsi="仿宋_GB2312" w:eastAsia="仿宋_GB2312" w:cs="仿宋_GB2312"/>
          <w:color w:val="auto"/>
          <w:sz w:val="32"/>
          <w:szCs w:val="32"/>
          <w:highlight w:val="none"/>
          <w:lang w:val="en-US" w:eastAsia="zh-CN"/>
        </w:rPr>
        <w:t>三级中医医院</w:t>
      </w:r>
      <w:r>
        <w:rPr>
          <w:rFonts w:hint="eastAsia" w:ascii="仿宋_GB2312" w:hAnsi="仿宋_GB2312" w:eastAsia="仿宋_GB2312" w:cs="仿宋_GB2312"/>
          <w:color w:val="auto"/>
          <w:sz w:val="32"/>
          <w:szCs w:val="32"/>
          <w:highlight w:val="none"/>
          <w:lang w:val="en-US" w:eastAsia="zh-CN"/>
        </w:rPr>
        <w:t>，</w:t>
      </w:r>
      <w:r>
        <w:rPr>
          <w:rFonts w:hint="default" w:ascii="仿宋_GB2312" w:hAnsi="仿宋_GB2312" w:eastAsia="仿宋_GB2312" w:cs="仿宋_GB2312"/>
          <w:color w:val="auto"/>
          <w:sz w:val="32"/>
          <w:szCs w:val="32"/>
          <w:highlight w:val="none"/>
          <w:lang w:val="en-US" w:eastAsia="zh-CN"/>
        </w:rPr>
        <w:t>在6个县级中医院推进“两专科一中心”建设，新建25个高水平国医堂和16个旗舰国医堂，</w:t>
      </w:r>
      <w:r>
        <w:rPr>
          <w:rFonts w:hint="eastAsia" w:ascii="仿宋_GB2312" w:hAnsi="仿宋_GB2312" w:eastAsia="仿宋_GB2312" w:cs="仿宋_GB2312"/>
          <w:color w:val="auto"/>
          <w:sz w:val="32"/>
          <w:szCs w:val="32"/>
          <w:highlight w:val="none"/>
          <w:lang w:val="en-US" w:eastAsia="zh-CN"/>
        </w:rPr>
        <w:t>为25名市级名中医和30名基层名老中医全部建立了名中医传承工作室，</w:t>
      </w:r>
      <w:r>
        <w:rPr>
          <w:rFonts w:hint="default" w:ascii="仿宋_GB2312" w:hAnsi="仿宋_GB2312" w:eastAsia="仿宋_GB2312" w:cs="仿宋_GB2312"/>
          <w:color w:val="auto"/>
          <w:sz w:val="32"/>
          <w:szCs w:val="32"/>
          <w:highlight w:val="none"/>
          <w:lang w:val="en-US" w:eastAsia="zh-CN"/>
        </w:rPr>
        <w:t>让群众“在家门口</w:t>
      </w:r>
      <w:r>
        <w:rPr>
          <w:rFonts w:hint="eastAsia" w:ascii="仿宋_GB2312" w:hAnsi="仿宋_GB2312" w:eastAsia="仿宋_GB2312" w:cs="仿宋_GB2312"/>
          <w:color w:val="auto"/>
          <w:sz w:val="32"/>
          <w:szCs w:val="32"/>
          <w:highlight w:val="none"/>
          <w:lang w:val="en-US" w:eastAsia="zh-CN"/>
        </w:rPr>
        <w:t>就能</w:t>
      </w:r>
      <w:r>
        <w:rPr>
          <w:rFonts w:hint="default" w:ascii="仿宋_GB2312" w:hAnsi="仿宋_GB2312" w:eastAsia="仿宋_GB2312" w:cs="仿宋_GB2312"/>
          <w:color w:val="auto"/>
          <w:sz w:val="32"/>
          <w:szCs w:val="32"/>
          <w:highlight w:val="none"/>
          <w:lang w:val="en-US" w:eastAsia="zh-CN"/>
        </w:rPr>
        <w:t>看上好中医”。</w:t>
      </w:r>
      <w:r>
        <w:rPr>
          <w:rFonts w:hint="eastAsia" w:ascii="仿宋_GB2312" w:hAnsi="仿宋_GB2312" w:eastAsia="仿宋_GB2312" w:cs="仿宋_GB2312"/>
          <w:b w:val="0"/>
          <w:bCs w:val="0"/>
          <w:color w:val="auto"/>
          <w:sz w:val="32"/>
          <w:szCs w:val="32"/>
          <w:highlight w:val="none"/>
          <w:lang w:val="en-US" w:eastAsia="zh-CN"/>
        </w:rPr>
        <w:t>开展中医适宜技术进万家，确定了足浴治疗老寒腿等13项家庭中医适宜技术，建成1家市级中医适宜技术推广中心和22家县级服务基地，发放了3万余份家庭中医适宜技术推广册，开展中医适宜技术培训300余场，市民体验、义诊等活动700余次，16万余名市民切实地感受到中医药的“简、便、廉、验”。</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val="0"/>
          <w:color w:val="auto"/>
          <w:sz w:val="32"/>
          <w:szCs w:val="32"/>
          <w:highlight w:val="none"/>
          <w:lang w:val="en-US" w:eastAsia="zh-CN"/>
        </w:rPr>
      </w:pPr>
      <w:r>
        <w:rPr>
          <w:rFonts w:hint="eastAsia" w:ascii="仿宋_GB2312" w:hAnsi="仿宋_GB2312" w:eastAsia="仿宋_GB2312" w:cs="仿宋_GB2312"/>
          <w:b/>
          <w:bCs w:val="0"/>
          <w:color w:val="auto"/>
          <w:sz w:val="32"/>
          <w:szCs w:val="32"/>
          <w:highlight w:val="none"/>
          <w:lang w:val="en-US" w:eastAsia="zh-CN"/>
        </w:rPr>
        <w:t>7.公共卫生</w:t>
      </w:r>
      <w:r>
        <w:rPr>
          <w:rFonts w:hint="default" w:ascii="仿宋_GB2312" w:hAnsi="仿宋_GB2312" w:eastAsia="仿宋_GB2312" w:cs="仿宋_GB2312"/>
          <w:b/>
          <w:bCs w:val="0"/>
          <w:color w:val="auto"/>
          <w:sz w:val="32"/>
          <w:szCs w:val="32"/>
          <w:highlight w:val="none"/>
          <w:lang w:val="en-US" w:eastAsia="zh-CN"/>
        </w:rPr>
        <w:t>服务能力实现新提升</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textAlignment w:val="auto"/>
        <w:rPr>
          <w:rFonts w:hint="eastAsia" w:ascii="黑体" w:hAnsi="黑体" w:eastAsia="黑体"/>
          <w:sz w:val="32"/>
          <w:szCs w:val="32"/>
        </w:rPr>
      </w:pPr>
      <w:r>
        <w:rPr>
          <w:rFonts w:hint="default" w:ascii="仿宋_GB2312" w:hAnsi="仿宋_GB2312" w:eastAsia="仿宋_GB2312" w:cs="仿宋_GB2312"/>
          <w:color w:val="auto"/>
          <w:sz w:val="32"/>
          <w:szCs w:val="32"/>
          <w:highlight w:val="none"/>
          <w:lang w:val="en-US" w:eastAsia="zh-CN"/>
        </w:rPr>
        <w:t>积极推进疾控体系改革，市</w:t>
      </w:r>
      <w:r>
        <w:rPr>
          <w:rFonts w:hint="eastAsia" w:ascii="仿宋_GB2312" w:hAnsi="仿宋_GB2312" w:eastAsia="仿宋_GB2312" w:cs="仿宋_GB2312"/>
          <w:color w:val="auto"/>
          <w:sz w:val="32"/>
          <w:szCs w:val="32"/>
          <w:highlight w:val="none"/>
          <w:lang w:val="en-US" w:eastAsia="zh-CN"/>
        </w:rPr>
        <w:t>、</w:t>
      </w:r>
      <w:r>
        <w:rPr>
          <w:rFonts w:hint="default" w:ascii="仿宋_GB2312" w:hAnsi="仿宋_GB2312" w:eastAsia="仿宋_GB2312" w:cs="仿宋_GB2312"/>
          <w:color w:val="auto"/>
          <w:sz w:val="32"/>
          <w:szCs w:val="32"/>
          <w:highlight w:val="none"/>
          <w:lang w:val="en-US" w:eastAsia="zh-CN"/>
        </w:rPr>
        <w:t>县全部挂牌成立疾病预防控制局</w:t>
      </w:r>
      <w:r>
        <w:rPr>
          <w:rFonts w:hint="eastAsia" w:ascii="仿宋_GB2312" w:hAnsi="仿宋_GB2312" w:eastAsia="仿宋_GB2312" w:cs="仿宋_GB2312"/>
          <w:color w:val="auto"/>
          <w:sz w:val="32"/>
          <w:szCs w:val="32"/>
          <w:highlight w:val="none"/>
          <w:lang w:val="en-US" w:eastAsia="zh-CN"/>
        </w:rPr>
        <w:t>，全面强化疾病防控和综合监督两大业务支柱，夯实法治、人才、科技三项基本保障，加强监测预警、应急处置、监督执法、宣传教育四项能力建设。建成50家示范性预防接种门诊，为全市适龄儿童提供高效、安全和人性化的预防接种服务。</w:t>
      </w:r>
      <w:r>
        <w:rPr>
          <w:rFonts w:hint="default" w:ascii="仿宋_GB2312" w:hAnsi="仿宋_GB2312" w:eastAsia="仿宋_GB2312" w:cs="仿宋_GB2312"/>
          <w:color w:val="auto"/>
          <w:sz w:val="32"/>
          <w:szCs w:val="32"/>
          <w:highlight w:val="none"/>
          <w:lang w:val="en-US" w:eastAsia="zh-CN"/>
        </w:rPr>
        <w:t>扎实开展重大传染病防治，</w:t>
      </w:r>
      <w:r>
        <w:rPr>
          <w:rFonts w:hint="eastAsia" w:ascii="仿宋_GB2312" w:hAnsi="仿宋_GB2312" w:eastAsia="仿宋_GB2312" w:cs="仿宋_GB2312"/>
          <w:color w:val="auto"/>
          <w:sz w:val="32"/>
          <w:szCs w:val="32"/>
          <w:highlight w:val="none"/>
          <w:lang w:val="en-US" w:eastAsia="zh-CN"/>
        </w:rPr>
        <w:t>3家县级结核病定点医院建成结核病标准化门诊，</w:t>
      </w:r>
      <w:r>
        <w:rPr>
          <w:rFonts w:hint="default" w:ascii="仿宋_GB2312" w:hAnsi="仿宋_GB2312" w:eastAsia="仿宋_GB2312" w:cs="仿宋_GB2312"/>
          <w:color w:val="auto"/>
          <w:sz w:val="32"/>
          <w:szCs w:val="32"/>
          <w:highlight w:val="none"/>
          <w:lang w:val="en-US" w:eastAsia="zh-CN"/>
        </w:rPr>
        <w:t>结核病、艾滋病防治各项指标保持全省领先</w:t>
      </w:r>
      <w:r>
        <w:rPr>
          <w:rFonts w:hint="eastAsia" w:ascii="仿宋_GB2312" w:hAnsi="仿宋_GB2312" w:eastAsia="仿宋_GB2312" w:cs="仿宋_GB2312"/>
          <w:color w:val="auto"/>
          <w:sz w:val="32"/>
          <w:szCs w:val="32"/>
          <w:highlight w:val="none"/>
          <w:lang w:val="en-US" w:eastAsia="zh-CN"/>
        </w:rPr>
        <w:t>，成功入选第五轮全国艾滋病综合防控示范区建设。着力提升卫生应急能力，在2023年河北省市级卫生应急综合演练中综合成绩全省第一。</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3" w:firstLineChars="200"/>
        <w:textAlignment w:val="auto"/>
        <w:rPr>
          <w:rFonts w:hint="eastAsia" w:ascii="黑体" w:hAnsi="黑体" w:eastAsia="黑体"/>
          <w:sz w:val="32"/>
          <w:szCs w:val="32"/>
        </w:rPr>
      </w:pPr>
      <w:r>
        <w:rPr>
          <w:rFonts w:hint="eastAsia" w:ascii="仿宋_GB2312" w:hAnsi="仿宋_GB2312" w:eastAsia="仿宋_GB2312" w:cs="仿宋_GB2312"/>
          <w:b/>
          <w:bCs/>
          <w:color w:val="auto"/>
          <w:sz w:val="32"/>
          <w:szCs w:val="32"/>
          <w:highlight w:val="none"/>
          <w:lang w:val="en-US" w:eastAsia="zh-CN"/>
        </w:rPr>
        <w:t>8.以高质量健康素质促进人口高质量发展</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黑体" w:hAnsi="黑体" w:eastAsia="黑体"/>
          <w:sz w:val="32"/>
          <w:szCs w:val="32"/>
        </w:rPr>
      </w:pPr>
      <w:r>
        <w:rPr>
          <w:rFonts w:hint="eastAsia" w:ascii="仿宋_GB2312" w:hAnsi="仿宋_GB2312" w:eastAsia="仿宋_GB2312" w:cs="仿宋_GB2312"/>
          <w:b w:val="0"/>
          <w:bCs w:val="0"/>
          <w:color w:val="auto"/>
          <w:sz w:val="32"/>
          <w:szCs w:val="32"/>
          <w:highlight w:val="none"/>
          <w:lang w:val="en-US" w:eastAsia="zh-CN"/>
        </w:rPr>
        <w:t>持续完善生育支持措施，完成孕妇产前基因免费筛查110251例、适龄妇女“两癌”筛查209140人，全市五岁以下儿童死亡率控制在2.14‰以内，牢牢守住母婴安全红线。大力发展普惠托育，打造51家标准化托育机构，成功获批中国计生协新市民健康行动、向日葵亲子小屋等项目，优生优育托幼照护顺利通过中国计生协项目评估，在全省首个研发婴幼儿照护信息化平台，率先成立托育行业协会，让“最柔软的人群”幼有善育。截至目前，全市千人口托位数3.94个，被评为全国第一批婴幼儿照护服务示范城市，家长带娃“难”得到有效缓解。面向全市在校中小学生开展青少年脊柱侧弯防控工程，累计筛查153万名人，超额完成筛查任务，筛查率100%，做到早筛查、早干预，为青少年健康成长保驾护航。继续为全市14周岁女孩免费接种HPV疫苗，53122名适龄女孩从中受益。大力实施老年促进行动，成功获批中国计生协计生特殊家庭暖心家园项目，5 个社区（村）申报全国示范性老年友好型社区，正定县、石家庄平安医院分别申报创建全国医养结合示范县和全国医养结合示范机构，为老人生活增添幸福底色。</w:t>
      </w:r>
    </w:p>
    <w:p>
      <w:pPr>
        <w:keepNext w:val="0"/>
        <w:keepLines w:val="0"/>
        <w:pageBreakBefore w:val="0"/>
        <w:widowControl w:val="0"/>
        <w:kinsoku/>
        <w:wordWrap/>
        <w:overflowPunct/>
        <w:topLinePunct w:val="0"/>
        <w:autoSpaceDE/>
        <w:autoSpaceDN/>
        <w:bidi w:val="0"/>
        <w:adjustRightInd w:val="0"/>
        <w:snapToGrid w:val="0"/>
        <w:spacing w:line="578" w:lineRule="exact"/>
        <w:ind w:left="0" w:firstLine="640" w:firstLineChars="200"/>
        <w:textAlignment w:val="auto"/>
        <w:outlineLvl w:val="0"/>
        <w:rPr>
          <w:rFonts w:ascii="黑体" w:hAnsi="黑体" w:eastAsia="黑体"/>
          <w:sz w:val="32"/>
          <w:szCs w:val="32"/>
        </w:rPr>
      </w:pPr>
      <w:r>
        <w:rPr>
          <w:rFonts w:hint="eastAsia" w:ascii="黑体" w:hAnsi="黑体" w:eastAsia="黑体"/>
          <w:sz w:val="32"/>
          <w:szCs w:val="32"/>
        </w:rPr>
        <w:t>四、评价结论和评价等级</w:t>
      </w:r>
      <w:bookmarkEnd w:id="28"/>
    </w:p>
    <w:p>
      <w:pPr>
        <w:keepNext w:val="0"/>
        <w:keepLines w:val="0"/>
        <w:pageBreakBefore w:val="0"/>
        <w:widowControl w:val="0"/>
        <w:kinsoku/>
        <w:wordWrap/>
        <w:overflowPunct/>
        <w:topLinePunct w:val="0"/>
        <w:autoSpaceDE/>
        <w:autoSpaceDN/>
        <w:bidi w:val="0"/>
        <w:adjustRightInd/>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根据</w:t>
      </w:r>
      <w:r>
        <w:rPr>
          <w:rFonts w:hint="eastAsia" w:ascii="仿宋_GB2312" w:hAnsi="仿宋_GB2312" w:eastAsia="仿宋_GB2312" w:cs="仿宋_GB2312"/>
          <w:sz w:val="32"/>
          <w:szCs w:val="32"/>
          <w:highlight w:val="none"/>
          <w:lang w:eastAsia="zh-CN"/>
        </w:rPr>
        <w:t>部门职责定位和各项工作履职情况进行综合评价</w:t>
      </w:r>
      <w:r>
        <w:rPr>
          <w:rFonts w:hint="eastAsia" w:ascii="仿宋_GB2312" w:hAnsi="仿宋_GB2312" w:eastAsia="仿宋_GB2312" w:cs="仿宋_GB2312"/>
          <w:sz w:val="32"/>
          <w:szCs w:val="32"/>
          <w:highlight w:val="none"/>
        </w:rPr>
        <w:t>，给出总得分，满分100分，得出综合绩效评价等级。</w:t>
      </w:r>
      <w:r>
        <w:rPr>
          <w:rFonts w:hint="eastAsia" w:ascii="仿宋_GB2312" w:hAnsi="仿宋_GB2312" w:eastAsia="仿宋_GB2312" w:cs="仿宋_GB2312"/>
          <w:sz w:val="32"/>
          <w:szCs w:val="32"/>
          <w:highlight w:val="none"/>
          <w:lang w:eastAsia="zh-CN"/>
        </w:rPr>
        <w:t>部门整体支出</w:t>
      </w:r>
      <w:r>
        <w:rPr>
          <w:rFonts w:hint="eastAsia" w:ascii="仿宋_GB2312" w:hAnsi="仿宋_GB2312" w:eastAsia="仿宋_GB2312" w:cs="仿宋_GB2312"/>
          <w:sz w:val="32"/>
          <w:szCs w:val="32"/>
          <w:highlight w:val="none"/>
        </w:rPr>
        <w:t>综合绩效评价分为4个等级：得分≥85分为优秀；75≤得分＜85分为良好；60≤得分＜75分为一般；得分＜60分为较差。</w:t>
      </w:r>
    </w:p>
    <w:p>
      <w:pPr>
        <w:keepNext w:val="0"/>
        <w:keepLines w:val="0"/>
        <w:pageBreakBefore w:val="0"/>
        <w:widowControl w:val="0"/>
        <w:kinsoku/>
        <w:wordWrap/>
        <w:overflowPunct/>
        <w:topLinePunct w:val="0"/>
        <w:autoSpaceDE/>
        <w:autoSpaceDN/>
        <w:bidi w:val="0"/>
        <w:adjustRightInd/>
        <w:snapToGrid w:val="0"/>
        <w:spacing w:line="578" w:lineRule="exact"/>
        <w:ind w:left="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val="en-US" w:eastAsia="zh-CN"/>
        </w:rPr>
        <w:t>经过整体评价，</w:t>
      </w:r>
      <w:r>
        <w:rPr>
          <w:rFonts w:hint="eastAsia" w:ascii="仿宋_GB2312" w:hAnsi="仿宋_GB2312" w:eastAsia="仿宋_GB2312" w:cs="仿宋_GB2312"/>
          <w:sz w:val="32"/>
          <w:szCs w:val="32"/>
          <w:lang w:val="en-US" w:eastAsia="zh-CN"/>
        </w:rPr>
        <w:t>我委</w:t>
      </w:r>
      <w:r>
        <w:rPr>
          <w:rFonts w:hint="eastAsia" w:ascii="仿宋_GB2312" w:hAnsi="仿宋_GB2312" w:eastAsia="仿宋_GB2312" w:cs="仿宋_GB2312"/>
          <w:sz w:val="32"/>
          <w:szCs w:val="32"/>
        </w:rPr>
        <w:t>根据20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年工作计划，</w:t>
      </w:r>
      <w:r>
        <w:rPr>
          <w:rFonts w:hint="eastAsia" w:ascii="仿宋_GB2312" w:hAnsi="仿宋_GB2312" w:eastAsia="仿宋_GB2312" w:cs="仿宋_GB2312"/>
          <w:spacing w:val="0"/>
          <w:w w:val="100"/>
          <w:sz w:val="32"/>
          <w:szCs w:val="32"/>
          <w:lang w:eastAsia="zh-CN"/>
        </w:rPr>
        <w:t>紧紧围绕</w:t>
      </w:r>
      <w:r>
        <w:rPr>
          <w:rFonts w:hint="eastAsia" w:ascii="仿宋_GB2312" w:hAnsi="仿宋_GB2312" w:eastAsia="仿宋_GB2312" w:cs="仿宋_GB2312"/>
          <w:color w:val="auto"/>
          <w:sz w:val="32"/>
          <w:szCs w:val="32"/>
          <w:lang w:eastAsia="zh-CN"/>
        </w:rPr>
        <w:t>国家、省市一系列会议精神和决策部署</w:t>
      </w:r>
      <w:r>
        <w:rPr>
          <w:rFonts w:hint="eastAsia" w:ascii="仿宋_GB2312" w:hAnsi="仿宋_GB2312" w:eastAsia="仿宋_GB2312" w:cs="仿宋_GB2312"/>
          <w:spacing w:val="0"/>
          <w:w w:val="100"/>
          <w:sz w:val="32"/>
          <w:szCs w:val="32"/>
          <w:lang w:eastAsia="zh-CN"/>
        </w:rPr>
        <w:t>，</w:t>
      </w:r>
      <w:r>
        <w:rPr>
          <w:rFonts w:hint="eastAsia" w:ascii="仿宋_GB2312" w:hAnsi="仿宋_GB2312" w:eastAsia="仿宋_GB2312" w:cs="仿宋_GB2312"/>
          <w:color w:val="auto"/>
          <w:sz w:val="32"/>
          <w:szCs w:val="32"/>
          <w:lang w:val="en-US" w:eastAsia="zh-CN"/>
        </w:rPr>
        <w:t>坚持党的全面领导，</w:t>
      </w:r>
      <w:r>
        <w:rPr>
          <w:rFonts w:hint="eastAsia" w:ascii="仿宋_GB2312" w:hAnsi="仿宋_GB2312" w:eastAsia="仿宋_GB2312" w:cs="仿宋_GB2312"/>
          <w:color w:val="auto"/>
          <w:sz w:val="32"/>
          <w:szCs w:val="32"/>
          <w:lang w:eastAsia="zh-CN"/>
        </w:rPr>
        <w:t>遵循</w:t>
      </w:r>
      <w:r>
        <w:rPr>
          <w:rFonts w:hint="eastAsia" w:ascii="仿宋_GB2312" w:hAnsi="仿宋_GB2312" w:eastAsia="仿宋_GB2312" w:cs="仿宋_GB2312"/>
          <w:color w:val="auto"/>
          <w:sz w:val="32"/>
          <w:szCs w:val="32"/>
        </w:rPr>
        <w:t>新时代卫生健康工作方针，</w:t>
      </w:r>
      <w:r>
        <w:rPr>
          <w:rFonts w:hint="eastAsia" w:ascii="仿宋_GB2312" w:hAnsi="仿宋_GB2312" w:eastAsia="仿宋_GB2312" w:cs="仿宋_GB2312"/>
          <w:color w:val="auto"/>
          <w:sz w:val="32"/>
          <w:szCs w:val="32"/>
          <w:lang w:val="en-US" w:eastAsia="zh-CN"/>
        </w:rPr>
        <w:t>树牢“大卫生、大健康”理念，以高质量发展为主题，</w:t>
      </w:r>
      <w:r>
        <w:rPr>
          <w:rFonts w:hint="eastAsia" w:ascii="仿宋_GB2312" w:hAnsi="仿宋_GB2312" w:eastAsia="仿宋_GB2312" w:cs="仿宋_GB2312"/>
          <w:color w:val="auto"/>
          <w:sz w:val="32"/>
          <w:szCs w:val="32"/>
        </w:rPr>
        <w:t>以</w:t>
      </w:r>
      <w:r>
        <w:rPr>
          <w:rFonts w:hint="eastAsia" w:ascii="仿宋_GB2312" w:hAnsi="仿宋_GB2312" w:eastAsia="仿宋_GB2312" w:cs="仿宋_GB2312"/>
          <w:color w:val="auto"/>
          <w:sz w:val="32"/>
          <w:szCs w:val="32"/>
          <w:lang w:eastAsia="zh-CN"/>
        </w:rPr>
        <w:t>推进</w:t>
      </w:r>
      <w:r>
        <w:rPr>
          <w:rFonts w:hint="eastAsia" w:ascii="仿宋_GB2312" w:hAnsi="仿宋_GB2312" w:eastAsia="仿宋_GB2312" w:cs="仿宋_GB2312"/>
          <w:color w:val="auto"/>
          <w:sz w:val="32"/>
          <w:szCs w:val="32"/>
        </w:rPr>
        <w:t>健康石家庄建设为主线，</w:t>
      </w:r>
      <w:r>
        <w:rPr>
          <w:rFonts w:hint="eastAsia" w:ascii="仿宋_GB2312" w:hAnsi="仿宋_GB2312" w:eastAsia="仿宋_GB2312" w:cs="仿宋_GB2312"/>
          <w:color w:val="auto"/>
          <w:sz w:val="32"/>
          <w:szCs w:val="32"/>
          <w:lang w:eastAsia="zh-CN"/>
        </w:rPr>
        <w:t>以深化医改为引领，</w:t>
      </w:r>
      <w:r>
        <w:rPr>
          <w:rFonts w:hint="eastAsia" w:ascii="仿宋_GB2312" w:hAnsi="仿宋_GB2312" w:eastAsia="仿宋_GB2312" w:cs="仿宋_GB2312"/>
          <w:color w:val="auto"/>
          <w:sz w:val="32"/>
          <w:szCs w:val="32"/>
          <w:lang w:val="en-US" w:eastAsia="zh-CN"/>
        </w:rPr>
        <w:t>努力全方位全周期保障人民健康，</w:t>
      </w:r>
      <w:r>
        <w:rPr>
          <w:rFonts w:hint="eastAsia" w:ascii="仿宋_GB2312" w:hAnsi="仿宋_GB2312" w:eastAsia="仿宋_GB2312" w:cs="仿宋_GB2312"/>
          <w:sz w:val="32"/>
          <w:szCs w:val="32"/>
        </w:rPr>
        <w:t>为加快建设</w:t>
      </w:r>
      <w:r>
        <w:rPr>
          <w:rFonts w:hint="eastAsia" w:ascii="仿宋_GB2312" w:hAnsi="仿宋_GB2312" w:eastAsia="仿宋_GB2312" w:cs="仿宋_GB2312"/>
          <w:sz w:val="32"/>
          <w:szCs w:val="32"/>
          <w:lang w:eastAsia="zh-CN"/>
        </w:rPr>
        <w:t>现代化、国际化美丽省会城市</w:t>
      </w:r>
      <w:r>
        <w:rPr>
          <w:rFonts w:hint="eastAsia" w:ascii="仿宋_GB2312" w:hAnsi="仿宋_GB2312" w:eastAsia="仿宋_GB2312" w:cs="仿宋_GB2312"/>
          <w:sz w:val="32"/>
          <w:szCs w:val="32"/>
        </w:rPr>
        <w:t>提供</w:t>
      </w:r>
      <w:r>
        <w:rPr>
          <w:rFonts w:hint="eastAsia" w:ascii="仿宋_GB2312" w:hAnsi="仿宋_GB2312" w:eastAsia="仿宋_GB2312" w:cs="仿宋_GB2312"/>
          <w:sz w:val="32"/>
          <w:szCs w:val="32"/>
          <w:lang w:val="en"/>
        </w:rPr>
        <w:t>了</w:t>
      </w:r>
      <w:r>
        <w:rPr>
          <w:rFonts w:hint="eastAsia" w:ascii="仿宋_GB2312" w:hAnsi="仿宋_GB2312" w:eastAsia="仿宋_GB2312" w:cs="仿宋_GB2312"/>
          <w:sz w:val="32"/>
          <w:szCs w:val="32"/>
        </w:rPr>
        <w:t>坚实健康保障。</w:t>
      </w:r>
    </w:p>
    <w:p>
      <w:pPr>
        <w:keepNext w:val="0"/>
        <w:keepLines w:val="0"/>
        <w:pageBreakBefore w:val="0"/>
        <w:widowControl w:val="0"/>
        <w:kinsoku/>
        <w:wordWrap/>
        <w:overflowPunct/>
        <w:topLinePunct w:val="0"/>
        <w:autoSpaceDE/>
        <w:autoSpaceDN/>
        <w:bidi w:val="0"/>
        <w:adjustRightInd/>
        <w:snapToGrid w:val="0"/>
        <w:spacing w:line="578" w:lineRule="exact"/>
        <w:ind w:left="0" w:firstLine="640" w:firstLineChars="200"/>
        <w:textAlignment w:val="auto"/>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我委2023年度部门整体绩效自评得分</w:t>
      </w:r>
      <w:r>
        <w:rPr>
          <w:rFonts w:hint="eastAsia" w:ascii="仿宋_GB2312" w:hAnsi="仿宋_GB2312" w:eastAsia="仿宋_GB2312" w:cs="仿宋_GB2312"/>
          <w:sz w:val="32"/>
          <w:szCs w:val="32"/>
          <w:highlight w:val="none"/>
          <w:lang w:val="en-US" w:eastAsia="zh-CN"/>
        </w:rPr>
        <w:t>95.48</w:t>
      </w:r>
      <w:r>
        <w:rPr>
          <w:rFonts w:hint="eastAsia" w:ascii="仿宋_GB2312" w:hAnsi="仿宋_GB2312" w:eastAsia="仿宋_GB2312" w:cs="仿宋_GB2312"/>
          <w:b w:val="0"/>
          <w:bCs w:val="0"/>
          <w:kern w:val="2"/>
          <w:sz w:val="32"/>
          <w:szCs w:val="32"/>
          <w:highlight w:val="none"/>
          <w:lang w:val="en-US" w:eastAsia="zh-CN" w:bidi="ar-SA"/>
        </w:rPr>
        <w:t>分，评价等级为“优”。</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0"/>
        <w:rPr>
          <w:rFonts w:hint="eastAsia" w:ascii="黑体" w:hAnsi="黑体" w:eastAsia="黑体" w:cs="黑体"/>
          <w:sz w:val="32"/>
          <w:szCs w:val="32"/>
          <w:highlight w:val="none"/>
          <w:lang w:val="en-US" w:eastAsia="zh-CN"/>
        </w:rPr>
      </w:pPr>
      <w:bookmarkStart w:id="30" w:name="_Toc15925"/>
      <w:r>
        <w:rPr>
          <w:rFonts w:hint="eastAsia" w:ascii="黑体" w:hAnsi="黑体" w:eastAsia="黑体" w:cs="黑体"/>
          <w:sz w:val="32"/>
          <w:szCs w:val="32"/>
          <w:highlight w:val="none"/>
          <w:lang w:val="en-US" w:eastAsia="zh-CN"/>
        </w:rPr>
        <w:t>五、存在的问题及改进措施</w:t>
      </w:r>
      <w:bookmarkEnd w:id="30"/>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highlight w:val="none"/>
          <w:lang w:val="en-US" w:eastAsia="zh-CN"/>
        </w:rPr>
      </w:pPr>
      <w:bookmarkStart w:id="31" w:name="_Toc24424"/>
      <w:r>
        <w:rPr>
          <w:rFonts w:hint="eastAsia" w:ascii="楷体" w:hAnsi="楷体" w:eastAsia="楷体" w:cs="楷体"/>
          <w:b w:val="0"/>
          <w:bCs w:val="0"/>
          <w:sz w:val="32"/>
          <w:szCs w:val="32"/>
          <w:highlight w:val="none"/>
        </w:rPr>
        <w:t>（</w:t>
      </w:r>
      <w:r>
        <w:rPr>
          <w:rFonts w:hint="eastAsia" w:ascii="楷体" w:hAnsi="楷体" w:eastAsia="楷体" w:cs="楷体"/>
          <w:b w:val="0"/>
          <w:bCs w:val="0"/>
          <w:sz w:val="32"/>
          <w:szCs w:val="32"/>
          <w:highlight w:val="none"/>
          <w:lang w:val="en-US" w:eastAsia="zh-CN"/>
        </w:rPr>
        <w:t>一</w:t>
      </w:r>
      <w:r>
        <w:rPr>
          <w:rFonts w:hint="eastAsia" w:ascii="楷体" w:hAnsi="楷体" w:eastAsia="楷体" w:cs="楷体"/>
          <w:b w:val="0"/>
          <w:bCs w:val="0"/>
          <w:sz w:val="32"/>
          <w:szCs w:val="32"/>
          <w:highlight w:val="none"/>
        </w:rPr>
        <w:t>）</w:t>
      </w:r>
      <w:r>
        <w:rPr>
          <w:rFonts w:hint="eastAsia" w:ascii="楷体" w:hAnsi="楷体" w:eastAsia="楷体" w:cs="楷体"/>
          <w:b w:val="0"/>
          <w:bCs w:val="0"/>
          <w:sz w:val="32"/>
          <w:szCs w:val="32"/>
          <w:highlight w:val="none"/>
          <w:lang w:val="en-US" w:eastAsia="zh-CN"/>
        </w:rPr>
        <w:t>存在的问题</w:t>
      </w:r>
      <w:bookmarkEnd w:id="31"/>
    </w:p>
    <w:p>
      <w:pPr>
        <w:pStyle w:val="6"/>
        <w:keepNext w:val="0"/>
        <w:keepLines w:val="0"/>
        <w:pageBreakBefore w:val="0"/>
        <w:widowControl w:val="0"/>
        <w:kinsoku/>
        <w:wordWrap/>
        <w:overflowPunct/>
        <w:topLinePunct w:val="0"/>
        <w:autoSpaceDE/>
        <w:autoSpaceDN/>
        <w:bidi w:val="0"/>
        <w:spacing w:line="578" w:lineRule="exact"/>
        <w:ind w:left="0" w:firstLine="643"/>
        <w:textAlignment w:val="auto"/>
        <w:outlineLvl w:val="2"/>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1.个别项目目标和指标设置简化</w:t>
      </w:r>
      <w:bookmarkEnd w:id="29"/>
    </w:p>
    <w:p>
      <w:pPr>
        <w:pStyle w:val="6"/>
        <w:keepNext w:val="0"/>
        <w:keepLines w:val="0"/>
        <w:pageBreakBefore w:val="0"/>
        <w:widowControl w:val="0"/>
        <w:kinsoku/>
        <w:wordWrap/>
        <w:overflowPunct/>
        <w:topLinePunct w:val="0"/>
        <w:autoSpaceDE/>
        <w:autoSpaceDN/>
        <w:bidi w:val="0"/>
        <w:spacing w:line="578" w:lineRule="exact"/>
        <w:ind w:left="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lang w:val="en-US" w:eastAsia="zh-CN"/>
        </w:rPr>
        <w:t>个别</w:t>
      </w:r>
      <w:r>
        <w:rPr>
          <w:rFonts w:hint="eastAsia" w:ascii="仿宋_GB2312" w:hAnsi="仿宋_GB2312" w:eastAsia="仿宋_GB2312" w:cs="仿宋_GB2312"/>
          <w:bCs/>
          <w:sz w:val="32"/>
          <w:szCs w:val="32"/>
          <w:highlight w:val="none"/>
        </w:rPr>
        <w:t>绩效目标不够完善，不能完整清晰体现工作活动的产出和效果，依据绩效目标所设置的绩效指标不够细化，不能完整清晰的反映活动目标完成情况。</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highlight w:val="none"/>
        </w:rPr>
      </w:pPr>
      <w:bookmarkStart w:id="32" w:name="_Toc12390"/>
      <w:r>
        <w:rPr>
          <w:rFonts w:hint="eastAsia" w:ascii="楷体" w:hAnsi="楷体" w:eastAsia="楷体" w:cs="楷体"/>
          <w:b w:val="0"/>
          <w:bCs w:val="0"/>
          <w:sz w:val="32"/>
          <w:szCs w:val="32"/>
          <w:highlight w:val="none"/>
        </w:rPr>
        <w:t>（二）针对问题提出具体的改进措施或建议</w:t>
      </w:r>
      <w:bookmarkEnd w:id="32"/>
    </w:p>
    <w:p>
      <w:pPr>
        <w:pStyle w:val="6"/>
        <w:keepNext w:val="0"/>
        <w:keepLines w:val="0"/>
        <w:pageBreakBefore w:val="0"/>
        <w:widowControl w:val="0"/>
        <w:kinsoku/>
        <w:wordWrap/>
        <w:overflowPunct/>
        <w:topLinePunct w:val="0"/>
        <w:autoSpaceDE/>
        <w:autoSpaceDN/>
        <w:bidi w:val="0"/>
        <w:spacing w:line="578" w:lineRule="exact"/>
        <w:ind w:left="0" w:firstLine="643"/>
        <w:textAlignment w:val="auto"/>
        <w:outlineLvl w:val="2"/>
        <w:rPr>
          <w:rFonts w:hint="eastAsia" w:ascii="仿宋_GB2312" w:hAnsi="仿宋_GB2312" w:eastAsia="仿宋_GB2312" w:cs="仿宋_GB2312"/>
          <w:b/>
          <w:bCs/>
          <w:sz w:val="32"/>
          <w:szCs w:val="32"/>
          <w:highlight w:val="none"/>
        </w:rPr>
      </w:pPr>
      <w:bookmarkStart w:id="33" w:name="_Toc70582283"/>
      <w:r>
        <w:rPr>
          <w:rFonts w:hint="eastAsia" w:ascii="仿宋_GB2312" w:hAnsi="仿宋_GB2312" w:eastAsia="仿宋_GB2312" w:cs="仿宋_GB2312"/>
          <w:b/>
          <w:bCs/>
          <w:sz w:val="32"/>
          <w:szCs w:val="32"/>
          <w:highlight w:val="none"/>
        </w:rPr>
        <w:t>1.科学设定绩效目标和指标</w:t>
      </w:r>
      <w:bookmarkEnd w:id="33"/>
    </w:p>
    <w:p>
      <w:pPr>
        <w:pStyle w:val="6"/>
        <w:keepNext w:val="0"/>
        <w:keepLines w:val="0"/>
        <w:pageBreakBefore w:val="0"/>
        <w:widowControl w:val="0"/>
        <w:kinsoku/>
        <w:wordWrap/>
        <w:overflowPunct/>
        <w:topLinePunct w:val="0"/>
        <w:autoSpaceDE/>
        <w:autoSpaceDN/>
        <w:bidi w:val="0"/>
        <w:spacing w:line="578" w:lineRule="exact"/>
        <w:ind w:left="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预算部门应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pPr>
        <w:pStyle w:val="6"/>
        <w:keepNext w:val="0"/>
        <w:keepLines w:val="0"/>
        <w:pageBreakBefore w:val="0"/>
        <w:widowControl w:val="0"/>
        <w:kinsoku/>
        <w:wordWrap/>
        <w:overflowPunct/>
        <w:topLinePunct w:val="0"/>
        <w:autoSpaceDE/>
        <w:autoSpaceDN/>
        <w:bidi w:val="0"/>
        <w:spacing w:line="578" w:lineRule="exact"/>
        <w:ind w:left="0" w:firstLine="643"/>
        <w:textAlignment w:val="auto"/>
        <w:outlineLvl w:val="2"/>
        <w:rPr>
          <w:rFonts w:hint="eastAsia" w:ascii="仿宋_GB2312" w:hAnsi="仿宋_GB2312" w:eastAsia="仿宋_GB2312" w:cs="仿宋_GB2312"/>
          <w:b/>
          <w:bCs/>
          <w:sz w:val="32"/>
          <w:szCs w:val="32"/>
          <w:highlight w:val="none"/>
        </w:rPr>
      </w:pPr>
      <w:bookmarkStart w:id="34" w:name="_Toc70582288"/>
      <w:r>
        <w:rPr>
          <w:rFonts w:hint="eastAsia" w:ascii="仿宋_GB2312" w:hAnsi="仿宋_GB2312" w:eastAsia="仿宋_GB2312" w:cs="仿宋_GB2312"/>
          <w:b/>
          <w:bCs/>
          <w:sz w:val="32"/>
          <w:szCs w:val="32"/>
          <w:highlight w:val="none"/>
          <w:lang w:val="en-US" w:eastAsia="zh-CN"/>
        </w:rPr>
        <w:t>2</w:t>
      </w:r>
      <w:r>
        <w:rPr>
          <w:rFonts w:hint="eastAsia" w:ascii="仿宋_GB2312" w:hAnsi="仿宋_GB2312" w:eastAsia="仿宋_GB2312" w:cs="仿宋_GB2312"/>
          <w:b/>
          <w:bCs/>
          <w:sz w:val="32"/>
          <w:szCs w:val="32"/>
          <w:highlight w:val="none"/>
        </w:rPr>
        <w:t>.提高部门绩效管理意识</w:t>
      </w:r>
      <w:bookmarkEnd w:id="34"/>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rPr>
      </w:pPr>
      <w:bookmarkStart w:id="35" w:name="_Toc1926"/>
      <w:bookmarkStart w:id="36" w:name="_Toc17737"/>
      <w:bookmarkStart w:id="37" w:name="_Toc3280"/>
      <w:r>
        <w:rPr>
          <w:rFonts w:hint="eastAsia" w:ascii="仿宋_GB2312" w:hAnsi="仿宋_GB2312" w:eastAsia="仿宋_GB2312" w:cs="仿宋_GB2312"/>
          <w:sz w:val="32"/>
          <w:szCs w:val="32"/>
          <w:highlight w:val="none"/>
          <w:lang w:val="en-US" w:eastAsia="zh-CN"/>
        </w:rPr>
        <w:t>部门</w:t>
      </w:r>
      <w:r>
        <w:rPr>
          <w:rFonts w:hint="eastAsia" w:ascii="仿宋_GB2312" w:hAnsi="仿宋_GB2312" w:eastAsia="仿宋_GB2312" w:cs="仿宋_GB2312"/>
          <w:sz w:val="32"/>
          <w:szCs w:val="32"/>
          <w:highlight w:val="none"/>
        </w:rPr>
        <w:t>在今后的工作中，应加强对预算绩效管理工作的重视，把绩效理念融入到预算编制、执行、监督管理的全过程，通过制定统一的工作规划、管理制度体系，加强对预算绩效管理的保障支撑性。通过组织培训，加强宣传等方式，加强部门工作人员对预算绩效管理的认识，充分理解财政绩效评价指标体系，强化全过程预算绩效管理理念，积极主动的开展绩效管理工作，以提高财政资金使用效益。</w:t>
      </w:r>
      <w:bookmarkEnd w:id="35"/>
      <w:bookmarkEnd w:id="36"/>
      <w:bookmarkEnd w:id="37"/>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0"/>
        <w:rPr>
          <w:rFonts w:hint="eastAsia" w:ascii="黑体" w:hAnsi="黑体" w:eastAsia="黑体" w:cs="黑体"/>
          <w:sz w:val="32"/>
          <w:szCs w:val="32"/>
        </w:rPr>
      </w:pPr>
      <w:bookmarkStart w:id="38" w:name="_Toc21273"/>
      <w:r>
        <w:rPr>
          <w:rFonts w:hint="eastAsia" w:ascii="黑体" w:hAnsi="黑体" w:eastAsia="黑体" w:cs="黑体"/>
          <w:sz w:val="32"/>
          <w:szCs w:val="32"/>
          <w:lang w:val="en-US" w:eastAsia="zh-CN"/>
        </w:rPr>
        <w:t>六</w:t>
      </w:r>
      <w:r>
        <w:rPr>
          <w:rFonts w:hint="eastAsia" w:ascii="黑体" w:hAnsi="黑体" w:eastAsia="黑体" w:cs="黑体"/>
          <w:sz w:val="32"/>
          <w:szCs w:val="32"/>
        </w:rPr>
        <w:t>、</w:t>
      </w:r>
      <w:r>
        <w:rPr>
          <w:rFonts w:hint="eastAsia" w:ascii="黑体" w:hAnsi="黑体" w:eastAsia="黑体" w:cs="黑体"/>
          <w:sz w:val="32"/>
          <w:szCs w:val="32"/>
          <w:highlight w:val="none"/>
        </w:rPr>
        <w:t>评价工作组人员名单</w:t>
      </w:r>
      <w:r>
        <w:rPr>
          <w:rFonts w:hint="eastAsia" w:ascii="黑体" w:hAnsi="黑体" w:eastAsia="黑体" w:cs="黑体"/>
          <w:sz w:val="32"/>
          <w:szCs w:val="32"/>
        </w:rPr>
        <w:t>及签字</w:t>
      </w:r>
      <w:bookmarkEnd w:id="38"/>
    </w:p>
    <w:p>
      <w:pPr>
        <w:keepNext w:val="0"/>
        <w:keepLines w:val="0"/>
        <w:pageBreakBefore w:val="0"/>
        <w:widowControl w:val="0"/>
        <w:kinsoku/>
        <w:wordWrap/>
        <w:overflowPunct/>
        <w:topLinePunct w:val="0"/>
        <w:autoSpaceDE/>
        <w:autoSpaceDN/>
        <w:bidi w:val="0"/>
        <w:spacing w:line="578" w:lineRule="exact"/>
        <w:ind w:lef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 长：</w:t>
      </w:r>
      <w:r>
        <w:rPr>
          <w:rFonts w:hint="eastAsia" w:ascii="仿宋_GB2312" w:hAnsi="仿宋_GB2312" w:eastAsia="仿宋_GB2312" w:cs="仿宋_GB2312"/>
          <w:sz w:val="32"/>
          <w:szCs w:val="32"/>
          <w:lang w:val="en-US" w:eastAsia="zh-CN"/>
        </w:rPr>
        <w:t>施文国 石家庄市卫健委 副主任</w:t>
      </w:r>
    </w:p>
    <w:p>
      <w:pPr>
        <w:keepNext w:val="0"/>
        <w:keepLines w:val="0"/>
        <w:pageBreakBefore w:val="0"/>
        <w:widowControl w:val="0"/>
        <w:kinsoku/>
        <w:wordWrap/>
        <w:overflowPunct/>
        <w:topLinePunct w:val="0"/>
        <w:autoSpaceDE/>
        <w:autoSpaceDN/>
        <w:bidi w:val="0"/>
        <w:spacing w:line="578" w:lineRule="exact"/>
        <w:ind w:lef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 员：</w:t>
      </w:r>
      <w:r>
        <w:rPr>
          <w:rFonts w:hint="eastAsia" w:ascii="仿宋_GB2312" w:hAnsi="仿宋_GB2312" w:eastAsia="仿宋_GB2312" w:cs="仿宋_GB2312"/>
          <w:sz w:val="32"/>
          <w:szCs w:val="32"/>
          <w:lang w:val="en-US" w:eastAsia="zh-CN"/>
        </w:rPr>
        <w:t>胡金石 石家庄市卫健委 财务科科长</w:t>
      </w:r>
    </w:p>
    <w:p>
      <w:pPr>
        <w:keepNext w:val="0"/>
        <w:keepLines w:val="0"/>
        <w:pageBreakBefore w:val="0"/>
        <w:widowControl w:val="0"/>
        <w:kinsoku/>
        <w:wordWrap/>
        <w:overflowPunct/>
        <w:topLinePunct w:val="0"/>
        <w:autoSpaceDE/>
        <w:autoSpaceDN/>
        <w:bidi w:val="0"/>
        <w:spacing w:line="578" w:lineRule="exact"/>
        <w:ind w:left="0" w:firstLine="64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 员：</w:t>
      </w:r>
      <w:r>
        <w:rPr>
          <w:rFonts w:hint="eastAsia" w:ascii="仿宋_GB2312" w:hAnsi="仿宋_GB2312" w:eastAsia="仿宋_GB2312" w:cs="仿宋_GB2312"/>
          <w:sz w:val="32"/>
          <w:szCs w:val="32"/>
          <w:lang w:val="en-US" w:eastAsia="zh-CN"/>
        </w:rPr>
        <w:t>王彦蕊 石家庄市卫健委 财务科 二级主任科员</w:t>
      </w:r>
    </w:p>
    <w:p>
      <w:pPr>
        <w:keepNext w:val="0"/>
        <w:keepLines w:val="0"/>
        <w:pageBreakBefore w:val="0"/>
        <w:widowControl w:val="0"/>
        <w:kinsoku/>
        <w:wordWrap/>
        <w:overflowPunct/>
        <w:topLinePunct w:val="0"/>
        <w:autoSpaceDE/>
        <w:autoSpaceDN/>
        <w:bidi w:val="0"/>
        <w:spacing w:line="578" w:lineRule="exact"/>
        <w:ind w:left="0"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 员：</w:t>
      </w:r>
      <w:r>
        <w:rPr>
          <w:rFonts w:hint="eastAsia" w:ascii="仿宋_GB2312" w:hAnsi="仿宋_GB2312" w:eastAsia="仿宋_GB2312" w:cs="仿宋_GB2312"/>
          <w:sz w:val="32"/>
          <w:szCs w:val="32"/>
          <w:lang w:val="en-US" w:eastAsia="zh-CN"/>
        </w:rPr>
        <w:t>杨伟娟 石家庄市卫健委 财务科 副科长</w:t>
      </w:r>
    </w:p>
    <w:p>
      <w:pPr>
        <w:keepNext w:val="0"/>
        <w:keepLines w:val="0"/>
        <w:pageBreakBefore w:val="0"/>
        <w:widowControl w:val="0"/>
        <w:kinsoku/>
        <w:wordWrap/>
        <w:overflowPunct/>
        <w:topLinePunct w:val="0"/>
        <w:autoSpaceDE/>
        <w:autoSpaceDN/>
        <w:bidi w:val="0"/>
        <w:adjustRightInd/>
        <w:spacing w:line="578" w:lineRule="exact"/>
        <w:ind w:lef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 员：赵一丁 石家庄市卫健委 财务科 四级主任科员</w:t>
      </w:r>
    </w:p>
    <w:p>
      <w:pPr>
        <w:keepNext w:val="0"/>
        <w:keepLines w:val="0"/>
        <w:pageBreakBefore w:val="0"/>
        <w:widowControl w:val="0"/>
        <w:kinsoku/>
        <w:wordWrap/>
        <w:overflowPunct/>
        <w:topLinePunct w:val="0"/>
        <w:autoSpaceDE/>
        <w:autoSpaceDN/>
        <w:bidi w:val="0"/>
        <w:adjustRightInd/>
        <w:spacing w:line="578" w:lineRule="exact"/>
        <w:ind w:lef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 员：李广兴 石家庄市卫健委 财务科 一级科员</w:t>
      </w:r>
    </w:p>
    <w:p>
      <w:pPr>
        <w:pStyle w:val="7"/>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组 员：陈  瑜 石家庄市第四医院 财务专家</w:t>
      </w:r>
    </w:p>
    <w:p>
      <w:pPr>
        <w:pStyle w:val="5"/>
        <w:pageBreakBefore w:val="0"/>
        <w:widowControl w:val="0"/>
        <w:kinsoku/>
        <w:wordWrap/>
        <w:overflowPunct/>
        <w:topLinePunct w:val="0"/>
        <w:autoSpaceDE/>
        <w:autoSpaceDN/>
        <w:bidi w:val="0"/>
        <w:spacing w:before="0" w:after="0" w:line="578" w:lineRule="exact"/>
        <w:ind w:left="0"/>
        <w:textAlignment w:val="auto"/>
        <w:rPr>
          <w:rFonts w:hint="eastAsia" w:ascii="仿宋_GB2312" w:hAnsi="仿宋_GB2312" w:eastAsia="仿宋_GB2312" w:cs="仿宋_GB2312"/>
          <w:sz w:val="32"/>
          <w:szCs w:val="32"/>
          <w:lang w:val="en-US" w:eastAsia="zh-CN"/>
        </w:rPr>
      </w:pPr>
    </w:p>
    <w:p>
      <w:pPr>
        <w:pageBreakBefore w:val="0"/>
        <w:widowControl w:val="0"/>
        <w:kinsoku/>
        <w:wordWrap/>
        <w:overflowPunct/>
        <w:topLinePunct w:val="0"/>
        <w:autoSpaceDE/>
        <w:autoSpaceDN/>
        <w:bidi w:val="0"/>
        <w:spacing w:line="578" w:lineRule="exact"/>
        <w:ind w:left="0"/>
        <w:textAlignment w:val="auto"/>
        <w:rPr>
          <w:rFonts w:hint="eastAsia"/>
          <w:sz w:val="32"/>
          <w:szCs w:val="32"/>
          <w:lang w:val="en-US" w:eastAsia="zh-CN"/>
        </w:rPr>
      </w:pPr>
    </w:p>
    <w:p>
      <w:pPr>
        <w:pageBreakBefore w:val="0"/>
        <w:widowControl w:val="0"/>
        <w:kinsoku/>
        <w:wordWrap/>
        <w:overflowPunct/>
        <w:topLinePunct w:val="0"/>
        <w:autoSpaceDE/>
        <w:autoSpaceDN/>
        <w:bidi w:val="0"/>
        <w:spacing w:line="578" w:lineRule="exact"/>
        <w:ind w:left="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石家庄市卫生健康委员会</w:t>
      </w:r>
    </w:p>
    <w:p>
      <w:pPr>
        <w:pStyle w:val="5"/>
        <w:pageBreakBefore w:val="0"/>
        <w:widowControl w:val="0"/>
        <w:kinsoku/>
        <w:wordWrap/>
        <w:overflowPunct/>
        <w:topLinePunct w:val="0"/>
        <w:autoSpaceDE/>
        <w:autoSpaceDN/>
        <w:bidi w:val="0"/>
        <w:spacing w:before="0" w:after="0" w:line="578" w:lineRule="exact"/>
        <w:ind w:left="0"/>
        <w:jc w:val="center"/>
        <w:textAlignment w:val="auto"/>
        <w:rPr>
          <w:rFonts w:hint="default"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                                         </w:t>
      </w:r>
      <w:r>
        <w:rPr>
          <w:rFonts w:hint="eastAsia" w:ascii="仿宋_GB2312" w:hAnsi="仿宋_GB2312" w:eastAsia="仿宋_GB2312" w:cs="仿宋_GB2312"/>
          <w:b w:val="0"/>
          <w:bCs w:val="0"/>
          <w:kern w:val="2"/>
          <w:sz w:val="32"/>
          <w:szCs w:val="32"/>
          <w:highlight w:val="none"/>
          <w:lang w:val="en-US" w:eastAsia="zh-CN" w:bidi="ar-SA"/>
        </w:rPr>
        <w:t xml:space="preserve">  2024年4月15日</w:t>
      </w:r>
    </w:p>
    <w:sectPr>
      <w:footerReference r:id="rId6" w:type="default"/>
      <w:pgSz w:w="11906" w:h="16838"/>
      <w:pgMar w:top="1440" w:right="1474" w:bottom="1440" w:left="1587" w:header="851" w:footer="992" w:gutter="0"/>
      <w:pgNumType w:fmt="numberInDash"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楷体_GB2312"/>
    <w:panose1 w:val="02010600040101010101"/>
    <w:charset w:val="86"/>
    <w:family w:val="auto"/>
    <w:pitch w:val="default"/>
    <w:sig w:usb0="00000000" w:usb1="00000000" w:usb2="00000000" w:usb3="00000000" w:csb0="0004009F" w:csb1="DFD7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3ViRyQEAAJkDAAAOAAAAAAAAAAEAIAAAAB4BAABkcnMvZTJvRG9j&#10;LnhtbFBLBQYAAAAABgAGAFkBAABZ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BF1BF2"/>
    <w:multiLevelType w:val="singleLevel"/>
    <w:tmpl w:val="8DBF1BF2"/>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NmMjgxZjczNGMwM2Y5NmQ3MTBkNzM1NjZhMDJjYmUifQ=="/>
  </w:docVars>
  <w:rsids>
    <w:rsidRoot w:val="02B751D2"/>
    <w:rsid w:val="00C11E01"/>
    <w:rsid w:val="019D6391"/>
    <w:rsid w:val="02B751D2"/>
    <w:rsid w:val="07A11279"/>
    <w:rsid w:val="07E860AB"/>
    <w:rsid w:val="0A9F23E7"/>
    <w:rsid w:val="0BAD28E2"/>
    <w:rsid w:val="0DF76096"/>
    <w:rsid w:val="0E8965E3"/>
    <w:rsid w:val="0EAB315E"/>
    <w:rsid w:val="122C70F7"/>
    <w:rsid w:val="12BD27A5"/>
    <w:rsid w:val="17A74689"/>
    <w:rsid w:val="18FC0A05"/>
    <w:rsid w:val="20E406FC"/>
    <w:rsid w:val="2346744C"/>
    <w:rsid w:val="239A6ADF"/>
    <w:rsid w:val="2A832351"/>
    <w:rsid w:val="2A894493"/>
    <w:rsid w:val="2B254A40"/>
    <w:rsid w:val="2BBE0234"/>
    <w:rsid w:val="2CF27CFD"/>
    <w:rsid w:val="2D1672DA"/>
    <w:rsid w:val="2DC21DC5"/>
    <w:rsid w:val="300761B5"/>
    <w:rsid w:val="304919B7"/>
    <w:rsid w:val="318850D4"/>
    <w:rsid w:val="33B07D04"/>
    <w:rsid w:val="33D04F65"/>
    <w:rsid w:val="344165C4"/>
    <w:rsid w:val="34585CCF"/>
    <w:rsid w:val="360D753C"/>
    <w:rsid w:val="37E62B54"/>
    <w:rsid w:val="386258B8"/>
    <w:rsid w:val="39BD7EFD"/>
    <w:rsid w:val="3C8B7826"/>
    <w:rsid w:val="3CA31014"/>
    <w:rsid w:val="3E907F9B"/>
    <w:rsid w:val="41524DB6"/>
    <w:rsid w:val="46B07D57"/>
    <w:rsid w:val="47574CD1"/>
    <w:rsid w:val="4803505C"/>
    <w:rsid w:val="4C0F5D7E"/>
    <w:rsid w:val="523C1897"/>
    <w:rsid w:val="57680B68"/>
    <w:rsid w:val="57D63BF4"/>
    <w:rsid w:val="57D96A02"/>
    <w:rsid w:val="59964C1F"/>
    <w:rsid w:val="5B7C1B93"/>
    <w:rsid w:val="5E07585E"/>
    <w:rsid w:val="5F5C5326"/>
    <w:rsid w:val="60194385"/>
    <w:rsid w:val="608742BB"/>
    <w:rsid w:val="613A51F3"/>
    <w:rsid w:val="62E93354"/>
    <w:rsid w:val="63EB0054"/>
    <w:rsid w:val="672C7CD4"/>
    <w:rsid w:val="6B36165F"/>
    <w:rsid w:val="6D85566E"/>
    <w:rsid w:val="6E570C95"/>
    <w:rsid w:val="6F835C05"/>
    <w:rsid w:val="71B903B6"/>
    <w:rsid w:val="74CF1C9F"/>
    <w:rsid w:val="78E201F2"/>
    <w:rsid w:val="78E66C78"/>
    <w:rsid w:val="79780B57"/>
    <w:rsid w:val="7C0B7A60"/>
    <w:rsid w:val="7D6A4031"/>
    <w:rsid w:val="7D7B250F"/>
    <w:rsid w:val="7E8D6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黑体"/>
      <w:kern w:val="2"/>
      <w:sz w:val="21"/>
      <w:szCs w:val="22"/>
      <w:lang w:val="en-US" w:eastAsia="zh-CN" w:bidi="ar-SA"/>
    </w:rPr>
  </w:style>
  <w:style w:type="paragraph" w:styleId="4">
    <w:name w:val="heading 3"/>
    <w:basedOn w:val="1"/>
    <w:next w:val="1"/>
    <w:autoRedefine/>
    <w:unhideWhenUsed/>
    <w:qFormat/>
    <w:uiPriority w:val="0"/>
    <w:pPr>
      <w:keepNext/>
      <w:keepLines/>
      <w:spacing w:beforeLines="0" w:beforeAutospacing="0" w:afterLines="0" w:afterAutospacing="0" w:line="360" w:lineRule="auto"/>
      <w:ind w:firstLine="883" w:firstLineChars="200"/>
      <w:jc w:val="left"/>
      <w:outlineLvl w:val="2"/>
    </w:pPr>
    <w:rPr>
      <w:rFonts w:eastAsia="仿宋_GB2312"/>
      <w:sz w:val="32"/>
    </w:rPr>
  </w:style>
  <w:style w:type="paragraph" w:styleId="5">
    <w:name w:val="heading 6"/>
    <w:basedOn w:val="1"/>
    <w:next w:val="1"/>
    <w:autoRedefine/>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2">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Body Text First Indent"/>
    <w:basedOn w:val="3"/>
    <w:autoRedefine/>
    <w:qFormat/>
    <w:uiPriority w:val="0"/>
    <w:pPr>
      <w:spacing w:after="120" w:line="240" w:lineRule="auto"/>
      <w:ind w:firstLine="240" w:firstLineChars="100"/>
    </w:pPr>
    <w:rPr>
      <w:rFonts w:ascii="楷体_GB2312" w:eastAsia="楷体_GB2312"/>
      <w:snapToGrid w:val="0"/>
      <w:kern w:val="0"/>
      <w:sz w:val="24"/>
      <w:lang w:val="zh-CN"/>
    </w:rPr>
  </w:style>
  <w:style w:type="paragraph" w:styleId="3">
    <w:name w:val="Body Text"/>
    <w:basedOn w:val="1"/>
    <w:autoRedefine/>
    <w:qFormat/>
    <w:uiPriority w:val="0"/>
    <w:pPr>
      <w:spacing w:after="120"/>
    </w:pPr>
  </w:style>
  <w:style w:type="paragraph" w:styleId="6">
    <w:name w:val="Normal Indent"/>
    <w:basedOn w:val="1"/>
    <w:autoRedefine/>
    <w:unhideWhenUsed/>
    <w:qFormat/>
    <w:uiPriority w:val="99"/>
    <w:pPr>
      <w:ind w:firstLine="420" w:firstLineChars="200"/>
    </w:pPr>
  </w:style>
  <w:style w:type="paragraph" w:styleId="7">
    <w:name w:val="footer"/>
    <w:basedOn w:val="1"/>
    <w:autoRedefine/>
    <w:qFormat/>
    <w:uiPriority w:val="0"/>
    <w:pPr>
      <w:tabs>
        <w:tab w:val="center" w:pos="4153"/>
        <w:tab w:val="right" w:pos="8306"/>
      </w:tabs>
      <w:snapToGrid w:val="0"/>
      <w:jc w:val="left"/>
    </w:pPr>
    <w:rPr>
      <w:sz w:val="18"/>
    </w:rPr>
  </w:style>
  <w:style w:type="paragraph" w:styleId="8">
    <w:name w:val="header"/>
    <w:basedOn w:val="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autoRedefine/>
    <w:qFormat/>
    <w:uiPriority w:val="0"/>
  </w:style>
  <w:style w:type="paragraph" w:styleId="10">
    <w:name w:val="toc 2"/>
    <w:basedOn w:val="1"/>
    <w:next w:val="1"/>
    <w:autoRedefine/>
    <w:qFormat/>
    <w:uiPriority w:val="0"/>
    <w:pPr>
      <w:ind w:left="420" w:leftChars="200"/>
    </w:pPr>
  </w:style>
  <w:style w:type="paragraph" w:customStyle="1" w:styleId="13">
    <w:name w:val="WPSOffice手动目录 1"/>
    <w:autoRedefine/>
    <w:qFormat/>
    <w:uiPriority w:val="0"/>
    <w:pPr>
      <w:ind w:leftChars="0"/>
    </w:pPr>
    <w:rPr>
      <w:rFonts w:ascii="Times New Roman" w:hAnsi="Times New Roman" w:eastAsia="宋体" w:cs="Times New Roman"/>
      <w:sz w:val="20"/>
      <w:szCs w:val="20"/>
    </w:rPr>
  </w:style>
  <w:style w:type="paragraph" w:customStyle="1" w:styleId="14">
    <w:name w:val="WPSOffice手动目录 2"/>
    <w:autoRedefine/>
    <w:qFormat/>
    <w:uiPriority w:val="0"/>
    <w:pPr>
      <w:ind w:leftChars="200"/>
    </w:pPr>
    <w:rPr>
      <w:rFonts w:ascii="Times New Roman" w:hAnsi="Times New Roman" w:eastAsia="宋体" w:cs="Times New Roman"/>
      <w:sz w:val="20"/>
      <w:szCs w:val="20"/>
    </w:rPr>
  </w:style>
  <w:style w:type="paragraph" w:customStyle="1" w:styleId="15">
    <w:name w:val="插入文本样式-插入职责分类绩效目标文件"/>
    <w:basedOn w:val="1"/>
    <w:autoRedefine/>
    <w:qFormat/>
    <w:uiPriority w:val="0"/>
    <w:pPr>
      <w:spacing w:line="500" w:lineRule="exact"/>
      <w:ind w:firstLine="560"/>
    </w:pPr>
    <w:rPr>
      <w:rFonts w:eastAsia="方正仿宋_GBK"/>
      <w:sz w:val="28"/>
    </w:rPr>
  </w:style>
  <w:style w:type="character" w:customStyle="1" w:styleId="16">
    <w:name w:val="font11"/>
    <w:basedOn w:val="12"/>
    <w:autoRedefine/>
    <w:qFormat/>
    <w:uiPriority w:val="0"/>
    <w:rPr>
      <w:rFonts w:hint="eastAsia" w:ascii="宋体" w:hAnsi="宋体" w:eastAsia="宋体" w:cs="宋体"/>
      <w:color w:val="000000"/>
      <w:sz w:val="32"/>
      <w:szCs w:val="32"/>
      <w:u w:val="none"/>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8745</Words>
  <Characters>9557</Characters>
  <Lines>0</Lines>
  <Paragraphs>0</Paragraphs>
  <TotalTime>1</TotalTime>
  <ScaleCrop>false</ScaleCrop>
  <LinksUpToDate>false</LinksUpToDate>
  <CharactersWithSpaces>10293</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2022-03-11T05:06:00Z</dcterms:created>
  <dc:creator>你是我的神经病1417941470</dc:creator>
  <cp:lastModifiedBy>小皮.</cp:lastModifiedBy>
  <cp:lastPrinted>2023-04-17T01:52:00Z</cp:lastPrinted>
  <dcterms:modified xsi:type="dcterms:W3CDTF">2024-04-23T02:27:42Z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99A2188003354BCE9EF5FD75885F3EE1</vt:lpwstr>
  </property>
</Properties>
</file>