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DAB29">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Times New Roman" w:hAnsi="Times New Roman" w:eastAsia="黑体" w:cs="黑体"/>
          <w:sz w:val="32"/>
          <w:szCs w:val="32"/>
          <w:shd w:val="clear" w:color="auto" w:fill="auto"/>
        </w:rPr>
      </w:pPr>
      <w:r>
        <w:rPr>
          <w:rFonts w:hint="eastAsia" w:ascii="Times New Roman" w:hAnsi="Times New Roman" w:eastAsia="黑体" w:cs="黑体"/>
          <w:sz w:val="32"/>
          <w:szCs w:val="32"/>
          <w:shd w:val="clear" w:color="auto" w:fill="auto"/>
        </w:rPr>
        <w:t>附件</w:t>
      </w:r>
      <w:r>
        <w:rPr>
          <w:rFonts w:hint="eastAsia" w:ascii="黑体" w:hAnsi="黑体" w:eastAsia="黑体" w:cs="黑体"/>
          <w:sz w:val="32"/>
          <w:szCs w:val="32"/>
          <w:shd w:val="clear" w:color="auto" w:fill="auto"/>
        </w:rPr>
        <w:t>4</w:t>
      </w:r>
    </w:p>
    <w:p w14:paraId="4787B3A7">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ascii="Times New Roman" w:hAnsi="Times New Roman" w:cs="宋体"/>
          <w:b/>
          <w:bCs/>
          <w:sz w:val="44"/>
          <w:szCs w:val="44"/>
          <w:shd w:val="clear" w:color="auto" w:fill="auto"/>
        </w:rPr>
      </w:pPr>
    </w:p>
    <w:p w14:paraId="7A756004">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hint="eastAsia" w:ascii="Times New Roman" w:hAnsi="Times New Roman" w:cs="宋体"/>
          <w:b/>
          <w:bCs/>
          <w:sz w:val="44"/>
          <w:szCs w:val="44"/>
          <w:shd w:val="clear" w:color="auto" w:fill="auto"/>
        </w:rPr>
      </w:pPr>
      <w:r>
        <w:rPr>
          <w:rFonts w:hint="eastAsia" w:ascii="Times New Roman" w:hAnsi="Times New Roman" w:cs="宋体"/>
          <w:b/>
          <w:bCs/>
          <w:sz w:val="44"/>
          <w:szCs w:val="44"/>
          <w:shd w:val="clear" w:color="auto" w:fill="auto"/>
        </w:rPr>
        <w:t>石家庄住房公积金管理中心</w:t>
      </w:r>
    </w:p>
    <w:p w14:paraId="42F3D0D2">
      <w:pPr>
        <w:keepNext w:val="0"/>
        <w:keepLines w:val="0"/>
        <w:pageBreakBefore w:val="0"/>
        <w:widowControl w:val="0"/>
        <w:kinsoku/>
        <w:wordWrap/>
        <w:overflowPunct/>
        <w:topLinePunct w:val="0"/>
        <w:autoSpaceDE/>
        <w:autoSpaceDN/>
        <w:bidi w:val="0"/>
        <w:adjustRightInd/>
        <w:snapToGrid/>
        <w:spacing w:line="560" w:lineRule="exact"/>
        <w:ind w:firstLine="0" w:firstLineChars="0"/>
        <w:jc w:val="center"/>
        <w:textAlignment w:val="auto"/>
        <w:rPr>
          <w:rFonts w:ascii="Times New Roman" w:hAnsi="Times New Roman" w:cs="宋体"/>
          <w:b/>
          <w:bCs/>
          <w:sz w:val="44"/>
          <w:szCs w:val="44"/>
          <w:shd w:val="clear" w:color="auto" w:fill="auto"/>
        </w:rPr>
      </w:pPr>
      <w:r>
        <w:rPr>
          <w:rFonts w:hint="eastAsia" w:ascii="Times New Roman" w:hAnsi="Times New Roman" w:cs="宋体"/>
          <w:b/>
          <w:bCs/>
          <w:sz w:val="44"/>
          <w:szCs w:val="44"/>
          <w:shd w:val="clear" w:color="auto" w:fill="auto"/>
        </w:rPr>
        <w:t>部门整体支出绩效自评报告</w:t>
      </w:r>
    </w:p>
    <w:p w14:paraId="466C2632">
      <w:pPr>
        <w:keepNext w:val="0"/>
        <w:keepLines w:val="0"/>
        <w:pageBreakBefore w:val="0"/>
        <w:widowControl w:val="0"/>
        <w:kinsoku/>
        <w:wordWrap/>
        <w:overflowPunct/>
        <w:topLinePunct w:val="0"/>
        <w:autoSpaceDE/>
        <w:autoSpaceDN/>
        <w:bidi w:val="0"/>
        <w:spacing w:line="560" w:lineRule="exact"/>
        <w:ind w:firstLine="640" w:firstLineChars="200"/>
        <w:jc w:val="center"/>
        <w:textAlignment w:val="auto"/>
        <w:rPr>
          <w:rFonts w:ascii="Times New Roman" w:hAnsi="Times New Roman" w:eastAsia="华文楷体"/>
          <w:sz w:val="32"/>
          <w:szCs w:val="32"/>
          <w:shd w:val="clear" w:color="auto" w:fill="auto"/>
        </w:rPr>
      </w:pPr>
    </w:p>
    <w:p w14:paraId="0BDBE2C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贯彻落实市委市政府《关于全面落实预算绩效管理的实施意见》（石发﹝2019﹞8号）文件精神，遵循“科学性、规范性、客观性和公正性”的原则，对石家庄住房公积金管理中心2023年整体支出情况实施了财政支出绩效自评价，形成本评价报告。</w:t>
      </w:r>
    </w:p>
    <w:p w14:paraId="5E6F30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黑体"/>
          <w:b/>
          <w:bCs/>
          <w:sz w:val="32"/>
          <w:szCs w:val="36"/>
          <w:shd w:val="clear" w:color="auto" w:fill="auto"/>
        </w:rPr>
      </w:pPr>
      <w:r>
        <w:rPr>
          <w:rFonts w:hint="eastAsia" w:ascii="Times New Roman" w:hAnsi="Times New Roman" w:eastAsia="黑体"/>
          <w:sz w:val="32"/>
          <w:szCs w:val="32"/>
          <w:shd w:val="clear" w:color="auto" w:fill="auto"/>
        </w:rPr>
        <w:t>一、部门</w:t>
      </w:r>
      <w:r>
        <w:rPr>
          <w:rFonts w:hint="eastAsia" w:ascii="Times New Roman" w:hAnsi="Times New Roman" w:eastAsia="黑体"/>
          <w:sz w:val="32"/>
          <w:szCs w:val="36"/>
          <w:shd w:val="clear" w:color="auto" w:fill="auto"/>
        </w:rPr>
        <w:t>基本情况</w:t>
      </w:r>
    </w:p>
    <w:p w14:paraId="284BD3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楷体" w:cs="楷体_GB2312"/>
          <w:bCs/>
          <w:sz w:val="32"/>
          <w:szCs w:val="32"/>
          <w:shd w:val="clear" w:color="auto" w:fill="auto"/>
        </w:rPr>
      </w:pPr>
      <w:r>
        <w:rPr>
          <w:rFonts w:hint="eastAsia" w:ascii="Times New Roman" w:hAnsi="Times New Roman" w:eastAsia="楷体" w:cs="楷体_GB2312"/>
          <w:bCs/>
          <w:sz w:val="32"/>
          <w:szCs w:val="32"/>
          <w:shd w:val="clear" w:color="auto" w:fill="auto"/>
        </w:rPr>
        <w:t>（一）部门概况</w:t>
      </w:r>
    </w:p>
    <w:p w14:paraId="23201D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1.部门职能</w:t>
      </w:r>
    </w:p>
    <w:p w14:paraId="27D9CDF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（1）编制、执行住房公积金的归集、使用计划。归集计划包括住房公积金的覆盖面、缴存基数、缴存比例、归集总额及归集措施等。使用计划包括公积金提取额、发放贷款额、风险准备金提取额及使用办法等。</w:t>
      </w:r>
    </w:p>
    <w:p w14:paraId="616627C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（2）负责记载职工住房公积金的缴存、支取、使用等情况。真实、及时记载住房公积金缴存、提取、使用，准确掌握职工个人住房公积金账户内的资金数额和变动状况，并和委托银行定期对账。</w:t>
      </w:r>
    </w:p>
    <w:p w14:paraId="35F15F3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（3）负责住房公积金的核算。真实、全面、准确、及时地建立公积金的总账与职工公积金明细账，建立完整的财务管理制度，并对公积金资金管理的过程进行资产管理、会计核算。</w:t>
      </w:r>
    </w:p>
    <w:p w14:paraId="5942BA1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4）审批住房公积金的提取、使用。缴存职工是否符合提取或申请住房公积金贷款条件，可以提取余额多少、贷款额度多少等问题，都需要由住房公积金管理中心审批，职工根据住房公积金管理中心的审批结果到受托银行办理公积金提取、贷款手续。</w:t>
      </w:r>
    </w:p>
    <w:p w14:paraId="0D16C38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5）负责住房公积金的保值和归还。住房公积金中心在发展个人购房消费贷款的同时，应按规定对归集的住房公积金进行保值投资。在保证提取和贷款的前提下，可以将住房公积金用于购买国债投资，并用部分增值收益建立贷款风险准备金。</w:t>
      </w:r>
    </w:p>
    <w:p w14:paraId="6E7BD58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6）编制住房公积金归集、使用计划执行情况的报告。住房公积金归集、使用计划执行情况报告应当反映建立住房公积金制度的单位数和缴存职工数、归集总额、提取总额、发放贷款总额、贷款户数、保值情况及计划执行情况的说明等方面的情况。</w:t>
      </w:r>
    </w:p>
    <w:p w14:paraId="67BC11A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（7）承办住房公积金管理委员会决定的其他事项。</w:t>
      </w:r>
    </w:p>
    <w:p w14:paraId="5FE8350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cs="黑体"/>
          <w:kern w:val="2"/>
          <w:sz w:val="32"/>
          <w:szCs w:val="32"/>
          <w:shd w:val="clear" w:color="auto" w:fill="auto"/>
          <w:lang w:val="en-US" w:eastAsia="zh-CN" w:bidi="ar-SA"/>
        </w:rPr>
        <w:t>2.</w:t>
      </w:r>
      <w:r>
        <w:rPr>
          <w:rFonts w:hint="eastAsia" w:ascii="Times New Roman" w:hAnsi="Times New Roman" w:eastAsia="仿宋"/>
          <w:sz w:val="32"/>
          <w:szCs w:val="32"/>
          <w:shd w:val="clear" w:color="auto" w:fill="auto"/>
          <w:lang w:val="en-US" w:eastAsia="zh-CN"/>
        </w:rPr>
        <w:t>组织机构及人员</w:t>
      </w:r>
    </w:p>
    <w:p w14:paraId="094092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公积金中心于2003年8月组建成立，为直属市政府的事业单位，执行政府会计准则制度。人员编</w:t>
      </w:r>
      <w:r>
        <w:rPr>
          <w:rFonts w:hint="eastAsia" w:ascii="Times New Roman" w:hAnsi="Times New Roman" w:eastAsia="仿宋"/>
          <w:sz w:val="32"/>
          <w:szCs w:val="32"/>
          <w:highlight w:val="none"/>
          <w:shd w:val="clear" w:color="auto" w:fill="auto"/>
          <w:lang w:val="en-US" w:eastAsia="zh-CN"/>
        </w:rPr>
        <w:t>制151名</w:t>
      </w:r>
      <w:r>
        <w:rPr>
          <w:rFonts w:hint="eastAsia" w:ascii="Times New Roman" w:hAnsi="Times New Roman" w:eastAsia="仿宋"/>
          <w:sz w:val="32"/>
          <w:szCs w:val="32"/>
          <w:shd w:val="clear" w:color="auto" w:fill="auto"/>
          <w:lang w:val="en-US" w:eastAsia="zh-CN"/>
        </w:rPr>
        <w:t>，内设12个科室（办公室、机关党委、人事教育科、资金归集科、信贷科、会计科、政策法规科、信息技术科、稽核审计科、个贷中心、核算中心、档案科）；下辖</w:t>
      </w:r>
      <w:r>
        <w:rPr>
          <w:rFonts w:hint="eastAsia" w:ascii="Times New Roman" w:hAnsi="Times New Roman"/>
          <w:sz w:val="32"/>
          <w:szCs w:val="32"/>
          <w:shd w:val="clear" w:color="auto" w:fill="auto"/>
          <w:lang w:val="en-US" w:eastAsia="zh-CN"/>
        </w:rPr>
        <w:t>6</w:t>
      </w:r>
      <w:r>
        <w:rPr>
          <w:rFonts w:hint="eastAsia" w:ascii="Times New Roman" w:hAnsi="Times New Roman" w:eastAsia="仿宋"/>
          <w:sz w:val="32"/>
          <w:szCs w:val="32"/>
          <w:shd w:val="clear" w:color="auto" w:fill="auto"/>
          <w:lang w:val="en-US" w:eastAsia="zh-CN"/>
        </w:rPr>
        <w:t>个城区管理部，17个县（市）区管理部。</w:t>
      </w:r>
    </w:p>
    <w:p w14:paraId="6E5BA27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s="黑体"/>
          <w:kern w:val="2"/>
          <w:sz w:val="32"/>
          <w:szCs w:val="32"/>
          <w:shd w:val="clear" w:color="auto" w:fill="auto"/>
          <w:lang w:val="en-US" w:eastAsia="zh-CN" w:bidi="ar-SA"/>
        </w:rPr>
      </w:pPr>
      <w:r>
        <w:rPr>
          <w:rFonts w:hint="eastAsia" w:ascii="Times New Roman" w:hAnsi="Times New Roman" w:eastAsia="仿宋" w:cs="黑体"/>
          <w:kern w:val="2"/>
          <w:sz w:val="32"/>
          <w:szCs w:val="32"/>
          <w:shd w:val="clear" w:color="auto" w:fill="auto"/>
          <w:lang w:val="en-US" w:eastAsia="zh-CN" w:bidi="ar-SA"/>
        </w:rPr>
        <w:t>3.资产情况</w:t>
      </w:r>
    </w:p>
    <w:p w14:paraId="2FCFA55D">
      <w:pPr>
        <w:pStyle w:val="6"/>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highlight w:val="yellow"/>
          <w:shd w:val="clear" w:color="auto" w:fill="auto"/>
        </w:rPr>
      </w:pPr>
      <w:r>
        <w:rPr>
          <w:rFonts w:hint="eastAsia" w:ascii="Times New Roman" w:hAnsi="Times New Roman" w:eastAsia="仿宋_GB2312"/>
          <w:sz w:val="32"/>
          <w:szCs w:val="32"/>
          <w:shd w:val="clear" w:color="auto" w:fill="auto"/>
        </w:rPr>
        <w:t>截至202</w:t>
      </w:r>
      <w:r>
        <w:rPr>
          <w:rFonts w:hint="eastAsia" w:ascii="Times New Roman" w:hAnsi="Times New Roman" w:eastAsia="仿宋_GB2312"/>
          <w:sz w:val="32"/>
          <w:szCs w:val="32"/>
          <w:shd w:val="clear" w:color="auto" w:fill="auto"/>
          <w:lang w:val="en-US" w:eastAsia="zh-CN"/>
        </w:rPr>
        <w:t>3</w:t>
      </w:r>
      <w:r>
        <w:rPr>
          <w:rFonts w:hint="eastAsia" w:ascii="Times New Roman" w:hAnsi="Times New Roman" w:eastAsia="仿宋_GB2312"/>
          <w:sz w:val="32"/>
          <w:szCs w:val="32"/>
          <w:shd w:val="clear" w:color="auto" w:fill="auto"/>
        </w:rPr>
        <w:t>年12月31日，固定资产净值</w:t>
      </w:r>
      <w:r>
        <w:rPr>
          <w:rFonts w:hint="eastAsia" w:ascii="Times New Roman" w:hAnsi="Times New Roman" w:eastAsia="仿宋_GB2312"/>
          <w:sz w:val="32"/>
          <w:szCs w:val="32"/>
          <w:shd w:val="clear" w:color="auto" w:fill="auto"/>
          <w:lang w:val="en-US" w:eastAsia="zh-CN"/>
        </w:rPr>
        <w:t>8045.12</w:t>
      </w:r>
      <w:r>
        <w:rPr>
          <w:rFonts w:hint="eastAsia" w:ascii="Times New Roman" w:hAnsi="Times New Roman" w:eastAsia="仿宋_GB2312"/>
          <w:sz w:val="32"/>
          <w:szCs w:val="32"/>
          <w:shd w:val="clear" w:color="auto" w:fill="auto"/>
        </w:rPr>
        <w:t>万元，其中：房屋及构筑物</w:t>
      </w:r>
      <w:r>
        <w:rPr>
          <w:rFonts w:hint="eastAsia" w:ascii="Times New Roman" w:hAnsi="Times New Roman" w:eastAsia="仿宋_GB2312"/>
          <w:sz w:val="32"/>
          <w:szCs w:val="32"/>
          <w:shd w:val="clear" w:color="auto" w:fill="auto"/>
          <w:lang w:val="en-US" w:eastAsia="zh-CN"/>
        </w:rPr>
        <w:t>7643.55</w:t>
      </w:r>
      <w:r>
        <w:rPr>
          <w:rFonts w:hint="eastAsia" w:ascii="Times New Roman" w:hAnsi="Times New Roman" w:eastAsia="仿宋_GB2312"/>
          <w:sz w:val="32"/>
          <w:szCs w:val="32"/>
          <w:shd w:val="clear" w:color="auto" w:fill="auto"/>
        </w:rPr>
        <w:t>万元，设备</w:t>
      </w:r>
      <w:r>
        <w:rPr>
          <w:rFonts w:hint="eastAsia" w:ascii="Times New Roman" w:hAnsi="Times New Roman" w:eastAsia="仿宋_GB2312"/>
          <w:sz w:val="32"/>
          <w:szCs w:val="32"/>
          <w:shd w:val="clear" w:color="auto" w:fill="auto"/>
          <w:lang w:val="en-US" w:eastAsia="zh-CN"/>
        </w:rPr>
        <w:t>228.63</w:t>
      </w:r>
      <w:r>
        <w:rPr>
          <w:rFonts w:hint="eastAsia" w:ascii="Times New Roman" w:hAnsi="Times New Roman" w:eastAsia="仿宋_GB2312"/>
          <w:sz w:val="32"/>
          <w:szCs w:val="32"/>
          <w:shd w:val="clear" w:color="auto" w:fill="auto"/>
        </w:rPr>
        <w:t>万元，图书5.20万元，家具</w:t>
      </w:r>
      <w:r>
        <w:rPr>
          <w:rFonts w:hint="eastAsia" w:ascii="Times New Roman" w:hAnsi="Times New Roman" w:eastAsia="仿宋_GB2312"/>
          <w:sz w:val="32"/>
          <w:szCs w:val="32"/>
          <w:shd w:val="clear" w:color="auto" w:fill="auto"/>
          <w:lang w:eastAsia="zh-CN"/>
        </w:rPr>
        <w:t>和</w:t>
      </w:r>
      <w:r>
        <w:rPr>
          <w:rFonts w:hint="eastAsia" w:ascii="Times New Roman" w:hAnsi="Times New Roman" w:eastAsia="仿宋_GB2312"/>
          <w:sz w:val="32"/>
          <w:szCs w:val="32"/>
          <w:shd w:val="clear" w:color="auto" w:fill="auto"/>
        </w:rPr>
        <w:t>用具</w:t>
      </w:r>
      <w:r>
        <w:rPr>
          <w:rFonts w:hint="eastAsia" w:ascii="Times New Roman" w:hAnsi="Times New Roman" w:eastAsia="仿宋_GB2312"/>
          <w:sz w:val="32"/>
          <w:szCs w:val="32"/>
          <w:shd w:val="clear" w:color="auto" w:fill="auto"/>
          <w:lang w:val="en-US" w:eastAsia="zh-CN"/>
        </w:rPr>
        <w:t>167.74</w:t>
      </w:r>
      <w:r>
        <w:rPr>
          <w:rFonts w:hint="eastAsia" w:ascii="Times New Roman" w:hAnsi="Times New Roman" w:eastAsia="仿宋_GB2312"/>
          <w:sz w:val="32"/>
          <w:szCs w:val="32"/>
          <w:shd w:val="clear" w:color="auto" w:fill="auto"/>
        </w:rPr>
        <w:t>万元。无形资产净值</w:t>
      </w:r>
      <w:r>
        <w:rPr>
          <w:rFonts w:hint="eastAsia" w:ascii="Times New Roman" w:hAnsi="Times New Roman" w:eastAsia="仿宋_GB2312"/>
          <w:sz w:val="32"/>
          <w:szCs w:val="32"/>
          <w:shd w:val="clear" w:color="auto" w:fill="auto"/>
          <w:lang w:val="en-US" w:eastAsia="zh-CN"/>
        </w:rPr>
        <w:t>240.27</w:t>
      </w:r>
      <w:r>
        <w:rPr>
          <w:rFonts w:hint="eastAsia" w:ascii="Times New Roman" w:hAnsi="Times New Roman" w:eastAsia="仿宋_GB2312"/>
          <w:sz w:val="32"/>
          <w:szCs w:val="32"/>
          <w:shd w:val="clear" w:color="auto" w:fill="auto"/>
        </w:rPr>
        <w:t>万元。</w:t>
      </w:r>
    </w:p>
    <w:p w14:paraId="1FA6DF67">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楷体" w:cs="楷体_GB2312"/>
          <w:bCs/>
          <w:sz w:val="32"/>
          <w:szCs w:val="32"/>
          <w:shd w:val="clear" w:color="auto" w:fill="auto"/>
        </w:rPr>
      </w:pPr>
      <w:r>
        <w:rPr>
          <w:rFonts w:hint="eastAsia" w:ascii="Times New Roman" w:hAnsi="Times New Roman" w:eastAsia="楷体" w:cs="楷体_GB2312"/>
          <w:bCs/>
          <w:sz w:val="32"/>
          <w:szCs w:val="32"/>
          <w:shd w:val="clear" w:color="auto" w:fill="auto"/>
        </w:rPr>
        <w:t>部门收支预决算情况</w:t>
      </w:r>
    </w:p>
    <w:p w14:paraId="42ADCF0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1.预算安排情况</w:t>
      </w:r>
    </w:p>
    <w:p w14:paraId="2D4D906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2023年预算收入</w:t>
      </w:r>
      <w:r>
        <w:rPr>
          <w:rFonts w:hint="eastAsia" w:ascii="Times New Roman" w:hAnsi="Times New Roman" w:eastAsia="仿宋"/>
          <w:sz w:val="32"/>
          <w:szCs w:val="32"/>
          <w:shd w:val="clear" w:color="auto" w:fill="auto"/>
        </w:rPr>
        <w:t>5891</w:t>
      </w:r>
      <w:r>
        <w:rPr>
          <w:rFonts w:hint="eastAsia" w:ascii="Times New Roman" w:hAnsi="Times New Roman" w:eastAsia="仿宋"/>
          <w:sz w:val="32"/>
          <w:szCs w:val="32"/>
          <w:shd w:val="clear" w:color="auto" w:fill="auto"/>
          <w:lang w:val="en-US" w:eastAsia="zh-CN"/>
        </w:rPr>
        <w:t>.</w:t>
      </w:r>
      <w:r>
        <w:rPr>
          <w:rFonts w:hint="eastAsia" w:ascii="Times New Roman" w:hAnsi="Times New Roman" w:eastAsia="仿宋"/>
          <w:sz w:val="32"/>
          <w:szCs w:val="32"/>
          <w:shd w:val="clear" w:color="auto" w:fill="auto"/>
        </w:rPr>
        <w:t>79</w:t>
      </w:r>
      <w:r>
        <w:rPr>
          <w:rFonts w:hint="eastAsia" w:ascii="Times New Roman" w:hAnsi="Times New Roman" w:eastAsia="仿宋"/>
          <w:sz w:val="32"/>
          <w:szCs w:val="32"/>
          <w:shd w:val="clear" w:color="auto" w:fill="auto"/>
          <w:lang w:val="en-US" w:eastAsia="zh-CN"/>
        </w:rPr>
        <w:t>万元，均为一般公共预算财政拨款收入。</w:t>
      </w:r>
    </w:p>
    <w:p w14:paraId="3781D0E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2023年预算支出</w:t>
      </w:r>
      <w:r>
        <w:rPr>
          <w:rFonts w:hint="eastAsia" w:ascii="Times New Roman" w:hAnsi="Times New Roman" w:eastAsia="仿宋"/>
          <w:sz w:val="32"/>
          <w:szCs w:val="32"/>
          <w:shd w:val="clear" w:color="auto" w:fill="auto"/>
        </w:rPr>
        <w:t>5891</w:t>
      </w:r>
      <w:r>
        <w:rPr>
          <w:rFonts w:hint="eastAsia" w:ascii="Times New Roman" w:hAnsi="Times New Roman" w:eastAsia="仿宋"/>
          <w:sz w:val="32"/>
          <w:szCs w:val="32"/>
          <w:shd w:val="clear" w:color="auto" w:fill="auto"/>
          <w:lang w:val="en-US" w:eastAsia="zh-CN"/>
        </w:rPr>
        <w:t>.</w:t>
      </w:r>
      <w:r>
        <w:rPr>
          <w:rFonts w:hint="eastAsia" w:ascii="Times New Roman" w:hAnsi="Times New Roman" w:eastAsia="仿宋"/>
          <w:sz w:val="32"/>
          <w:szCs w:val="32"/>
          <w:shd w:val="clear" w:color="auto" w:fill="auto"/>
        </w:rPr>
        <w:t>79</w:t>
      </w:r>
      <w:r>
        <w:rPr>
          <w:rFonts w:hint="eastAsia" w:ascii="Times New Roman" w:hAnsi="Times New Roman" w:eastAsia="仿宋"/>
          <w:sz w:val="32"/>
          <w:szCs w:val="32"/>
          <w:shd w:val="clear" w:color="auto" w:fill="auto"/>
          <w:lang w:val="en-US" w:eastAsia="zh-CN"/>
        </w:rPr>
        <w:t>万元，其中：基本支出4755.07万元，包括人员经费4390.53万元，公用经费364.54万元；项目支出1136.72万元。</w:t>
      </w:r>
    </w:p>
    <w:p w14:paraId="48380A6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2.预算调整情况</w:t>
      </w:r>
    </w:p>
    <w:p w14:paraId="02811CE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2023年公积金中心调整后预算收入6051.47万元，其中一般公共预算财政拨款收入</w:t>
      </w:r>
      <w:r>
        <w:rPr>
          <w:rFonts w:hint="eastAsia" w:ascii="Times New Roman" w:hAnsi="Times New Roman" w:eastAsia="仿宋"/>
          <w:sz w:val="32"/>
          <w:szCs w:val="32"/>
          <w:shd w:val="clear" w:color="auto" w:fill="auto"/>
        </w:rPr>
        <w:t>5891</w:t>
      </w:r>
      <w:r>
        <w:rPr>
          <w:rFonts w:hint="eastAsia" w:ascii="Times New Roman" w:hAnsi="Times New Roman" w:eastAsia="仿宋"/>
          <w:sz w:val="32"/>
          <w:szCs w:val="32"/>
          <w:shd w:val="clear" w:color="auto" w:fill="auto"/>
          <w:lang w:val="en-US" w:eastAsia="zh-CN"/>
        </w:rPr>
        <w:t>.</w:t>
      </w:r>
      <w:r>
        <w:rPr>
          <w:rFonts w:hint="eastAsia" w:ascii="Times New Roman" w:hAnsi="Times New Roman" w:eastAsia="仿宋"/>
          <w:sz w:val="32"/>
          <w:szCs w:val="32"/>
          <w:shd w:val="clear" w:color="auto" w:fill="auto"/>
        </w:rPr>
        <w:t>79</w:t>
      </w:r>
      <w:r>
        <w:rPr>
          <w:rFonts w:hint="eastAsia" w:ascii="Times New Roman" w:hAnsi="Times New Roman" w:eastAsia="仿宋"/>
          <w:sz w:val="32"/>
          <w:szCs w:val="32"/>
          <w:shd w:val="clear" w:color="auto" w:fill="auto"/>
          <w:lang w:val="en-US" w:eastAsia="zh-CN"/>
        </w:rPr>
        <w:t>万元、年初结转和结余159.68万元。</w:t>
      </w:r>
    </w:p>
    <w:p w14:paraId="3D2B792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2023年调整后预算支出6051.47万元，其中：基本支出4914.75万元，包括人员经费4550.21万元和日常公用经费364.54万元；项目支出1136.72万元。</w:t>
      </w:r>
    </w:p>
    <w:p w14:paraId="0298B44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cs="黑体"/>
          <w:kern w:val="2"/>
          <w:sz w:val="32"/>
          <w:szCs w:val="32"/>
          <w:shd w:val="clear" w:color="auto" w:fill="auto"/>
          <w:lang w:val="en-US" w:eastAsia="zh-CN" w:bidi="ar-SA"/>
        </w:rPr>
        <w:t>3.</w:t>
      </w:r>
      <w:r>
        <w:rPr>
          <w:rFonts w:hint="eastAsia" w:ascii="Times New Roman" w:hAnsi="Times New Roman" w:eastAsia="仿宋"/>
          <w:sz w:val="32"/>
          <w:szCs w:val="32"/>
          <w:shd w:val="clear" w:color="auto" w:fill="auto"/>
          <w:lang w:val="en-US" w:eastAsia="zh-CN"/>
        </w:rPr>
        <w:t>决算情况</w:t>
      </w:r>
    </w:p>
    <w:p w14:paraId="7F52D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2023年决算收入5718.62万元，其中：一般公共预算财政拨款收入5558.94万元，年初结转结余159.68万元。</w:t>
      </w:r>
    </w:p>
    <w:p w14:paraId="3834419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2023年支出决算5718.62万元，其中：基本支出4816.32万元，包括人员经费4467.45万元和公用经费348.86万元，项目支出902.30万元。</w:t>
      </w:r>
    </w:p>
    <w:p w14:paraId="698260F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楷体" w:cs="楷体_GB2312"/>
          <w:bCs/>
          <w:sz w:val="32"/>
          <w:szCs w:val="32"/>
          <w:shd w:val="clear" w:color="auto" w:fill="auto"/>
        </w:rPr>
      </w:pPr>
      <w:r>
        <w:rPr>
          <w:rFonts w:hint="eastAsia" w:ascii="Times New Roman" w:hAnsi="Times New Roman" w:eastAsia="楷体" w:cs="楷体_GB2312"/>
          <w:bCs/>
          <w:sz w:val="32"/>
          <w:szCs w:val="32"/>
          <w:shd w:val="clear" w:color="auto" w:fill="auto"/>
        </w:rPr>
        <w:t>（三）部门整体支出绩效目标、指标</w:t>
      </w:r>
    </w:p>
    <w:p w14:paraId="12E76A3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rPr>
      </w:pPr>
      <w:r>
        <w:rPr>
          <w:rFonts w:hint="eastAsia" w:ascii="Times New Roman" w:hAnsi="Times New Roman" w:eastAsia="仿宋"/>
          <w:sz w:val="32"/>
          <w:szCs w:val="32"/>
          <w:shd w:val="clear" w:color="auto" w:fill="auto"/>
          <w:lang w:val="en-US" w:eastAsia="zh-CN"/>
        </w:rPr>
        <w:t>1.</w:t>
      </w:r>
      <w:r>
        <w:rPr>
          <w:rFonts w:hint="eastAsia" w:ascii="Times New Roman" w:hAnsi="Times New Roman" w:eastAsia="仿宋"/>
          <w:sz w:val="32"/>
          <w:szCs w:val="32"/>
          <w:shd w:val="clear" w:color="auto" w:fill="auto"/>
        </w:rPr>
        <w:t>总体绩效目标</w:t>
      </w:r>
    </w:p>
    <w:p w14:paraId="1A2A0FC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rPr>
      </w:pPr>
      <w:r>
        <w:rPr>
          <w:rFonts w:hint="eastAsia" w:ascii="Times New Roman" w:hAnsi="Times New Roman" w:eastAsia="仿宋"/>
          <w:sz w:val="32"/>
          <w:szCs w:val="32"/>
          <w:shd w:val="clear" w:color="auto" w:fill="auto"/>
        </w:rPr>
        <w:t>以习近平新时代中国特色社会主义思想为指导，坚持建党为魂、安全为先、惠民为本、服务为要，坚持夯基垒台与开拓创新相结合，大力推动业务发展，2023年归集额增长率、住房公积金个人贷款增长率和增值收益增长率均实现5%的目标。不断强化内部管理，精准化解风险隐患，将住房公积金个人贷款逾期率控制在0.02%以下。2023年建立健全各项制度，修订完善规章制度8项以上，积极开展住房公积金业务培训，不少于两期，150人次。加强综合服务平台建设，全面提升服务效能，让数据多跑路，群众少跑腿，业务办理离柜率达到70%以上。加强宣传引领，建立网点示范窗口，推行8项</w:t>
      </w:r>
      <w:r>
        <w:rPr>
          <w:rFonts w:hint="eastAsia" w:ascii="Times New Roman" w:hAnsi="Times New Roman" w:eastAsia="仿宋"/>
          <w:sz w:val="32"/>
          <w:szCs w:val="32"/>
          <w:shd w:val="clear" w:color="auto" w:fill="auto"/>
          <w:lang w:eastAsia="zh-CN"/>
        </w:rPr>
        <w:t>“</w:t>
      </w:r>
      <w:r>
        <w:rPr>
          <w:rFonts w:hint="eastAsia" w:ascii="Times New Roman" w:hAnsi="Times New Roman" w:eastAsia="仿宋"/>
          <w:sz w:val="32"/>
          <w:szCs w:val="32"/>
          <w:shd w:val="clear" w:color="auto" w:fill="auto"/>
        </w:rPr>
        <w:t>跨省通办</w:t>
      </w:r>
      <w:r>
        <w:rPr>
          <w:rFonts w:hint="eastAsia" w:ascii="Times New Roman" w:hAnsi="Times New Roman" w:eastAsia="仿宋"/>
          <w:sz w:val="32"/>
          <w:szCs w:val="32"/>
          <w:shd w:val="clear" w:color="auto" w:fill="auto"/>
          <w:lang w:eastAsia="zh-CN"/>
        </w:rPr>
        <w:t>”</w:t>
      </w:r>
      <w:r>
        <w:rPr>
          <w:rFonts w:hint="eastAsia" w:ascii="Times New Roman" w:hAnsi="Times New Roman" w:eastAsia="仿宋"/>
          <w:sz w:val="32"/>
          <w:szCs w:val="32"/>
          <w:shd w:val="clear" w:color="auto" w:fill="auto"/>
        </w:rPr>
        <w:t>业务，扎实推进住房公积金</w:t>
      </w:r>
      <w:r>
        <w:rPr>
          <w:rFonts w:hint="eastAsia" w:ascii="Times New Roman" w:hAnsi="Times New Roman"/>
          <w:sz w:val="32"/>
          <w:szCs w:val="32"/>
          <w:shd w:val="clear" w:color="auto" w:fill="auto"/>
          <w:lang w:eastAsia="zh-CN"/>
        </w:rPr>
        <w:t>“放管服”改革</w:t>
      </w:r>
      <w:r>
        <w:rPr>
          <w:rFonts w:hint="eastAsia" w:ascii="Times New Roman" w:hAnsi="Times New Roman" w:eastAsia="仿宋"/>
          <w:sz w:val="32"/>
          <w:szCs w:val="32"/>
          <w:shd w:val="clear" w:color="auto" w:fill="auto"/>
        </w:rPr>
        <w:t>，努力开创我市住房公积金管理新局面，为省会高质量发展做出新的更大贡献。2023年归集住房公积金137亿元，力争发放住房公积金个人贷款50亿元，实现住房公积金增值收益7.2亿元。</w:t>
      </w:r>
    </w:p>
    <w:p w14:paraId="7C6C1DB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2.分项绩效目标</w:t>
      </w:r>
    </w:p>
    <w:p w14:paraId="382DA6C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（1）</w:t>
      </w:r>
      <w:r>
        <w:rPr>
          <w:rFonts w:hint="default" w:ascii="Times New Roman" w:hAnsi="Times New Roman" w:eastAsia="仿宋"/>
          <w:sz w:val="32"/>
          <w:szCs w:val="32"/>
          <w:shd w:val="clear" w:color="auto" w:fill="auto"/>
          <w:lang w:val="en-US" w:eastAsia="zh-CN"/>
        </w:rPr>
        <w:t>大力拓展公积金归集业务</w:t>
      </w:r>
    </w:p>
    <w:p w14:paraId="59290A9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绩效目标：积极拓宽归集渠道，努力寻求增长空间，进一步扩大住房公积金制度覆盖面；积极推行使用</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全国住房公积金小程序</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实现住房公积金业务</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一键办</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畅通缴存人缴存、查询、转移接续渠道，提升业务办理效率和质量；加大住房公积金政策宣传力度，依照国家和地方相关政策规定，做好住房公积金提取审核工作，积极拓展网上提取业务范围，并做到提取资金实时到账，为职工提供高效、便捷的服务，提高单位和职工满意度。</w:t>
      </w:r>
    </w:p>
    <w:p w14:paraId="5F6939C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绩效指标：实现异地缴存证明、单位开户、单位及个人信息更改、提取等业务</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跨省通办</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稳妥有序推进自由职业者、个体工商户住房公积金建制及使用工作，2023年归集住房公积金137亿元，归集职工覆盖率超80%</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归集</w:t>
      </w:r>
      <w:r>
        <w:rPr>
          <w:rFonts w:hint="eastAsia" w:ascii="Times New Roman" w:hAnsi="Times New Roman"/>
          <w:sz w:val="32"/>
          <w:szCs w:val="32"/>
          <w:shd w:val="clear" w:color="auto" w:fill="auto"/>
          <w:lang w:val="en-US" w:eastAsia="zh-CN"/>
        </w:rPr>
        <w:t>账户</w:t>
      </w:r>
      <w:r>
        <w:rPr>
          <w:rFonts w:hint="default" w:ascii="Times New Roman" w:hAnsi="Times New Roman" w:eastAsia="仿宋"/>
          <w:sz w:val="32"/>
          <w:szCs w:val="32"/>
          <w:shd w:val="clear" w:color="auto" w:fill="auto"/>
          <w:lang w:val="en-US" w:eastAsia="zh-CN"/>
        </w:rPr>
        <w:t>总数超105万户，实现年度归集额增长率5%。</w:t>
      </w:r>
    </w:p>
    <w:p w14:paraId="081C452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（2）</w:t>
      </w:r>
      <w:r>
        <w:rPr>
          <w:rFonts w:hint="default" w:ascii="Times New Roman" w:hAnsi="Times New Roman" w:eastAsia="仿宋"/>
          <w:sz w:val="32"/>
          <w:szCs w:val="32"/>
          <w:shd w:val="clear" w:color="auto" w:fill="auto"/>
          <w:lang w:val="en-US" w:eastAsia="zh-CN"/>
        </w:rPr>
        <w:t>不断加强贷款业务管理</w:t>
      </w:r>
    </w:p>
    <w:p w14:paraId="3D0D466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目标：积极落实国家和省相关政策，加大对房地产开发企业拒贷限贷的打击力度，做好房地产市场调研工作和住房公积金贷款政策宣传工作，使贷款职工充分了解我市住房公积金贷款政策，最大程度满足职工贷款需求。建立完善贷款风险准备金制度，做好贷前贷后管理，确保贷款管理规范。</w:t>
      </w:r>
    </w:p>
    <w:p w14:paraId="679B50B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绩效指标：2023年力争发放住房公积金个人贷款50亿元，按照要求足额提取贷款风险准备金，做到贷款风险准备金率不低于1%</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成立治理违规贷款、失信行为惩戒</w:t>
      </w:r>
      <w:bookmarkStart w:id="0" w:name="_GoBack"/>
      <w:bookmarkEnd w:id="0"/>
      <w:r>
        <w:rPr>
          <w:rFonts w:hint="default" w:ascii="Times New Roman" w:hAnsi="Times New Roman" w:eastAsia="仿宋"/>
          <w:sz w:val="32"/>
          <w:szCs w:val="32"/>
          <w:shd w:val="clear" w:color="auto" w:fill="auto"/>
          <w:lang w:val="en-US" w:eastAsia="zh-CN"/>
        </w:rPr>
        <w:t>专班，加强贷款逾期管理，发放住房公积金个人贷款增长率5%。</w:t>
      </w:r>
    </w:p>
    <w:p w14:paraId="107084A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（3）</w:t>
      </w:r>
      <w:r>
        <w:rPr>
          <w:rFonts w:hint="default" w:ascii="Times New Roman" w:hAnsi="Times New Roman" w:eastAsia="仿宋"/>
          <w:sz w:val="32"/>
          <w:szCs w:val="32"/>
          <w:shd w:val="clear" w:color="auto" w:fill="auto"/>
          <w:lang w:val="en-US" w:eastAsia="zh-CN"/>
        </w:rPr>
        <w:t>努力实现增值收益稳步增长</w:t>
      </w:r>
    </w:p>
    <w:p w14:paraId="1F20954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目标：合理运作资金，开展大额资金竞争性存放工作，在保证资金安全的前提下，进一步优化住房公积金存款结构，合理配置存款期限，提高住房公积金资金使用效率，实现收益最大化，按时足额向国库上缴增值收益。</w:t>
      </w:r>
    </w:p>
    <w:p w14:paraId="575D5B6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绩效指标：在确保资金流动性基础上，综合评定资金存放银行，银行存款利率加基点60以上，期限1年期、2年期、3年期合理配比，2023年实现增值收益7.2亿元，增值收益率大于1.5%</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实现住房公积金增值收益增长率5%</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次年3月底前全部上缴国库。</w:t>
      </w:r>
    </w:p>
    <w:p w14:paraId="35C7680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（4）</w:t>
      </w:r>
      <w:r>
        <w:rPr>
          <w:rFonts w:hint="default" w:ascii="Times New Roman" w:hAnsi="Times New Roman" w:eastAsia="仿宋"/>
          <w:sz w:val="32"/>
          <w:szCs w:val="32"/>
          <w:shd w:val="clear" w:color="auto" w:fill="auto"/>
          <w:lang w:val="en-US" w:eastAsia="zh-CN"/>
        </w:rPr>
        <w:t>防范化解各项风险隐患</w:t>
      </w:r>
    </w:p>
    <w:p w14:paraId="1EAE168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目标：主动防范，及时化解风险隐患，对住房公积金缴存、提取、使用、资金调拨等关键环节进行全面梳理评估；集中攻坚，切实降低个贷逾期率；加大力度，严厉打击骗提骗贷，有效维护住房公积金制度的公平性、严肃性；建立内控机制，完善重大事项集体决策，加强内部稽核和审计；加强网络安全保障，提升信息系统安全防范能力。</w:t>
      </w:r>
    </w:p>
    <w:p w14:paraId="7F2AB71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指标：严格执行国家、省、市相关规定，召开4次管委会会议，审议重要事项；每月召开资金管理领导小组会议，每季度听取资金管理工作报告；加大内审稽核力度，专项稽核工作不少于3次；加大逾期贷款催收力度，不断完善催收流程、逐户建立催收台账，有序开展法律诉讼，个人住房贷款逾期率控制在0.02%以内；深入开展扫黑除恶专项斗争，及时向公安部门移交问题线索；做好信息系统核心设备与网络安全维护、三级等保认证升级以及系统灾备等信息数据保护工作，保证住房公积金信息系统安全、稳定、高效运行。</w:t>
      </w:r>
    </w:p>
    <w:p w14:paraId="162D70F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（5）</w:t>
      </w:r>
      <w:r>
        <w:rPr>
          <w:rFonts w:hint="default" w:ascii="Times New Roman" w:hAnsi="Times New Roman" w:eastAsia="仿宋"/>
          <w:sz w:val="32"/>
          <w:szCs w:val="32"/>
          <w:shd w:val="clear" w:color="auto" w:fill="auto"/>
          <w:lang w:val="en-US" w:eastAsia="zh-CN"/>
        </w:rPr>
        <w:t>不断提升规范化管理水平</w:t>
      </w:r>
    </w:p>
    <w:p w14:paraId="5FF136F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目标：着力提升住房公积金规范化、精细化管理水平，把制度建设摆在突出位置，不断规范业务操作，逐步加强内部管理，切实保障资金安全。进一步提高制度质量，夯实制度体系，扎紧制度笼子，不断健全制度，完善机制；规范合同管理，各项合同律师把关，班子集体研究决定；加强住房公积金业务培训指导，不断提升业务效能。</w:t>
      </w:r>
    </w:p>
    <w:p w14:paraId="65CA18C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指标：建立健全各项规章制度10项以上，健全完善管运分离、统一核算的管理模式，重新修订各部门工作职责，制定各部门业务考核指标，机关科室业务考核指标不低于8个，管理部业务考核指标不低于5个；认真对照国家住房公积金归集、提取、贷款、资金管理、基础数据等业务标准，梳理业务流程，减少制度盲区，努力做到每项工作有规可依、每个流程有章可循、每笔业务有据可查，确保各项业务标准不折不扣落实到位。2023年各项合同法审率达到100%</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开展住房公积金业务培训期次不少于两期，150人次，减少业务差错率，进一步提高业务办结效率，不断提升规范化管理水平。</w:t>
      </w:r>
    </w:p>
    <w:p w14:paraId="0F1243A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eastAsia" w:ascii="Times New Roman" w:hAnsi="Times New Roman" w:eastAsia="仿宋"/>
          <w:sz w:val="32"/>
          <w:szCs w:val="32"/>
          <w:shd w:val="clear" w:color="auto" w:fill="auto"/>
          <w:lang w:val="en-US" w:eastAsia="zh-CN"/>
        </w:rPr>
        <w:t>（6）</w:t>
      </w:r>
      <w:r>
        <w:rPr>
          <w:rFonts w:hint="default" w:ascii="Times New Roman" w:hAnsi="Times New Roman" w:eastAsia="仿宋"/>
          <w:sz w:val="32"/>
          <w:szCs w:val="32"/>
          <w:shd w:val="clear" w:color="auto" w:fill="auto"/>
          <w:lang w:val="en-US" w:eastAsia="zh-CN"/>
        </w:rPr>
        <w:t>全面提升住房公积金服务效能</w:t>
      </w:r>
    </w:p>
    <w:p w14:paraId="69AB35B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目标：创新服务手段，举全中心之力强力推进信息化建设，加强综合服务平台建设；简化办事要件，压缩办结时限，优化业务系统，全力推进住房公积金信息共享工作，让办事群众办理住房公积金业务更加方便快捷。以</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全国住房公积金小程序</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为载体，大力推进</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跨省通办</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业务，力争住房公积金办理再提速。</w:t>
      </w:r>
    </w:p>
    <w:p w14:paraId="6720687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sz w:val="32"/>
          <w:szCs w:val="32"/>
          <w:shd w:val="clear" w:color="auto" w:fill="auto"/>
          <w:lang w:val="en-US" w:eastAsia="zh-CN"/>
        </w:rPr>
      </w:pPr>
      <w:r>
        <w:rPr>
          <w:rFonts w:hint="default" w:ascii="Times New Roman" w:hAnsi="Times New Roman" w:eastAsia="仿宋"/>
          <w:sz w:val="32"/>
          <w:szCs w:val="32"/>
          <w:shd w:val="clear" w:color="auto" w:fill="auto"/>
          <w:lang w:val="en-US" w:eastAsia="zh-CN"/>
        </w:rPr>
        <w:t>绩效指标：全面推行住房公积金缴存、提取、贷款业务网上办理、手机办理，缴存单位可在网上办理单位信息变更、缴存基数调整、汇缴核定等缴存业务，办事群众可7*24小时，随时随地办理离退休提取、离职半年提取、公积金还贷提取等业务，离柜率达到70%以上；全面推行提取到个人模式，提取实时办结，10分钟完成全部业务；住房公积金个人贷款审批时限缩减至7个工作日，办理提前还款及贷款结清业务实现缩减至1个工作日。积极与人行、住建、人社部门沟通协调，打通数据壁垒，以信息共享促进流程优化、要件瘦身，逐步实现住房公积金业务</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零材料</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办理；推进与人社、省直等信息互联互通，打造一流服务环境，</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三创四建</w:t>
      </w:r>
      <w:r>
        <w:rPr>
          <w:rFonts w:hint="eastAsia" w:ascii="Times New Roman" w:hAnsi="Times New Roman" w:eastAsia="仿宋"/>
          <w:sz w:val="32"/>
          <w:szCs w:val="32"/>
          <w:shd w:val="clear" w:color="auto" w:fill="auto"/>
          <w:lang w:val="en-US" w:eastAsia="zh-CN"/>
        </w:rPr>
        <w:t>”</w:t>
      </w:r>
      <w:r>
        <w:rPr>
          <w:rFonts w:hint="default" w:ascii="Times New Roman" w:hAnsi="Times New Roman" w:eastAsia="仿宋"/>
          <w:sz w:val="32"/>
          <w:szCs w:val="32"/>
          <w:shd w:val="clear" w:color="auto" w:fill="auto"/>
          <w:lang w:val="en-US" w:eastAsia="zh-CN"/>
        </w:rPr>
        <w:t>活动取得实效。</w:t>
      </w:r>
    </w:p>
    <w:p w14:paraId="1A9349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黑体"/>
          <w:sz w:val="32"/>
          <w:szCs w:val="32"/>
          <w:shd w:val="clear" w:color="auto" w:fill="auto"/>
        </w:rPr>
      </w:pPr>
      <w:r>
        <w:rPr>
          <w:rFonts w:hint="eastAsia" w:ascii="Times New Roman" w:hAnsi="Times New Roman" w:eastAsia="黑体"/>
          <w:sz w:val="32"/>
          <w:szCs w:val="32"/>
          <w:shd w:val="clear" w:color="auto" w:fill="auto"/>
        </w:rPr>
        <w:t>二、自评工作开展情况</w:t>
      </w:r>
    </w:p>
    <w:p w14:paraId="707121A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楷体" w:cs="楷体_GB2312"/>
          <w:sz w:val="32"/>
          <w:szCs w:val="32"/>
          <w:shd w:val="clear" w:color="auto" w:fill="auto"/>
        </w:rPr>
      </w:pPr>
      <w:r>
        <w:rPr>
          <w:rFonts w:hint="eastAsia" w:ascii="Times New Roman" w:hAnsi="Times New Roman" w:eastAsia="楷体" w:cs="楷体_GB2312"/>
          <w:bCs/>
          <w:sz w:val="32"/>
          <w:szCs w:val="32"/>
          <w:shd w:val="clear" w:color="auto" w:fill="auto"/>
        </w:rPr>
        <w:t>（一）自评的组织工作</w:t>
      </w:r>
    </w:p>
    <w:p w14:paraId="312D270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宋体"/>
          <w:sz w:val="32"/>
          <w:szCs w:val="32"/>
          <w:shd w:val="clear" w:color="auto" w:fill="auto"/>
        </w:rPr>
      </w:pPr>
      <w:r>
        <w:rPr>
          <w:rFonts w:hint="eastAsia" w:ascii="Times New Roman" w:hAnsi="Times New Roman" w:eastAsia="仿宋_GB2312" w:cs="仿宋_GB2312"/>
          <w:sz w:val="32"/>
          <w:szCs w:val="32"/>
          <w:shd w:val="clear" w:color="auto" w:fill="auto"/>
        </w:rPr>
        <w:t>公积金中心</w:t>
      </w:r>
      <w:r>
        <w:rPr>
          <w:rFonts w:hint="eastAsia" w:ascii="Times New Roman" w:hAnsi="Times New Roman" w:eastAsia="仿宋_GB2312" w:cs="宋体"/>
          <w:sz w:val="32"/>
          <w:szCs w:val="32"/>
          <w:shd w:val="clear" w:color="auto" w:fill="auto"/>
        </w:rPr>
        <w:t>高度重视此项绩效自评工作，</w:t>
      </w:r>
      <w:r>
        <w:rPr>
          <w:rFonts w:hint="eastAsia" w:ascii="Times New Roman" w:hAnsi="Times New Roman" w:eastAsia="仿宋" w:cs="仿宋"/>
          <w:sz w:val="32"/>
          <w:szCs w:val="32"/>
          <w:shd w:val="clear" w:color="auto" w:fill="auto"/>
        </w:rPr>
        <w:t>积极开展该项工作，依靠自身力量成立了绩效</w:t>
      </w:r>
      <w:r>
        <w:rPr>
          <w:rFonts w:hint="eastAsia" w:ascii="Times New Roman" w:hAnsi="Times New Roman" w:eastAsia="仿宋" w:cs="仿宋"/>
          <w:sz w:val="32"/>
          <w:szCs w:val="32"/>
          <w:shd w:val="clear" w:color="auto" w:fill="auto"/>
          <w:lang w:val="en-US" w:eastAsia="zh-CN"/>
        </w:rPr>
        <w:t>自评</w:t>
      </w:r>
      <w:r>
        <w:rPr>
          <w:rFonts w:hint="eastAsia" w:ascii="Times New Roman" w:hAnsi="Times New Roman" w:eastAsia="仿宋" w:cs="仿宋"/>
          <w:sz w:val="32"/>
          <w:szCs w:val="32"/>
          <w:shd w:val="clear" w:color="auto" w:fill="auto"/>
        </w:rPr>
        <w:t>工作组，</w:t>
      </w:r>
      <w:r>
        <w:rPr>
          <w:rFonts w:hint="eastAsia" w:ascii="Times New Roman" w:hAnsi="Times New Roman" w:eastAsia="仿宋" w:cs="仿宋"/>
          <w:sz w:val="32"/>
          <w:szCs w:val="32"/>
        </w:rPr>
        <w:t>组长由公积金中心</w:t>
      </w:r>
      <w:r>
        <w:rPr>
          <w:rFonts w:hint="eastAsia" w:ascii="Times New Roman" w:hAnsi="Times New Roman" w:eastAsia="仿宋" w:cs="仿宋"/>
          <w:sz w:val="32"/>
          <w:szCs w:val="32"/>
          <w:lang w:val="en-US" w:eastAsia="zh-CN"/>
        </w:rPr>
        <w:t>副主任董海林</w:t>
      </w:r>
      <w:r>
        <w:rPr>
          <w:rFonts w:hint="eastAsia" w:ascii="Times New Roman" w:hAnsi="Times New Roman" w:eastAsia="仿宋" w:cs="仿宋"/>
          <w:sz w:val="32"/>
          <w:szCs w:val="32"/>
        </w:rPr>
        <w:t>担任，成员包括底宪民、张富平、孙路洁、周青、梁皓、温雅</w:t>
      </w:r>
      <w:r>
        <w:rPr>
          <w:rFonts w:hint="eastAsia" w:ascii="Times New Roman" w:hAnsi="Times New Roman" w:cs="仿宋"/>
          <w:sz w:val="32"/>
          <w:szCs w:val="32"/>
          <w:lang w:eastAsia="zh-CN"/>
        </w:rPr>
        <w:t>。</w:t>
      </w:r>
      <w:r>
        <w:rPr>
          <w:rFonts w:hint="eastAsia" w:ascii="Times New Roman" w:hAnsi="Times New Roman" w:eastAsia="仿宋_GB2312" w:cs="宋体"/>
          <w:sz w:val="32"/>
          <w:szCs w:val="32"/>
          <w:shd w:val="clear" w:color="auto" w:fill="auto"/>
        </w:rPr>
        <w:t>按照通知要求，工作小组事先制定了自评工作方案，明确评价内容、评价程序及时间安排，并组织单位相关人员召开专题会议，要求</w:t>
      </w:r>
      <w:r>
        <w:rPr>
          <w:rFonts w:hint="eastAsia" w:ascii="Times New Roman" w:hAnsi="Times New Roman" w:eastAsia="仿宋_GB2312" w:cs="宋体"/>
          <w:sz w:val="32"/>
          <w:szCs w:val="32"/>
          <w:shd w:val="clear" w:color="auto" w:fill="auto"/>
          <w:lang w:val="en-US" w:eastAsia="zh-CN"/>
        </w:rPr>
        <w:t>各科室</w:t>
      </w:r>
      <w:r>
        <w:rPr>
          <w:rFonts w:hint="eastAsia" w:ascii="Times New Roman" w:hAnsi="Times New Roman" w:eastAsia="仿宋_GB2312" w:cs="宋体"/>
          <w:sz w:val="32"/>
          <w:szCs w:val="32"/>
          <w:shd w:val="clear" w:color="auto" w:fill="auto"/>
        </w:rPr>
        <w:t>提前准备相关资料，积极配合做好自评工作。</w:t>
      </w:r>
    </w:p>
    <w:p w14:paraId="37C8A36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仿宋_GB2312" w:cs="仿宋_GB2312"/>
          <w:sz w:val="32"/>
          <w:szCs w:val="32"/>
          <w:highlight w:val="none"/>
          <w:shd w:val="clear" w:color="auto" w:fill="auto"/>
        </w:rPr>
      </w:pPr>
      <w:r>
        <w:rPr>
          <w:rFonts w:hint="eastAsia" w:ascii="Times New Roman" w:hAnsi="Times New Roman" w:eastAsia="仿宋_GB2312" w:cs="宋体"/>
          <w:sz w:val="32"/>
          <w:szCs w:val="32"/>
          <w:shd w:val="clear" w:color="auto" w:fill="auto"/>
        </w:rPr>
        <w:t>评价以20</w:t>
      </w:r>
      <w:r>
        <w:rPr>
          <w:rFonts w:ascii="Times New Roman" w:hAnsi="Times New Roman" w:eastAsia="仿宋_GB2312" w:cs="宋体"/>
          <w:sz w:val="32"/>
          <w:szCs w:val="32"/>
          <w:shd w:val="clear" w:color="auto" w:fill="auto"/>
        </w:rPr>
        <w:t>2</w:t>
      </w:r>
      <w:r>
        <w:rPr>
          <w:rFonts w:hint="eastAsia" w:ascii="Times New Roman" w:hAnsi="Times New Roman" w:eastAsia="仿宋_GB2312" w:cs="宋体"/>
          <w:sz w:val="32"/>
          <w:szCs w:val="32"/>
          <w:shd w:val="clear" w:color="auto" w:fill="auto"/>
          <w:lang w:val="en-US" w:eastAsia="zh-CN"/>
        </w:rPr>
        <w:t>3</w:t>
      </w:r>
      <w:r>
        <w:rPr>
          <w:rFonts w:hint="eastAsia" w:ascii="Times New Roman" w:hAnsi="Times New Roman" w:eastAsia="仿宋_GB2312" w:cs="宋体"/>
          <w:sz w:val="32"/>
          <w:szCs w:val="32"/>
          <w:shd w:val="clear" w:color="auto" w:fill="auto"/>
        </w:rPr>
        <w:t>年初预算确定的项目绩效目标和绩效指标为依据，通过对相关账目进行核实，对比各绩效指标完成情况，进一步分析和总结，对</w:t>
      </w:r>
      <w:r>
        <w:rPr>
          <w:rFonts w:hint="eastAsia" w:ascii="Times New Roman" w:hAnsi="Times New Roman" w:eastAsia="仿宋_GB2312" w:cs="宋体"/>
          <w:sz w:val="32"/>
          <w:szCs w:val="32"/>
          <w:shd w:val="clear" w:color="auto" w:fill="auto"/>
          <w:lang w:val="en-US" w:eastAsia="zh-CN"/>
        </w:rPr>
        <w:t>9</w:t>
      </w:r>
      <w:r>
        <w:rPr>
          <w:rFonts w:hint="eastAsia" w:ascii="Times New Roman" w:hAnsi="Times New Roman" w:eastAsia="仿宋_GB2312" w:cs="宋体"/>
          <w:sz w:val="32"/>
          <w:szCs w:val="32"/>
          <w:shd w:val="clear" w:color="auto" w:fill="auto"/>
        </w:rPr>
        <w:t>个项目进行了自评价，并完成《石家庄市市级部门预算项目绩效自评表》，且对</w:t>
      </w:r>
      <w:r>
        <w:rPr>
          <w:rFonts w:hint="eastAsia" w:ascii="Times New Roman" w:hAnsi="Times New Roman" w:eastAsia="仿宋_GB2312" w:cs="宋体"/>
          <w:sz w:val="32"/>
          <w:szCs w:val="32"/>
          <w:shd w:val="clear" w:color="auto" w:fill="auto"/>
          <w:lang w:val="en-US" w:eastAsia="zh-CN"/>
        </w:rPr>
        <w:t>办公设备购置经费</w:t>
      </w:r>
      <w:r>
        <w:rPr>
          <w:rFonts w:hint="eastAsia" w:ascii="Times New Roman" w:hAnsi="Times New Roman" w:eastAsia="仿宋_GB2312" w:cs="宋体"/>
          <w:sz w:val="32"/>
          <w:szCs w:val="32"/>
          <w:shd w:val="clear" w:color="auto" w:fill="auto"/>
        </w:rPr>
        <w:t>项目进行</w:t>
      </w:r>
      <w:r>
        <w:rPr>
          <w:rFonts w:hint="eastAsia" w:ascii="Times New Roman" w:hAnsi="Times New Roman" w:eastAsia="仿宋_GB2312" w:cs="宋体"/>
          <w:sz w:val="32"/>
          <w:szCs w:val="32"/>
          <w:highlight w:val="none"/>
          <w:shd w:val="clear" w:color="auto" w:fill="auto"/>
        </w:rPr>
        <w:t>了重点评价，出具专项资金绩效评价报告</w:t>
      </w:r>
      <w:r>
        <w:rPr>
          <w:rFonts w:hint="eastAsia" w:ascii="Times New Roman" w:hAnsi="Times New Roman" w:eastAsia="仿宋_GB2312"/>
          <w:sz w:val="32"/>
          <w:szCs w:val="32"/>
          <w:highlight w:val="none"/>
          <w:shd w:val="clear" w:color="auto" w:fill="auto"/>
        </w:rPr>
        <w:t>。</w:t>
      </w:r>
    </w:p>
    <w:p w14:paraId="4569CF49">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firstLine="640" w:firstLineChars="200"/>
        <w:textAlignment w:val="auto"/>
        <w:rPr>
          <w:rFonts w:ascii="Times New Roman" w:hAnsi="Times New Roman" w:eastAsia="楷体" w:cs="楷体_GB2312"/>
          <w:bCs/>
          <w:sz w:val="32"/>
          <w:szCs w:val="32"/>
          <w:highlight w:val="none"/>
          <w:shd w:val="clear" w:color="auto" w:fill="auto"/>
        </w:rPr>
      </w:pPr>
      <w:r>
        <w:rPr>
          <w:rFonts w:hint="eastAsia" w:ascii="Times New Roman" w:hAnsi="Times New Roman" w:eastAsia="楷体" w:cs="楷体_GB2312"/>
          <w:bCs/>
          <w:sz w:val="32"/>
          <w:szCs w:val="32"/>
          <w:highlight w:val="none"/>
          <w:shd w:val="clear" w:color="auto" w:fill="auto"/>
        </w:rPr>
        <w:t>自评的方法和过程</w:t>
      </w:r>
    </w:p>
    <w:p w14:paraId="0F33EA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宋体"/>
          <w:sz w:val="32"/>
          <w:szCs w:val="32"/>
          <w:shd w:val="clear" w:color="auto" w:fill="auto"/>
          <w:lang w:val="en-US" w:eastAsia="zh-CN"/>
        </w:rPr>
      </w:pPr>
      <w:r>
        <w:rPr>
          <w:rFonts w:hint="eastAsia" w:ascii="Times New Roman" w:hAnsi="Times New Roman" w:eastAsia="仿宋_GB2312" w:cs="宋体"/>
          <w:sz w:val="32"/>
          <w:szCs w:val="32"/>
          <w:shd w:val="clear" w:color="auto" w:fill="auto"/>
          <w:lang w:val="en-US" w:eastAsia="zh-CN"/>
        </w:rPr>
        <w:t>在接到自评通知后，我中心立刻做出工作安排，遵循全面覆盖、程序简便、客观公正、公开透明原则，开展自评工作。</w:t>
      </w:r>
    </w:p>
    <w:p w14:paraId="3A46EB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宋体"/>
          <w:sz w:val="32"/>
          <w:szCs w:val="32"/>
          <w:shd w:val="clear" w:color="auto" w:fill="auto"/>
          <w:lang w:val="en-US" w:eastAsia="zh-CN"/>
        </w:rPr>
      </w:pPr>
      <w:r>
        <w:rPr>
          <w:rFonts w:hint="eastAsia" w:ascii="Times New Roman" w:hAnsi="Times New Roman" w:eastAsia="仿宋_GB2312" w:cs="宋体"/>
          <w:sz w:val="32"/>
          <w:szCs w:val="32"/>
          <w:shd w:val="clear" w:color="auto" w:fill="auto"/>
          <w:lang w:val="en-US" w:eastAsia="zh-CN"/>
        </w:rPr>
        <w:t>前期准备：我中心成立以单位主管领导为组长的自评工作小组，制定科学完整的自评工作方案。</w:t>
      </w:r>
    </w:p>
    <w:p w14:paraId="441EA7A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宋体"/>
          <w:sz w:val="32"/>
          <w:szCs w:val="32"/>
          <w:shd w:val="clear" w:color="auto" w:fill="auto"/>
          <w:lang w:val="en-US" w:eastAsia="zh-CN"/>
        </w:rPr>
      </w:pPr>
      <w:r>
        <w:rPr>
          <w:rFonts w:hint="eastAsia" w:ascii="Times New Roman" w:hAnsi="Times New Roman" w:eastAsia="仿宋_GB2312" w:cs="宋体"/>
          <w:sz w:val="32"/>
          <w:szCs w:val="32"/>
          <w:shd w:val="clear" w:color="auto" w:fill="auto"/>
          <w:lang w:val="en-US" w:eastAsia="zh-CN"/>
        </w:rPr>
        <w:t>组织实施：自评小组收集项目开展情况及资金使用情况，并进行现场核查确定项目开展进度，核实所掌握的有关信息资料。</w:t>
      </w:r>
    </w:p>
    <w:p w14:paraId="6F3F92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宋体"/>
          <w:sz w:val="32"/>
          <w:szCs w:val="32"/>
          <w:shd w:val="clear" w:color="auto" w:fill="auto"/>
          <w:lang w:val="en-US" w:eastAsia="zh-CN"/>
        </w:rPr>
      </w:pPr>
      <w:r>
        <w:rPr>
          <w:rFonts w:hint="eastAsia" w:ascii="Times New Roman" w:hAnsi="Times New Roman" w:eastAsia="仿宋_GB2312" w:cs="宋体"/>
          <w:sz w:val="32"/>
          <w:szCs w:val="32"/>
          <w:shd w:val="clear" w:color="auto" w:fill="auto"/>
          <w:lang w:val="en-US" w:eastAsia="zh-CN"/>
        </w:rPr>
        <w:t>分析评价过程：按照所核实的情况及方案确定的评价指标体系、标准及方法，对评价对象的绩效情况进行定量、定性分析和综合评价，形成评价结论。</w:t>
      </w:r>
    </w:p>
    <w:p w14:paraId="3EACF5BE">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Times New Roman" w:hAnsi="Times New Roman" w:eastAsia="仿宋_GB2312" w:cs="仿宋_GB2312"/>
          <w:sz w:val="32"/>
          <w:szCs w:val="40"/>
          <w:shd w:val="clear" w:color="auto" w:fill="auto"/>
          <w:lang w:val="en-US" w:eastAsia="zh-CN"/>
        </w:rPr>
      </w:pPr>
      <w:r>
        <w:rPr>
          <w:rFonts w:hint="eastAsia" w:ascii="Times New Roman" w:hAnsi="Times New Roman" w:eastAsia="仿宋_GB2312" w:cs="仿宋_GB2312"/>
          <w:sz w:val="32"/>
          <w:szCs w:val="40"/>
          <w:shd w:val="clear" w:color="auto" w:fill="auto"/>
          <w:lang w:val="en-US" w:eastAsia="zh-CN"/>
        </w:rPr>
        <w:t>最后完成绩效自评表填写、自评工作总结，形成专题报告。</w:t>
      </w:r>
    </w:p>
    <w:p w14:paraId="0CC0895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黑体"/>
          <w:b/>
          <w:bCs/>
          <w:sz w:val="32"/>
          <w:szCs w:val="32"/>
          <w:shd w:val="clear" w:color="auto" w:fill="auto"/>
        </w:rPr>
      </w:pPr>
      <w:r>
        <w:rPr>
          <w:rFonts w:hint="eastAsia" w:ascii="Times New Roman" w:hAnsi="Times New Roman" w:eastAsia="黑体"/>
          <w:sz w:val="32"/>
          <w:szCs w:val="32"/>
          <w:shd w:val="clear" w:color="auto" w:fill="auto"/>
        </w:rPr>
        <w:t>三、部门整体支出绩效目标实现情况及指标分析</w:t>
      </w:r>
    </w:p>
    <w:p w14:paraId="50535C3A">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ascii="Times New Roman" w:hAnsi="Times New Roman" w:eastAsia="楷体" w:cs="楷体_GB2312"/>
          <w:bCs/>
          <w:sz w:val="32"/>
          <w:szCs w:val="32"/>
          <w:shd w:val="clear" w:color="auto" w:fill="auto"/>
        </w:rPr>
      </w:pPr>
      <w:r>
        <w:rPr>
          <w:rFonts w:hint="eastAsia" w:ascii="Times New Roman" w:hAnsi="Times New Roman" w:eastAsia="楷体" w:cs="楷体_GB2312"/>
          <w:bCs/>
          <w:sz w:val="32"/>
          <w:szCs w:val="32"/>
          <w:shd w:val="clear" w:color="auto" w:fill="auto"/>
        </w:rPr>
        <w:t>总体绩效目标实现情况</w:t>
      </w:r>
    </w:p>
    <w:p w14:paraId="08E3DD06">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Times New Roman" w:hAnsi="Times New Roman" w:eastAsia="仿宋_GB2312"/>
          <w:sz w:val="32"/>
          <w:szCs w:val="32"/>
          <w:shd w:val="clear" w:color="auto" w:fill="auto"/>
          <w:lang w:eastAsia="zh-CN"/>
        </w:rPr>
      </w:pPr>
      <w:r>
        <w:rPr>
          <w:rFonts w:hint="eastAsia" w:ascii="Times New Roman" w:hAnsi="Times New Roman" w:eastAsia="仿宋_GB2312" w:cs="仿宋_GB2312"/>
          <w:sz w:val="32"/>
          <w:szCs w:val="40"/>
          <w:shd w:val="clear" w:color="auto" w:fill="auto"/>
        </w:rPr>
        <w:t>202</w:t>
      </w:r>
      <w:r>
        <w:rPr>
          <w:rFonts w:hint="eastAsia" w:ascii="Times New Roman" w:hAnsi="Times New Roman" w:eastAsia="仿宋_GB2312" w:cs="仿宋_GB2312"/>
          <w:sz w:val="32"/>
          <w:szCs w:val="40"/>
          <w:shd w:val="clear" w:color="auto" w:fill="auto"/>
          <w:lang w:val="en-US" w:eastAsia="zh-CN"/>
        </w:rPr>
        <w:t>3</w:t>
      </w:r>
      <w:r>
        <w:rPr>
          <w:rFonts w:hint="eastAsia" w:ascii="Times New Roman" w:hAnsi="Times New Roman" w:eastAsia="仿宋_GB2312" w:cs="仿宋_GB2312"/>
          <w:sz w:val="32"/>
          <w:szCs w:val="40"/>
          <w:shd w:val="clear" w:color="auto" w:fill="auto"/>
        </w:rPr>
        <w:t>年，</w:t>
      </w:r>
      <w:r>
        <w:rPr>
          <w:rFonts w:hint="eastAsia" w:ascii="Times New Roman" w:hAnsi="Times New Roman" w:eastAsia="仿宋_GB2312"/>
          <w:sz w:val="32"/>
          <w:szCs w:val="32"/>
          <w:shd w:val="clear" w:color="auto" w:fill="auto"/>
        </w:rPr>
        <w:t>石家庄住房公积金管理中心领导班子坚持以习近平新时代中国特色社会主义思想为指导，</w:t>
      </w:r>
      <w:r>
        <w:rPr>
          <w:rFonts w:hint="eastAsia" w:ascii="Times New Roman" w:hAnsi="Times New Roman" w:eastAsia="仿宋_GB2312"/>
          <w:sz w:val="32"/>
          <w:szCs w:val="32"/>
          <w:shd w:val="clear" w:color="auto" w:fill="auto"/>
          <w:lang w:eastAsia="zh-CN"/>
        </w:rPr>
        <w:t>深入学习</w:t>
      </w:r>
      <w:r>
        <w:rPr>
          <w:rFonts w:hint="eastAsia" w:ascii="Times New Roman" w:hAnsi="Times New Roman" w:eastAsia="仿宋_GB2312"/>
          <w:sz w:val="32"/>
          <w:szCs w:val="32"/>
          <w:shd w:val="clear" w:color="auto" w:fill="auto"/>
        </w:rPr>
        <w:t>贯彻党的二十大</w:t>
      </w:r>
      <w:r>
        <w:rPr>
          <w:rFonts w:hint="eastAsia" w:ascii="Times New Roman" w:hAnsi="Times New Roman" w:eastAsia="仿宋_GB2312"/>
          <w:sz w:val="32"/>
          <w:szCs w:val="32"/>
          <w:shd w:val="clear" w:color="auto" w:fill="auto"/>
          <w:lang w:eastAsia="zh-CN"/>
        </w:rPr>
        <w:t>和二十届二中全会精神，认真落实市委、市政府部署要求，</w:t>
      </w:r>
      <w:r>
        <w:rPr>
          <w:rFonts w:hint="eastAsia" w:ascii="Times New Roman" w:hAnsi="Times New Roman" w:eastAsia="仿宋_GB2312"/>
          <w:sz w:val="32"/>
          <w:szCs w:val="32"/>
          <w:shd w:val="clear" w:color="auto" w:fill="auto"/>
        </w:rPr>
        <w:t>牢牢抓住住房公积金“民生保障”定位和“</w:t>
      </w:r>
      <w:r>
        <w:rPr>
          <w:rFonts w:hint="eastAsia" w:ascii="Times New Roman" w:hAnsi="Times New Roman" w:eastAsia="仿宋_GB2312"/>
          <w:sz w:val="32"/>
          <w:szCs w:val="32"/>
          <w:shd w:val="clear" w:color="auto" w:fill="auto"/>
          <w:lang w:eastAsia="zh-CN"/>
        </w:rPr>
        <w:t>普惠性公共服务”属性，解放思想、奋发进取，圆满完成全年各项工作任务。</w:t>
      </w:r>
    </w:p>
    <w:p w14:paraId="4E3856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sz w:val="32"/>
          <w:szCs w:val="32"/>
          <w:shd w:val="clear" w:color="auto" w:fill="auto"/>
        </w:rPr>
      </w:pPr>
      <w:r>
        <w:rPr>
          <w:rFonts w:hint="eastAsia" w:ascii="Times New Roman" w:hAnsi="Times New Roman" w:eastAsia="仿宋_GB2312"/>
          <w:sz w:val="32"/>
          <w:szCs w:val="32"/>
          <w:shd w:val="clear" w:color="auto" w:fill="auto"/>
          <w:lang w:eastAsia="zh-CN"/>
        </w:rPr>
        <w:t>全市归集住房公积金</w:t>
      </w:r>
      <w:r>
        <w:rPr>
          <w:rFonts w:hint="eastAsia" w:ascii="Times New Roman" w:hAnsi="Times New Roman" w:eastAsia="仿宋_GB2312"/>
          <w:sz w:val="32"/>
          <w:szCs w:val="32"/>
          <w:shd w:val="clear" w:color="auto" w:fill="auto"/>
          <w:lang w:val="en-US" w:eastAsia="zh-CN"/>
        </w:rPr>
        <w:t>162.18</w:t>
      </w:r>
      <w:r>
        <w:rPr>
          <w:rFonts w:hint="eastAsia" w:ascii="Times New Roman" w:hAnsi="Times New Roman" w:eastAsia="仿宋_GB2312"/>
          <w:sz w:val="32"/>
          <w:szCs w:val="32"/>
          <w:shd w:val="clear" w:color="auto" w:fill="auto"/>
          <w:lang w:eastAsia="zh-CN"/>
        </w:rPr>
        <w:t>亿元，提取</w:t>
      </w:r>
      <w:r>
        <w:rPr>
          <w:rFonts w:hint="eastAsia" w:ascii="Times New Roman" w:hAnsi="Times New Roman" w:eastAsia="仿宋_GB2312"/>
          <w:sz w:val="32"/>
          <w:szCs w:val="32"/>
          <w:shd w:val="clear" w:color="auto" w:fill="auto"/>
          <w:lang w:val="en-US" w:eastAsia="zh-CN"/>
        </w:rPr>
        <w:t>120.08</w:t>
      </w:r>
      <w:r>
        <w:rPr>
          <w:rFonts w:hint="eastAsia" w:ascii="Times New Roman" w:hAnsi="Times New Roman" w:eastAsia="仿宋_GB2312"/>
          <w:sz w:val="32"/>
          <w:szCs w:val="32"/>
          <w:shd w:val="clear" w:color="auto" w:fill="auto"/>
          <w:lang w:eastAsia="zh-CN"/>
        </w:rPr>
        <w:t>亿元，发放公积金贷款63.33亿元，实现增值收益</w:t>
      </w:r>
      <w:r>
        <w:rPr>
          <w:rFonts w:hint="eastAsia" w:ascii="Times New Roman" w:hAnsi="Times New Roman" w:eastAsia="仿宋_GB2312"/>
          <w:sz w:val="32"/>
          <w:szCs w:val="32"/>
          <w:shd w:val="clear" w:color="auto" w:fill="auto"/>
          <w:lang w:val="en-US" w:eastAsia="zh-CN"/>
        </w:rPr>
        <w:t>7.72</w:t>
      </w:r>
      <w:r>
        <w:rPr>
          <w:rFonts w:hint="eastAsia" w:ascii="Times New Roman" w:hAnsi="Times New Roman" w:eastAsia="仿宋_GB2312"/>
          <w:sz w:val="32"/>
          <w:szCs w:val="32"/>
          <w:shd w:val="clear" w:color="auto" w:fill="auto"/>
          <w:lang w:eastAsia="zh-CN"/>
        </w:rPr>
        <w:t>亿元，资金安全高效运行，主要业务指标继续保持全省首位，为加快建设现代化、国际化美丽省会城市作出了住房公积金贡献。</w:t>
      </w:r>
    </w:p>
    <w:p w14:paraId="3F096C59">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楷体"/>
          <w:bCs/>
          <w:sz w:val="32"/>
          <w:szCs w:val="32"/>
          <w:shd w:val="clear" w:color="auto" w:fill="auto"/>
        </w:rPr>
      </w:pPr>
      <w:r>
        <w:rPr>
          <w:rFonts w:hint="eastAsia" w:ascii="Times New Roman" w:hAnsi="Times New Roman" w:eastAsia="楷体" w:cs="楷体_GB2312"/>
          <w:bCs/>
          <w:sz w:val="32"/>
          <w:szCs w:val="32"/>
          <w:shd w:val="clear" w:color="auto" w:fill="auto"/>
        </w:rPr>
        <w:t>（二）分项绩效目标实现情况及指标分析</w:t>
      </w:r>
    </w:p>
    <w:p w14:paraId="299D03D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1.</w:t>
      </w:r>
      <w:r>
        <w:rPr>
          <w:rFonts w:hint="default" w:ascii="Times New Roman" w:hAnsi="Times New Roman" w:eastAsia="仿宋"/>
          <w:color w:val="auto"/>
          <w:sz w:val="32"/>
          <w:szCs w:val="32"/>
          <w:shd w:val="clear" w:color="auto" w:fill="auto"/>
          <w:lang w:val="en-US" w:eastAsia="zh-CN"/>
        </w:rPr>
        <w:t>大力拓展公积金归集业务</w:t>
      </w:r>
      <w:r>
        <w:rPr>
          <w:rFonts w:hint="eastAsia" w:ascii="Times New Roman" w:hAnsi="Times New Roman"/>
          <w:color w:val="auto"/>
          <w:sz w:val="32"/>
          <w:szCs w:val="32"/>
          <w:shd w:val="clear" w:color="auto" w:fill="auto"/>
          <w:lang w:val="en-US" w:eastAsia="zh-CN"/>
        </w:rPr>
        <w:t>（16分）</w:t>
      </w:r>
    </w:p>
    <w:p w14:paraId="7D8BA72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我单位2023年继续积极</w:t>
      </w:r>
      <w:r>
        <w:rPr>
          <w:rFonts w:hint="default" w:ascii="Times New Roman" w:hAnsi="Times New Roman" w:eastAsia="仿宋"/>
          <w:color w:val="auto"/>
          <w:sz w:val="32"/>
          <w:szCs w:val="32"/>
          <w:shd w:val="clear" w:color="auto" w:fill="auto"/>
          <w:lang w:val="en-US" w:eastAsia="zh-CN"/>
        </w:rPr>
        <w:t>拓宽归集渠道</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实现</w:t>
      </w:r>
      <w:r>
        <w:rPr>
          <w:rFonts w:hint="eastAsia" w:ascii="Times New Roman" w:hAnsi="Times New Roman" w:eastAsia="仿宋"/>
          <w:color w:val="auto"/>
          <w:sz w:val="32"/>
          <w:szCs w:val="32"/>
          <w:shd w:val="clear" w:color="auto" w:fill="auto"/>
          <w:lang w:val="en-US" w:eastAsia="zh-CN"/>
        </w:rPr>
        <w:t>了</w:t>
      </w:r>
      <w:r>
        <w:rPr>
          <w:rFonts w:hint="default" w:ascii="Times New Roman" w:hAnsi="Times New Roman" w:eastAsia="仿宋"/>
          <w:color w:val="auto"/>
          <w:sz w:val="32"/>
          <w:szCs w:val="32"/>
          <w:shd w:val="clear" w:color="auto" w:fill="auto"/>
          <w:lang w:val="en-US" w:eastAsia="zh-CN"/>
        </w:rPr>
        <w:t>住房公积金业务</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一键办</w:t>
      </w:r>
      <w:r>
        <w:rPr>
          <w:rFonts w:hint="eastAsia" w:ascii="Times New Roman" w:hAnsi="Times New Roman" w:eastAsia="仿宋"/>
          <w:color w:val="auto"/>
          <w:sz w:val="32"/>
          <w:szCs w:val="32"/>
          <w:shd w:val="clear" w:color="auto" w:fill="auto"/>
          <w:lang w:val="en-US" w:eastAsia="zh-CN"/>
        </w:rPr>
        <w:t>”，大大</w:t>
      </w:r>
      <w:r>
        <w:rPr>
          <w:rFonts w:hint="default" w:ascii="Times New Roman" w:hAnsi="Times New Roman" w:eastAsia="仿宋"/>
          <w:color w:val="auto"/>
          <w:sz w:val="32"/>
          <w:szCs w:val="32"/>
          <w:shd w:val="clear" w:color="auto" w:fill="auto"/>
          <w:lang w:val="en-US" w:eastAsia="zh-CN"/>
        </w:rPr>
        <w:t>提升业务办理效率和质量</w:t>
      </w:r>
      <w:r>
        <w:rPr>
          <w:rFonts w:hint="eastAsia" w:ascii="Times New Roman" w:hAnsi="Times New Roman" w:eastAsia="仿宋"/>
          <w:color w:val="auto"/>
          <w:sz w:val="32"/>
          <w:szCs w:val="32"/>
          <w:shd w:val="clear" w:color="auto" w:fill="auto"/>
          <w:lang w:val="en-US" w:eastAsia="zh-CN"/>
        </w:rPr>
        <w:t>。另外积极宣传</w:t>
      </w:r>
      <w:r>
        <w:rPr>
          <w:rFonts w:hint="default" w:ascii="Times New Roman" w:hAnsi="Times New Roman" w:eastAsia="仿宋"/>
          <w:color w:val="auto"/>
          <w:sz w:val="32"/>
          <w:szCs w:val="32"/>
          <w:shd w:val="clear" w:color="auto" w:fill="auto"/>
          <w:lang w:val="en-US" w:eastAsia="zh-CN"/>
        </w:rPr>
        <w:t>住房公积金政策，拓展网上提取业务范围，并做到提取资金实时到账，为职工提供</w:t>
      </w:r>
      <w:r>
        <w:rPr>
          <w:rFonts w:hint="eastAsia" w:ascii="Times New Roman" w:hAnsi="Times New Roman" w:eastAsia="仿宋"/>
          <w:color w:val="auto"/>
          <w:sz w:val="32"/>
          <w:szCs w:val="32"/>
          <w:shd w:val="clear" w:color="auto" w:fill="auto"/>
          <w:lang w:val="en-US" w:eastAsia="zh-CN"/>
        </w:rPr>
        <w:t>了</w:t>
      </w:r>
      <w:r>
        <w:rPr>
          <w:rFonts w:hint="default" w:ascii="Times New Roman" w:hAnsi="Times New Roman" w:eastAsia="仿宋"/>
          <w:color w:val="auto"/>
          <w:sz w:val="32"/>
          <w:szCs w:val="32"/>
          <w:shd w:val="clear" w:color="auto" w:fill="auto"/>
          <w:lang w:val="en-US" w:eastAsia="zh-CN"/>
        </w:rPr>
        <w:t>高效、便捷的服务，提高</w:t>
      </w:r>
      <w:r>
        <w:rPr>
          <w:rFonts w:hint="eastAsia" w:ascii="Times New Roman" w:hAnsi="Times New Roman" w:eastAsia="仿宋"/>
          <w:color w:val="auto"/>
          <w:sz w:val="32"/>
          <w:szCs w:val="32"/>
          <w:shd w:val="clear" w:color="auto" w:fill="auto"/>
          <w:lang w:val="en-US" w:eastAsia="zh-CN"/>
        </w:rPr>
        <w:t>了</w:t>
      </w:r>
      <w:r>
        <w:rPr>
          <w:rFonts w:hint="default" w:ascii="Times New Roman" w:hAnsi="Times New Roman" w:eastAsia="仿宋"/>
          <w:color w:val="auto"/>
          <w:sz w:val="32"/>
          <w:szCs w:val="32"/>
          <w:shd w:val="clear" w:color="auto" w:fill="auto"/>
          <w:lang w:val="en-US" w:eastAsia="zh-CN"/>
        </w:rPr>
        <w:t>单位和职工满意度。</w:t>
      </w:r>
    </w:p>
    <w:p w14:paraId="55CD98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sz w:val="32"/>
          <w:szCs w:val="32"/>
          <w:shd w:val="clear" w:color="auto" w:fill="auto"/>
          <w:lang w:val="en-US" w:eastAsia="zh-CN"/>
        </w:rPr>
      </w:pPr>
      <w:r>
        <w:rPr>
          <w:rFonts w:hint="eastAsia" w:ascii="Times New Roman" w:hAnsi="Times New Roman" w:eastAsia="仿宋_GB2312"/>
          <w:sz w:val="32"/>
          <w:szCs w:val="32"/>
          <w:shd w:val="clear" w:color="auto" w:fill="auto"/>
          <w:lang w:val="en-US" w:eastAsia="zh-CN"/>
        </w:rPr>
        <w:t>年初计划归集住房公积金137亿元，实际归集住房公积金162.18亿元，超出目标值25.18亿元；年度归集额增长率目标为5%，实际归集增长率18.38%。我中心对接融合全国监管服务平台，运用数字技术提升信息协查、业务联办效能。持续拓展跨省通办服务范围，提前实现住建部规定的“跨省通办”事项，满足了企业和群众异地办事需求。主动对接相关部门，将住房公积金的缴存、提取等业务与企业开办、员工录用等相关事项集成办理，实现了4类事项“一件事一次办”。</w:t>
      </w:r>
    </w:p>
    <w:p w14:paraId="047FBBC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sz w:val="32"/>
          <w:szCs w:val="32"/>
          <w:shd w:val="clear" w:color="auto" w:fill="auto"/>
          <w:lang w:val="en-US" w:eastAsia="zh-CN"/>
        </w:rPr>
      </w:pPr>
      <w:r>
        <w:rPr>
          <w:rFonts w:hint="eastAsia" w:ascii="Times New Roman" w:hAnsi="Times New Roman" w:eastAsia="仿宋_GB2312"/>
          <w:sz w:val="32"/>
          <w:szCs w:val="32"/>
          <w:shd w:val="clear" w:color="auto" w:fill="auto"/>
          <w:lang w:val="en-US" w:eastAsia="zh-CN"/>
        </w:rPr>
        <w:t>数量、质量、时效、成本和效益指标均达到预期值，该分项评价得分16分。</w:t>
      </w:r>
    </w:p>
    <w:p w14:paraId="141589C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2.</w:t>
      </w:r>
      <w:r>
        <w:rPr>
          <w:rFonts w:hint="default" w:ascii="Times New Roman" w:hAnsi="Times New Roman" w:eastAsia="仿宋"/>
          <w:color w:val="auto"/>
          <w:sz w:val="32"/>
          <w:szCs w:val="32"/>
          <w:shd w:val="clear" w:color="auto" w:fill="auto"/>
          <w:lang w:val="en-US" w:eastAsia="zh-CN"/>
        </w:rPr>
        <w:t>不断加强贷款业务管理</w:t>
      </w:r>
      <w:r>
        <w:rPr>
          <w:rFonts w:hint="eastAsia" w:ascii="Times New Roman" w:hAnsi="Times New Roman"/>
          <w:color w:val="auto"/>
          <w:sz w:val="32"/>
          <w:szCs w:val="32"/>
          <w:shd w:val="clear" w:color="auto" w:fill="auto"/>
          <w:lang w:val="en-US" w:eastAsia="zh-CN"/>
        </w:rPr>
        <w:t>（16分）</w:t>
      </w:r>
    </w:p>
    <w:p w14:paraId="7533445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我中心积极宣传住房公积金贷款政策，并</w:t>
      </w:r>
      <w:r>
        <w:rPr>
          <w:rFonts w:hint="default" w:ascii="Times New Roman" w:hAnsi="Times New Roman" w:eastAsia="仿宋"/>
          <w:color w:val="auto"/>
          <w:sz w:val="32"/>
          <w:szCs w:val="32"/>
          <w:shd w:val="clear" w:color="auto" w:fill="auto"/>
          <w:lang w:val="en-US" w:eastAsia="zh-CN"/>
        </w:rPr>
        <w:t>加大对房地产开发企业拒贷限贷的打击力度，</w:t>
      </w:r>
      <w:r>
        <w:rPr>
          <w:rFonts w:hint="eastAsia" w:ascii="Times New Roman" w:hAnsi="Times New Roman" w:eastAsia="仿宋"/>
          <w:color w:val="auto"/>
          <w:sz w:val="32"/>
          <w:szCs w:val="32"/>
          <w:shd w:val="clear" w:color="auto" w:fill="auto"/>
          <w:lang w:val="en-US" w:eastAsia="zh-CN"/>
        </w:rPr>
        <w:t>最大程度满足职工贷款需求。</w:t>
      </w:r>
      <w:r>
        <w:rPr>
          <w:rFonts w:hint="default" w:ascii="Times New Roman" w:hAnsi="Times New Roman" w:eastAsia="仿宋"/>
          <w:color w:val="auto"/>
          <w:sz w:val="32"/>
          <w:szCs w:val="32"/>
          <w:shd w:val="clear" w:color="auto" w:fill="auto"/>
          <w:lang w:val="en-US" w:eastAsia="zh-CN"/>
        </w:rPr>
        <w:t>建立完善贷款风险准备金制度，做好贷前贷后管理，确保贷款管理规范。</w:t>
      </w:r>
    </w:p>
    <w:p w14:paraId="4551C2D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olor w:val="auto"/>
          <w:sz w:val="32"/>
          <w:szCs w:val="32"/>
          <w:shd w:val="clear" w:color="auto" w:fill="auto"/>
          <w:lang w:val="en-US" w:eastAsia="zh-CN"/>
        </w:rPr>
      </w:pPr>
      <w:r>
        <w:rPr>
          <w:rFonts w:hint="default" w:ascii="Times New Roman" w:hAnsi="Times New Roman" w:eastAsia="仿宋"/>
          <w:color w:val="auto"/>
          <w:sz w:val="32"/>
          <w:szCs w:val="32"/>
          <w:shd w:val="clear" w:color="auto" w:fill="auto"/>
          <w:lang w:val="en-US" w:eastAsia="zh-CN"/>
        </w:rPr>
        <w:t>2023年力争发放住房公积金个人贷款50亿元，</w:t>
      </w:r>
      <w:r>
        <w:rPr>
          <w:rFonts w:hint="eastAsia" w:ascii="Times New Roman" w:hAnsi="Times New Roman" w:eastAsia="仿宋"/>
          <w:color w:val="auto"/>
          <w:sz w:val="32"/>
          <w:szCs w:val="32"/>
          <w:highlight w:val="none"/>
          <w:shd w:val="clear" w:color="auto" w:fill="auto"/>
          <w:lang w:val="en-US" w:eastAsia="zh-CN"/>
        </w:rPr>
        <w:t>实际发放</w:t>
      </w:r>
      <w:r>
        <w:rPr>
          <w:rFonts w:hint="eastAsia" w:ascii="Times New Roman" w:hAnsi="Times New Roman" w:eastAsia="仿宋_GB2312"/>
          <w:color w:val="auto"/>
          <w:sz w:val="32"/>
          <w:szCs w:val="32"/>
          <w:highlight w:val="none"/>
          <w:shd w:val="clear" w:color="auto" w:fill="auto"/>
          <w:lang w:eastAsia="zh-CN"/>
        </w:rPr>
        <w:t>63.33亿元，</w:t>
      </w:r>
      <w:r>
        <w:rPr>
          <w:rFonts w:hint="eastAsia" w:ascii="Times New Roman" w:hAnsi="Times New Roman" w:eastAsia="仿宋_GB2312"/>
          <w:color w:val="auto"/>
          <w:sz w:val="32"/>
          <w:szCs w:val="32"/>
          <w:highlight w:val="none"/>
          <w:shd w:val="clear" w:color="auto" w:fill="auto"/>
          <w:lang w:val="en-US" w:eastAsia="zh-CN"/>
        </w:rPr>
        <w:t>超额完成目标</w:t>
      </w:r>
      <w:r>
        <w:rPr>
          <w:rFonts w:hint="eastAsia" w:ascii="Times New Roman" w:hAnsi="Times New Roman" w:eastAsia="仿宋"/>
          <w:color w:val="auto"/>
          <w:sz w:val="32"/>
          <w:szCs w:val="32"/>
          <w:highlight w:val="none"/>
          <w:shd w:val="clear" w:color="auto" w:fill="auto"/>
          <w:lang w:val="en-US" w:eastAsia="zh-CN"/>
        </w:rPr>
        <w:t>。</w:t>
      </w:r>
      <w:r>
        <w:rPr>
          <w:rFonts w:hint="eastAsia" w:ascii="Times New Roman" w:hAnsi="Times New Roman" w:eastAsia="仿宋_GB2312" w:cs="仿宋_GB2312"/>
          <w:bCs/>
          <w:sz w:val="32"/>
          <w:szCs w:val="32"/>
          <w:shd w:val="clear" w:color="auto" w:fill="auto"/>
        </w:rPr>
        <w:t>20</w:t>
      </w:r>
      <w:r>
        <w:rPr>
          <w:rFonts w:hint="eastAsia" w:ascii="Times New Roman" w:hAnsi="Times New Roman" w:eastAsia="仿宋_GB2312" w:cs="仿宋_GB2312"/>
          <w:bCs/>
          <w:sz w:val="32"/>
          <w:szCs w:val="32"/>
          <w:shd w:val="clear" w:color="auto" w:fill="auto"/>
          <w:lang w:val="en-US" w:eastAsia="zh-CN"/>
        </w:rPr>
        <w:t>23</w:t>
      </w:r>
      <w:r>
        <w:rPr>
          <w:rFonts w:hint="eastAsia" w:ascii="Times New Roman" w:hAnsi="Times New Roman" w:eastAsia="仿宋_GB2312" w:cs="仿宋_GB2312"/>
          <w:bCs/>
          <w:sz w:val="32"/>
          <w:szCs w:val="32"/>
          <w:shd w:val="clear" w:color="auto" w:fill="auto"/>
        </w:rPr>
        <w:t>年，中心个贷逾期率</w:t>
      </w:r>
      <w:r>
        <w:rPr>
          <w:rFonts w:hint="eastAsia" w:ascii="Times New Roman" w:hAnsi="Times New Roman" w:eastAsia="仿宋_GB2312" w:cs="仿宋_GB2312"/>
          <w:bCs/>
          <w:sz w:val="32"/>
          <w:szCs w:val="32"/>
          <w:shd w:val="clear" w:color="auto" w:fill="auto"/>
          <w:lang w:val="en-US" w:eastAsia="zh-CN"/>
        </w:rPr>
        <w:t>仅为</w:t>
      </w:r>
      <w:r>
        <w:rPr>
          <w:rFonts w:hint="eastAsia" w:ascii="Times New Roman" w:hAnsi="Times New Roman" w:eastAsia="仿宋_GB2312" w:cs="仿宋_GB2312"/>
          <w:bCs/>
          <w:sz w:val="32"/>
          <w:szCs w:val="32"/>
          <w:shd w:val="clear" w:color="auto" w:fill="auto"/>
        </w:rPr>
        <w:t>0.01</w:t>
      </w:r>
      <w:r>
        <w:rPr>
          <w:rFonts w:hint="eastAsia" w:ascii="Times New Roman" w:hAnsi="Times New Roman" w:eastAsia="仿宋_GB2312" w:cs="仿宋_GB2312"/>
          <w:bCs/>
          <w:sz w:val="32"/>
          <w:szCs w:val="32"/>
          <w:shd w:val="clear" w:color="auto" w:fill="auto"/>
          <w:lang w:val="en-US" w:eastAsia="zh-CN"/>
        </w:rPr>
        <w:t>37</w:t>
      </w:r>
      <w:r>
        <w:rPr>
          <w:rFonts w:hint="eastAsia" w:ascii="Times New Roman" w:hAnsi="Times New Roman" w:eastAsia="仿宋_GB2312" w:cs="仿宋_GB2312"/>
          <w:bCs/>
          <w:sz w:val="32"/>
          <w:szCs w:val="32"/>
          <w:shd w:val="clear" w:color="auto" w:fill="auto"/>
        </w:rPr>
        <w:t>%，</w:t>
      </w:r>
      <w:r>
        <w:rPr>
          <w:rFonts w:hint="eastAsia" w:ascii="Times New Roman" w:hAnsi="Times New Roman" w:eastAsia="仿宋_GB2312" w:cs="仿宋_GB2312"/>
          <w:bCs/>
          <w:sz w:val="32"/>
          <w:szCs w:val="32"/>
          <w:shd w:val="clear" w:color="auto" w:fill="auto"/>
          <w:lang w:eastAsia="zh-CN"/>
        </w:rPr>
        <w:t>创历史最好水平</w:t>
      </w:r>
      <w:r>
        <w:rPr>
          <w:rFonts w:hint="eastAsia" w:ascii="Times New Roman" w:hAnsi="Times New Roman" w:eastAsia="仿宋_GB2312" w:cs="仿宋_GB2312"/>
          <w:bCs/>
          <w:sz w:val="32"/>
          <w:szCs w:val="32"/>
          <w:shd w:val="clear" w:color="auto" w:fill="auto"/>
        </w:rPr>
        <w:t>。</w:t>
      </w:r>
      <w:r>
        <w:rPr>
          <w:rFonts w:hint="eastAsia" w:ascii="Times New Roman" w:hAnsi="Times New Roman" w:eastAsia="仿宋"/>
          <w:color w:val="auto"/>
          <w:sz w:val="32"/>
          <w:szCs w:val="32"/>
          <w:shd w:val="clear" w:color="auto" w:fill="auto"/>
          <w:lang w:val="en-US" w:eastAsia="zh-CN"/>
        </w:rPr>
        <w:t>高度关注贷后逾期，加强对重点人员、重点项目的动态监控和分析研判，通过电话、短信、实地上门、发放律师函、司法诉讼等多种方式，持续加大催收力度，确保贷款资金安全完整。</w:t>
      </w:r>
    </w:p>
    <w:p w14:paraId="0E72512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_GB2312"/>
          <w:sz w:val="32"/>
          <w:szCs w:val="32"/>
          <w:shd w:val="clear" w:color="auto" w:fill="auto"/>
          <w:lang w:val="en-US" w:eastAsia="zh-CN"/>
        </w:rPr>
        <w:t>数量、质量、时效、成本和效益指标均达到预期值，该分项评价得分16分。</w:t>
      </w:r>
    </w:p>
    <w:p w14:paraId="40BF272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3.</w:t>
      </w:r>
      <w:r>
        <w:rPr>
          <w:rFonts w:hint="default" w:ascii="Times New Roman" w:hAnsi="Times New Roman" w:eastAsia="仿宋"/>
          <w:color w:val="auto"/>
          <w:sz w:val="32"/>
          <w:szCs w:val="32"/>
          <w:shd w:val="clear" w:color="auto" w:fill="auto"/>
          <w:lang w:val="en-US" w:eastAsia="zh-CN"/>
        </w:rPr>
        <w:t>努力实现增值收益稳步增长</w:t>
      </w:r>
      <w:r>
        <w:rPr>
          <w:rFonts w:hint="eastAsia" w:ascii="Times New Roman" w:hAnsi="Times New Roman"/>
          <w:color w:val="auto"/>
          <w:sz w:val="32"/>
          <w:szCs w:val="32"/>
          <w:shd w:val="clear" w:color="auto" w:fill="auto"/>
          <w:lang w:val="en-US" w:eastAsia="zh-CN"/>
        </w:rPr>
        <w:t>（17分）</w:t>
      </w:r>
    </w:p>
    <w:p w14:paraId="3F809F1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我中心合理运作资金，努力</w:t>
      </w:r>
      <w:r>
        <w:rPr>
          <w:rFonts w:hint="default" w:ascii="Times New Roman" w:hAnsi="Times New Roman" w:eastAsia="仿宋"/>
          <w:color w:val="auto"/>
          <w:sz w:val="32"/>
          <w:szCs w:val="32"/>
          <w:shd w:val="clear" w:color="auto" w:fill="auto"/>
          <w:lang w:val="en-US" w:eastAsia="zh-CN"/>
        </w:rPr>
        <w:t>提高住房公积金资金使用效率，实现收益最大化，按时足额向国库上缴增值收益</w:t>
      </w:r>
      <w:r>
        <w:rPr>
          <w:rFonts w:hint="eastAsia" w:ascii="Times New Roman" w:hAnsi="Times New Roman" w:eastAsia="仿宋"/>
          <w:color w:val="auto"/>
          <w:sz w:val="32"/>
          <w:szCs w:val="32"/>
          <w:shd w:val="clear" w:color="auto" w:fill="auto"/>
          <w:lang w:val="en-US" w:eastAsia="zh-CN"/>
        </w:rPr>
        <w:t>，超额实现预期目标</w:t>
      </w:r>
      <w:r>
        <w:rPr>
          <w:rFonts w:hint="default" w:ascii="Times New Roman" w:hAnsi="Times New Roman" w:eastAsia="仿宋"/>
          <w:color w:val="auto"/>
          <w:sz w:val="32"/>
          <w:szCs w:val="32"/>
          <w:shd w:val="clear" w:color="auto" w:fill="auto"/>
          <w:lang w:val="en-US" w:eastAsia="zh-CN"/>
        </w:rPr>
        <w:t>。2023年</w:t>
      </w:r>
      <w:r>
        <w:rPr>
          <w:rFonts w:hint="eastAsia" w:ascii="Times New Roman" w:hAnsi="Times New Roman" w:eastAsia="仿宋"/>
          <w:color w:val="auto"/>
          <w:sz w:val="32"/>
          <w:szCs w:val="32"/>
          <w:shd w:val="clear" w:color="auto" w:fill="auto"/>
          <w:lang w:val="en-US" w:eastAsia="zh-CN"/>
        </w:rPr>
        <w:t>预期</w:t>
      </w:r>
      <w:r>
        <w:rPr>
          <w:rFonts w:hint="default" w:ascii="Times New Roman" w:hAnsi="Times New Roman" w:eastAsia="仿宋"/>
          <w:color w:val="auto"/>
          <w:sz w:val="32"/>
          <w:szCs w:val="32"/>
          <w:shd w:val="clear" w:color="auto" w:fill="auto"/>
          <w:lang w:val="en-US" w:eastAsia="zh-CN"/>
        </w:rPr>
        <w:t>实现增值收益7.2亿元，增值收益率大于1.5%</w:t>
      </w:r>
      <w:r>
        <w:rPr>
          <w:rFonts w:hint="eastAsia" w:ascii="Times New Roman" w:hAnsi="Times New Roman" w:eastAsia="仿宋"/>
          <w:color w:val="auto"/>
          <w:sz w:val="32"/>
          <w:szCs w:val="32"/>
          <w:shd w:val="clear" w:color="auto" w:fill="auto"/>
          <w:lang w:val="en-US" w:eastAsia="zh-CN"/>
        </w:rPr>
        <w:t>。实际实现增值收益</w:t>
      </w:r>
      <w:r>
        <w:rPr>
          <w:rFonts w:hint="eastAsia" w:ascii="Times New Roman" w:hAnsi="Times New Roman" w:eastAsia="仿宋_GB2312"/>
          <w:sz w:val="32"/>
          <w:szCs w:val="32"/>
          <w:shd w:val="clear" w:color="auto" w:fill="auto"/>
          <w:lang w:val="en-US" w:eastAsia="zh-CN"/>
        </w:rPr>
        <w:t>7.72</w:t>
      </w:r>
      <w:r>
        <w:rPr>
          <w:rFonts w:hint="eastAsia" w:ascii="Times New Roman" w:hAnsi="Times New Roman" w:eastAsia="仿宋_GB2312"/>
          <w:sz w:val="32"/>
          <w:szCs w:val="32"/>
          <w:shd w:val="clear" w:color="auto" w:fill="auto"/>
          <w:lang w:eastAsia="zh-CN"/>
        </w:rPr>
        <w:t>亿元，资金安全高效运行，主要业务指标继续保持全省首位。</w:t>
      </w:r>
      <w:r>
        <w:rPr>
          <w:rFonts w:hint="eastAsia" w:ascii="Times New Roman" w:hAnsi="Times New Roman" w:eastAsia="仿宋_GB2312"/>
          <w:sz w:val="32"/>
          <w:szCs w:val="32"/>
          <w:shd w:val="clear" w:color="auto" w:fill="auto"/>
          <w:lang w:val="en-US" w:eastAsia="zh-CN"/>
        </w:rPr>
        <w:t>预期实现住房公积金增值收益增长率5%，实际增值收益增长率为7.22%。</w:t>
      </w:r>
      <w:r>
        <w:rPr>
          <w:rFonts w:hint="eastAsia" w:ascii="Times New Roman" w:hAnsi="Times New Roman" w:eastAsia="仿宋"/>
          <w:color w:val="auto"/>
          <w:sz w:val="32"/>
          <w:szCs w:val="32"/>
          <w:shd w:val="clear" w:color="auto" w:fill="auto"/>
          <w:lang w:val="en-US" w:eastAsia="zh-CN"/>
        </w:rPr>
        <w:t>我中心将实现的增值收益全部足额向国库上缴，为政府带来经济效益。</w:t>
      </w:r>
    </w:p>
    <w:p w14:paraId="602C921C">
      <w:pPr>
        <w:pStyle w:val="2"/>
        <w:rPr>
          <w:rFonts w:hint="default"/>
          <w:lang w:val="en-US" w:eastAsia="zh-CN"/>
        </w:rPr>
      </w:pPr>
      <w:r>
        <w:rPr>
          <w:rFonts w:hint="eastAsia" w:ascii="Times New Roman" w:hAnsi="Times New Roman" w:eastAsia="仿宋_GB2312"/>
          <w:sz w:val="32"/>
          <w:szCs w:val="32"/>
          <w:shd w:val="clear" w:color="auto" w:fill="auto"/>
          <w:lang w:val="en-US" w:eastAsia="zh-CN"/>
        </w:rPr>
        <w:t>数量、质量、时效、成本和效益指标均达到预期值，该分项评价得分17分。</w:t>
      </w:r>
    </w:p>
    <w:p w14:paraId="13D5B95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4.</w:t>
      </w:r>
      <w:r>
        <w:rPr>
          <w:rFonts w:hint="default" w:ascii="Times New Roman" w:hAnsi="Times New Roman" w:eastAsia="仿宋"/>
          <w:color w:val="auto"/>
          <w:sz w:val="32"/>
          <w:szCs w:val="32"/>
          <w:shd w:val="clear" w:color="auto" w:fill="auto"/>
          <w:lang w:val="en-US" w:eastAsia="zh-CN"/>
        </w:rPr>
        <w:t>防范化解各项风险隐患</w:t>
      </w:r>
      <w:r>
        <w:rPr>
          <w:rFonts w:hint="eastAsia" w:ascii="Times New Roman" w:hAnsi="Times New Roman"/>
          <w:color w:val="auto"/>
          <w:sz w:val="32"/>
          <w:szCs w:val="32"/>
          <w:shd w:val="clear" w:color="auto" w:fill="auto"/>
          <w:lang w:val="en-US" w:eastAsia="zh-CN"/>
        </w:rPr>
        <w:t>（17分）</w:t>
      </w:r>
    </w:p>
    <w:p w14:paraId="21B0AB8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我中心通过加大内审稽核力度，积极改进稽核方式等举措，为中心更好防风险、优服务提供保障。充分利用住建部电子稽查工具，紧盯主要业务，常态化开展自查和整改工作，全力消减存量疑点，遏制新增疑点，有效提升中心数据质量。另外，严格落实巡察整改要求，对县（市、区）贷款的审批、保证金收缴发放，实行三级审批，切实强化管理监督。高度关注贷后逾期，加强对重点人员、重点项目的动态监控和分析研判，通过电话、短信、实地上门、发放律师函、司法诉讼等多种方式，持续加大催收力度，确保贷款资金安全完整。高效完成年初绩效目标。</w:t>
      </w:r>
    </w:p>
    <w:p w14:paraId="4B0E40B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仿宋_GB2312"/>
          <w:sz w:val="32"/>
          <w:szCs w:val="32"/>
          <w:lang w:eastAsia="zh-CN"/>
        </w:rPr>
      </w:pPr>
      <w:r>
        <w:rPr>
          <w:rFonts w:hint="eastAsia" w:ascii="Times New Roman" w:hAnsi="Times New Roman" w:eastAsia="仿宋"/>
          <w:color w:val="auto"/>
          <w:sz w:val="32"/>
          <w:szCs w:val="32"/>
          <w:highlight w:val="none"/>
          <w:shd w:val="clear" w:color="auto" w:fill="auto"/>
          <w:lang w:val="en-US" w:eastAsia="zh-CN"/>
        </w:rPr>
        <w:t>我中心</w:t>
      </w:r>
      <w:r>
        <w:rPr>
          <w:rFonts w:hint="default" w:ascii="Times New Roman" w:hAnsi="Times New Roman" w:eastAsia="仿宋"/>
          <w:color w:val="auto"/>
          <w:sz w:val="32"/>
          <w:szCs w:val="32"/>
          <w:highlight w:val="none"/>
          <w:shd w:val="clear" w:color="auto" w:fill="auto"/>
          <w:lang w:val="en-US" w:eastAsia="zh-CN"/>
        </w:rPr>
        <w:t>召开4次管委会会议；召开资金管理领导小组会议</w:t>
      </w:r>
      <w:r>
        <w:rPr>
          <w:rFonts w:hint="eastAsia" w:ascii="Times New Roman" w:hAnsi="Times New Roman" w:eastAsia="仿宋"/>
          <w:color w:val="auto"/>
          <w:sz w:val="32"/>
          <w:szCs w:val="32"/>
          <w:highlight w:val="none"/>
          <w:shd w:val="clear" w:color="auto" w:fill="auto"/>
          <w:lang w:val="en-US" w:eastAsia="zh-CN"/>
        </w:rPr>
        <w:t>12次</w:t>
      </w:r>
      <w:r>
        <w:rPr>
          <w:rFonts w:hint="default" w:ascii="Times New Roman" w:hAnsi="Times New Roman" w:eastAsia="仿宋"/>
          <w:color w:val="auto"/>
          <w:sz w:val="32"/>
          <w:szCs w:val="32"/>
          <w:highlight w:val="none"/>
          <w:shd w:val="clear" w:color="auto" w:fill="auto"/>
          <w:lang w:val="en-US" w:eastAsia="zh-CN"/>
        </w:rPr>
        <w:t>，听取资金管理工作报告</w:t>
      </w:r>
      <w:r>
        <w:rPr>
          <w:rFonts w:hint="eastAsia" w:ascii="Times New Roman" w:hAnsi="Times New Roman" w:eastAsia="仿宋"/>
          <w:color w:val="auto"/>
          <w:sz w:val="32"/>
          <w:szCs w:val="32"/>
          <w:highlight w:val="none"/>
          <w:shd w:val="clear" w:color="auto" w:fill="auto"/>
          <w:lang w:val="en-US" w:eastAsia="zh-CN"/>
        </w:rPr>
        <w:t>4次。</w:t>
      </w:r>
      <w:r>
        <w:rPr>
          <w:rFonts w:hint="default" w:ascii="Times New Roman" w:hAnsi="Times New Roman" w:eastAsia="仿宋"/>
          <w:color w:val="auto"/>
          <w:sz w:val="32"/>
          <w:szCs w:val="32"/>
          <w:shd w:val="clear" w:color="auto" w:fill="auto"/>
          <w:lang w:val="en-US" w:eastAsia="zh-CN"/>
        </w:rPr>
        <w:t>个人住房贷款逾期率</w:t>
      </w:r>
      <w:r>
        <w:rPr>
          <w:rFonts w:hint="eastAsia" w:ascii="Times New Roman" w:hAnsi="Times New Roman" w:eastAsia="仿宋"/>
          <w:color w:val="auto"/>
          <w:sz w:val="32"/>
          <w:szCs w:val="32"/>
          <w:shd w:val="clear" w:color="auto" w:fill="auto"/>
          <w:lang w:val="en-US" w:eastAsia="zh-CN"/>
        </w:rPr>
        <w:t>0.0137%，完成预期不超过</w:t>
      </w:r>
      <w:r>
        <w:rPr>
          <w:rFonts w:hint="default" w:ascii="Times New Roman" w:hAnsi="Times New Roman" w:eastAsia="仿宋"/>
          <w:color w:val="auto"/>
          <w:sz w:val="32"/>
          <w:szCs w:val="32"/>
          <w:shd w:val="clear" w:color="auto" w:fill="auto"/>
          <w:lang w:val="en-US" w:eastAsia="zh-CN"/>
        </w:rPr>
        <w:t>0.02%</w:t>
      </w:r>
      <w:r>
        <w:rPr>
          <w:rFonts w:hint="eastAsia" w:ascii="Times New Roman" w:hAnsi="Times New Roman" w:eastAsia="仿宋"/>
          <w:color w:val="auto"/>
          <w:sz w:val="32"/>
          <w:szCs w:val="32"/>
          <w:shd w:val="clear" w:color="auto" w:fill="auto"/>
          <w:lang w:val="en-US" w:eastAsia="zh-CN"/>
        </w:rPr>
        <w:t>的目标。我中心重视强化信息系统建设工作，</w:t>
      </w:r>
      <w:r>
        <w:rPr>
          <w:rFonts w:hint="eastAsia" w:ascii="Times New Roman" w:hAnsi="Times New Roman" w:eastAsia="仿宋_GB2312" w:cs="仿宋_GB2312"/>
          <w:sz w:val="32"/>
          <w:szCs w:val="32"/>
          <w:lang w:val="en-US" w:eastAsia="zh-CN"/>
        </w:rPr>
        <w:t>以“</w:t>
      </w:r>
      <w:r>
        <w:rPr>
          <w:rFonts w:hint="eastAsia" w:ascii="Times New Roman" w:hAnsi="Times New Roman" w:eastAsia="仿宋_GB2312" w:cs="仿宋_GB2312"/>
          <w:sz w:val="32"/>
          <w:szCs w:val="32"/>
          <w:lang w:eastAsia="zh-CN"/>
        </w:rPr>
        <w:t>提升业务系统安全防护能力</w:t>
      </w:r>
      <w:r>
        <w:rPr>
          <w:rFonts w:hint="eastAsia" w:ascii="Times New Roman" w:hAnsi="Times New Roman" w:eastAsia="仿宋_GB2312" w:cs="仿宋_GB2312"/>
          <w:sz w:val="32"/>
          <w:szCs w:val="32"/>
          <w:lang w:val="en-US" w:eastAsia="zh-CN"/>
        </w:rPr>
        <w:t>”为重点</w:t>
      </w:r>
      <w:r>
        <w:rPr>
          <w:rFonts w:hint="eastAsia" w:ascii="Times New Roman" w:hAnsi="Times New Roman" w:eastAsia="仿宋_GB2312" w:cs="仿宋_GB2312"/>
          <w:sz w:val="32"/>
          <w:szCs w:val="32"/>
          <w:lang w:eastAsia="zh-CN"/>
        </w:rPr>
        <w:t>，加强日常巡查、网络安全防范，及时完善应急响应机制，全面排查纠治网络安全和业务系统隐患，提高预警应对能力，</w:t>
      </w:r>
      <w:r>
        <w:rPr>
          <w:rFonts w:hint="eastAsia" w:ascii="Times New Roman" w:hAnsi="Times New Roman" w:eastAsia="仿宋_GB2312" w:cs="仿宋_GB2312"/>
          <w:sz w:val="32"/>
          <w:szCs w:val="32"/>
          <w:lang w:val="en-US" w:eastAsia="zh-CN"/>
        </w:rPr>
        <w:t>实现</w:t>
      </w:r>
      <w:r>
        <w:rPr>
          <w:rFonts w:hint="eastAsia" w:ascii="Times New Roman" w:hAnsi="Times New Roman" w:eastAsia="仿宋_GB2312" w:cs="仿宋_GB2312"/>
          <w:sz w:val="32"/>
          <w:szCs w:val="32"/>
          <w:lang w:eastAsia="zh-CN"/>
        </w:rPr>
        <w:t>住房公积金信息系统安全、稳定、高效运行。</w:t>
      </w:r>
    </w:p>
    <w:p w14:paraId="09FF50D4">
      <w:pPr>
        <w:pStyle w:val="2"/>
        <w:rPr>
          <w:rFonts w:hint="default"/>
          <w:lang w:val="en-US" w:eastAsia="zh-CN"/>
        </w:rPr>
      </w:pPr>
      <w:r>
        <w:rPr>
          <w:rFonts w:hint="eastAsia" w:ascii="Times New Roman" w:hAnsi="Times New Roman" w:eastAsia="仿宋_GB2312"/>
          <w:sz w:val="32"/>
          <w:szCs w:val="32"/>
          <w:shd w:val="clear" w:color="auto" w:fill="auto"/>
          <w:lang w:val="en-US" w:eastAsia="zh-CN"/>
        </w:rPr>
        <w:t>数量、质量、时效、成本和效益指标均达到预期值，该分项评价得分17分</w:t>
      </w:r>
    </w:p>
    <w:p w14:paraId="2385DD1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5.</w:t>
      </w:r>
      <w:r>
        <w:rPr>
          <w:rFonts w:hint="default" w:ascii="Times New Roman" w:hAnsi="Times New Roman" w:eastAsia="仿宋"/>
          <w:color w:val="auto"/>
          <w:sz w:val="32"/>
          <w:szCs w:val="32"/>
          <w:shd w:val="clear" w:color="auto" w:fill="auto"/>
          <w:lang w:val="en-US" w:eastAsia="zh-CN"/>
        </w:rPr>
        <w:t>不断提升规范化管理水平</w:t>
      </w:r>
      <w:r>
        <w:rPr>
          <w:rFonts w:hint="eastAsia" w:ascii="Times New Roman" w:hAnsi="Times New Roman"/>
          <w:color w:val="auto"/>
          <w:sz w:val="32"/>
          <w:szCs w:val="32"/>
          <w:shd w:val="clear" w:color="auto" w:fill="auto"/>
          <w:lang w:val="en-US" w:eastAsia="zh-CN"/>
        </w:rPr>
        <w:t>（17分）</w:t>
      </w:r>
    </w:p>
    <w:p w14:paraId="43C0C37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我中心为提升住房公积金管理水平，</w:t>
      </w:r>
      <w:r>
        <w:rPr>
          <w:rFonts w:hint="default" w:ascii="仿宋_GB2312" w:hAnsi="仿宋" w:eastAsia="仿宋_GB2312" w:cs="仿宋_GB2312"/>
          <w:sz w:val="32"/>
          <w:szCs w:val="32"/>
          <w:lang w:val="en-US" w:eastAsia="zh-CN"/>
        </w:rPr>
        <w:t>按照明确具体、结合实际、管用长效的原则，</w:t>
      </w:r>
      <w:r>
        <w:rPr>
          <w:rFonts w:hint="eastAsia" w:ascii="仿宋_GB2312" w:hAnsi="仿宋" w:eastAsia="仿宋_GB2312" w:cs="仿宋_GB2312"/>
          <w:sz w:val="32"/>
          <w:szCs w:val="32"/>
          <w:lang w:val="en-US" w:eastAsia="zh-CN"/>
        </w:rPr>
        <w:t>抓好制度“废、改、立”，持续完善内部管理体制和运行机制，实现</w:t>
      </w:r>
      <w:r>
        <w:rPr>
          <w:rFonts w:hint="default" w:ascii="Times New Roman" w:hAnsi="Times New Roman" w:eastAsia="仿宋"/>
          <w:color w:val="auto"/>
          <w:sz w:val="32"/>
          <w:szCs w:val="32"/>
          <w:shd w:val="clear" w:color="auto" w:fill="auto"/>
          <w:lang w:val="en-US" w:eastAsia="zh-CN"/>
        </w:rPr>
        <w:t>提升住房公积金规范化、精细化管理水平</w:t>
      </w:r>
      <w:r>
        <w:rPr>
          <w:rFonts w:hint="eastAsia" w:ascii="Times New Roman" w:hAnsi="Times New Roman" w:eastAsia="仿宋"/>
          <w:color w:val="auto"/>
          <w:sz w:val="32"/>
          <w:szCs w:val="32"/>
          <w:shd w:val="clear" w:color="auto" w:fill="auto"/>
          <w:lang w:val="en-US" w:eastAsia="zh-CN"/>
        </w:rPr>
        <w:t>的目标；积极开展业务培训等活动，</w:t>
      </w:r>
      <w:r>
        <w:rPr>
          <w:rFonts w:hint="default" w:ascii="Times New Roman" w:hAnsi="Times New Roman" w:eastAsia="仿宋"/>
          <w:color w:val="auto"/>
          <w:sz w:val="32"/>
          <w:szCs w:val="32"/>
          <w:shd w:val="clear" w:color="auto" w:fill="auto"/>
          <w:lang w:val="en-US" w:eastAsia="zh-CN"/>
        </w:rPr>
        <w:t>不断提升业务效能。</w:t>
      </w:r>
    </w:p>
    <w:p w14:paraId="21B713C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新建制度12个，修订制度11个，废止制度5个，超额完成年初设定的建立健全各项规章制度10项以上的指标值。开展住房公积金业务培训期次两期，参会人员151人次。我中心用不断完善的制度建设，进一步强化了自我约束。通过梳理业务流程，减少制度盲区，努力做到每项工作有规可依、每个流程有章可循、每笔业务有据可查，确保各项业务标准不折不扣落实到位。积极开展业务培训，减少业务差错率，进一步提高业务办结效率，不断提升规范化管理水平。</w:t>
      </w:r>
    </w:p>
    <w:p w14:paraId="4F5BF491">
      <w:pPr>
        <w:pStyle w:val="2"/>
        <w:rPr>
          <w:rFonts w:hint="default"/>
          <w:lang w:val="en-US" w:eastAsia="zh-CN"/>
        </w:rPr>
      </w:pPr>
      <w:r>
        <w:rPr>
          <w:rFonts w:hint="eastAsia" w:ascii="Times New Roman" w:hAnsi="Times New Roman" w:eastAsia="仿宋_GB2312"/>
          <w:sz w:val="32"/>
          <w:szCs w:val="32"/>
          <w:shd w:val="clear" w:color="auto" w:fill="auto"/>
          <w:lang w:val="en-US" w:eastAsia="zh-CN"/>
        </w:rPr>
        <w:t>数量、质量、时效、成本和效益指标均达到预期值，该分项评价得分17分</w:t>
      </w:r>
    </w:p>
    <w:p w14:paraId="6DE1D8B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color w:val="auto"/>
          <w:sz w:val="32"/>
          <w:szCs w:val="32"/>
          <w:shd w:val="clear" w:color="auto" w:fill="auto"/>
          <w:lang w:val="en-US" w:eastAsia="zh-CN"/>
        </w:rPr>
        <w:t>6.</w:t>
      </w:r>
      <w:r>
        <w:rPr>
          <w:rFonts w:hint="default" w:ascii="Times New Roman" w:hAnsi="Times New Roman" w:eastAsia="仿宋"/>
          <w:color w:val="auto"/>
          <w:sz w:val="32"/>
          <w:szCs w:val="32"/>
          <w:shd w:val="clear" w:color="auto" w:fill="auto"/>
          <w:lang w:val="en-US" w:eastAsia="zh-CN"/>
        </w:rPr>
        <w:t>全面提升住房公积金服务效能</w:t>
      </w:r>
      <w:r>
        <w:rPr>
          <w:rFonts w:hint="eastAsia" w:ascii="Times New Roman" w:hAnsi="Times New Roman"/>
          <w:color w:val="auto"/>
          <w:sz w:val="32"/>
          <w:szCs w:val="32"/>
          <w:shd w:val="clear" w:color="auto" w:fill="auto"/>
          <w:lang w:val="en-US" w:eastAsia="zh-CN"/>
        </w:rPr>
        <w:t>（17分）</w:t>
      </w:r>
    </w:p>
    <w:p w14:paraId="07E9332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40"/>
          <w:lang w:eastAsia="zh-CN"/>
        </w:rPr>
      </w:pPr>
      <w:r>
        <w:rPr>
          <w:rFonts w:hint="eastAsia" w:ascii="Times New Roman" w:hAnsi="Times New Roman" w:eastAsia="仿宋"/>
          <w:color w:val="auto"/>
          <w:sz w:val="32"/>
          <w:szCs w:val="32"/>
          <w:shd w:val="clear" w:color="auto" w:fill="auto"/>
          <w:lang w:val="en-US" w:eastAsia="zh-CN"/>
        </w:rPr>
        <w:t>我中心积极创新，全力推进信息化综合服务平台建设；</w:t>
      </w:r>
      <w:r>
        <w:rPr>
          <w:rFonts w:hint="eastAsia" w:ascii="仿宋_GB2312" w:hAnsi="仿宋_GB2312" w:eastAsia="仿宋_GB2312" w:cs="仿宋_GB2312"/>
          <w:sz w:val="32"/>
          <w:szCs w:val="32"/>
        </w:rPr>
        <w:t>持续拓展跨省通办服务范围，</w:t>
      </w:r>
      <w:r>
        <w:rPr>
          <w:rFonts w:hint="eastAsia" w:ascii="仿宋_GB2312" w:hAnsi="仿宋_GB2312" w:eastAsia="仿宋_GB2312" w:cs="仿宋_GB2312"/>
          <w:sz w:val="32"/>
          <w:szCs w:val="32"/>
          <w:lang w:eastAsia="zh-CN"/>
        </w:rPr>
        <w:t>提前实现住建部规定的“</w:t>
      </w:r>
      <w:r>
        <w:rPr>
          <w:rFonts w:hint="eastAsia" w:ascii="仿宋_GB2312" w:hAnsi="仿宋_GB2312" w:eastAsia="仿宋_GB2312" w:cs="仿宋_GB2312"/>
          <w:sz w:val="32"/>
          <w:szCs w:val="32"/>
        </w:rPr>
        <w:t>跨省通办</w:t>
      </w:r>
      <w:r>
        <w:rPr>
          <w:rFonts w:hint="eastAsia" w:ascii="仿宋_GB2312" w:hAnsi="仿宋_GB2312" w:eastAsia="仿宋_GB2312" w:cs="仿宋_GB2312"/>
          <w:sz w:val="32"/>
          <w:szCs w:val="32"/>
          <w:lang w:eastAsia="zh-CN"/>
        </w:rPr>
        <w:t>”事项，</w:t>
      </w:r>
      <w:r>
        <w:rPr>
          <w:rFonts w:hint="eastAsia" w:ascii="仿宋_GB2312" w:hAnsi="仿宋_GB2312" w:eastAsia="仿宋_GB2312" w:cs="仿宋_GB2312"/>
          <w:sz w:val="32"/>
          <w:szCs w:val="32"/>
        </w:rPr>
        <w:t>满足</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企业和群众异地办事需求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不断完善</w:t>
      </w:r>
      <w:r>
        <w:rPr>
          <w:rFonts w:hint="eastAsia" w:ascii="仿宋_GB2312" w:hAnsi="仿宋_GB2312" w:eastAsia="仿宋_GB2312" w:cs="仿宋_GB2312"/>
          <w:sz w:val="32"/>
          <w:szCs w:val="32"/>
          <w:lang w:eastAsia="zh-CN"/>
        </w:rPr>
        <w:t>与公</w:t>
      </w:r>
      <w:r>
        <w:rPr>
          <w:rFonts w:hint="eastAsia" w:ascii="仿宋_GB2312" w:hAnsi="仿宋_GB2312" w:eastAsia="仿宋_GB2312" w:cs="仿宋_GB2312"/>
          <w:sz w:val="32"/>
          <w:szCs w:val="40"/>
        </w:rPr>
        <w:t>安、社保、不动产等部门</w:t>
      </w:r>
      <w:r>
        <w:rPr>
          <w:rFonts w:hint="eastAsia" w:ascii="仿宋_GB2312" w:hAnsi="仿宋_GB2312" w:eastAsia="仿宋_GB2312" w:cs="仿宋_GB2312"/>
          <w:sz w:val="32"/>
          <w:szCs w:val="40"/>
          <w:lang w:eastAsia="zh-CN"/>
        </w:rPr>
        <w:t>，</w:t>
      </w:r>
      <w:r>
        <w:rPr>
          <w:rFonts w:hint="eastAsia" w:ascii="仿宋_GB2312" w:hAnsi="仿宋_GB2312" w:eastAsia="仿宋_GB2312" w:cs="仿宋_GB2312"/>
          <w:sz w:val="32"/>
          <w:szCs w:val="40"/>
        </w:rPr>
        <w:t>信息共享、互换和查询机制</w:t>
      </w:r>
      <w:r>
        <w:rPr>
          <w:rFonts w:hint="eastAsia" w:ascii="仿宋_GB2312" w:hAnsi="仿宋_GB2312" w:eastAsia="仿宋_GB2312" w:cs="仿宋_GB2312"/>
          <w:sz w:val="32"/>
          <w:szCs w:val="40"/>
          <w:lang w:eastAsia="zh-CN"/>
        </w:rPr>
        <w:t>。</w:t>
      </w:r>
    </w:p>
    <w:p w14:paraId="2C67046D">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
          <w:color w:val="auto"/>
          <w:sz w:val="32"/>
          <w:szCs w:val="32"/>
          <w:shd w:val="clear" w:color="auto" w:fill="auto"/>
          <w:lang w:val="en-US" w:eastAsia="zh-CN"/>
        </w:rPr>
      </w:pPr>
      <w:r>
        <w:rPr>
          <w:rFonts w:hint="default" w:ascii="Times New Roman" w:hAnsi="Times New Roman" w:eastAsia="仿宋"/>
          <w:color w:val="auto"/>
          <w:sz w:val="32"/>
          <w:szCs w:val="32"/>
          <w:shd w:val="clear" w:color="auto" w:fill="auto"/>
          <w:lang w:val="en-US" w:eastAsia="zh-CN"/>
        </w:rPr>
        <w:t>离退休提取、离职半年提取、公积金还贷提取等业务，办事群众可7*24小时随时随地办理</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离柜率达到70%以上；住房公积金个人贷款审批时限缩减至7个工作日，办理提前还款及贷款结清业务实现缩减至1个工作日。推进与人社、省直等信息互联互通，打造一流服务环境，</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三创四建</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活动取得实效。积极与人行、住建、人社部门沟通协调，打通数据壁垒，以信息共享促进流程优化、要件瘦身，逐步实现住房公积金业务</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零材料</w:t>
      </w:r>
      <w:r>
        <w:rPr>
          <w:rFonts w:hint="eastAsia" w:ascii="Times New Roman" w:hAnsi="Times New Roman" w:eastAsia="仿宋"/>
          <w:color w:val="auto"/>
          <w:sz w:val="32"/>
          <w:szCs w:val="32"/>
          <w:shd w:val="clear" w:color="auto" w:fill="auto"/>
          <w:lang w:val="en-US" w:eastAsia="zh-CN"/>
        </w:rPr>
        <w:t>”</w:t>
      </w:r>
      <w:r>
        <w:rPr>
          <w:rFonts w:hint="default" w:ascii="Times New Roman" w:hAnsi="Times New Roman" w:eastAsia="仿宋"/>
          <w:color w:val="auto"/>
          <w:sz w:val="32"/>
          <w:szCs w:val="32"/>
          <w:shd w:val="clear" w:color="auto" w:fill="auto"/>
          <w:lang w:val="en-US" w:eastAsia="zh-CN"/>
        </w:rPr>
        <w:t>办理</w:t>
      </w:r>
      <w:r>
        <w:rPr>
          <w:rFonts w:hint="eastAsia" w:ascii="Times New Roman" w:hAnsi="Times New Roman" w:eastAsia="仿宋"/>
          <w:color w:val="auto"/>
          <w:sz w:val="32"/>
          <w:szCs w:val="32"/>
          <w:shd w:val="clear" w:color="auto" w:fill="auto"/>
          <w:lang w:val="en-US" w:eastAsia="zh-CN"/>
        </w:rPr>
        <w:t>。</w:t>
      </w:r>
    </w:p>
    <w:p w14:paraId="1ECB3BBC">
      <w:pPr>
        <w:pStyle w:val="2"/>
        <w:rPr>
          <w:rFonts w:hint="default"/>
          <w:lang w:val="en-US" w:eastAsia="zh-CN"/>
        </w:rPr>
      </w:pPr>
      <w:r>
        <w:rPr>
          <w:rFonts w:hint="eastAsia" w:ascii="Times New Roman" w:hAnsi="Times New Roman" w:eastAsia="仿宋_GB2312"/>
          <w:sz w:val="32"/>
          <w:szCs w:val="32"/>
          <w:shd w:val="clear" w:color="auto" w:fill="auto"/>
          <w:lang w:val="en-US" w:eastAsia="zh-CN"/>
        </w:rPr>
        <w:t>数量、质量、时效、成本和效益指标均达到预期值，该分项评价得分17分</w:t>
      </w:r>
    </w:p>
    <w:p w14:paraId="3CE59C2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黑体"/>
          <w:sz w:val="32"/>
          <w:szCs w:val="32"/>
          <w:shd w:val="clear" w:color="auto" w:fill="auto"/>
        </w:rPr>
      </w:pPr>
      <w:r>
        <w:rPr>
          <w:rFonts w:hint="eastAsia" w:ascii="Times New Roman" w:hAnsi="Times New Roman" w:eastAsia="黑体"/>
          <w:sz w:val="32"/>
          <w:szCs w:val="32"/>
          <w:shd w:val="clear" w:color="auto" w:fill="auto"/>
        </w:rPr>
        <w:t>四、评价结论和评价等级</w:t>
      </w:r>
    </w:p>
    <w:p w14:paraId="3E01764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仿宋" w:cs="仿宋"/>
          <w:color w:val="auto"/>
          <w:sz w:val="32"/>
          <w:szCs w:val="32"/>
          <w:shd w:val="clear" w:color="auto" w:fill="auto"/>
        </w:rPr>
      </w:pPr>
      <w:r>
        <w:rPr>
          <w:rFonts w:hint="eastAsia" w:ascii="Times New Roman" w:hAnsi="Times New Roman" w:eastAsia="仿宋" w:cs="仿宋"/>
          <w:color w:val="auto"/>
          <w:sz w:val="32"/>
          <w:szCs w:val="32"/>
          <w:shd w:val="clear" w:color="auto" w:fill="auto"/>
        </w:rPr>
        <w:t>根据部门职责定位和各项工作履职情况进行综合评价，公积金中心此次部门整体支出综合绩效评价为</w:t>
      </w:r>
      <w:r>
        <w:rPr>
          <w:rFonts w:hint="eastAsia" w:ascii="Times New Roman" w:hAnsi="Times New Roman" w:eastAsia="仿宋_GB2312" w:cs="仿宋_GB2312"/>
          <w:color w:val="auto"/>
          <w:sz w:val="32"/>
          <w:szCs w:val="32"/>
          <w:highlight w:val="none"/>
          <w:shd w:val="clear" w:color="auto" w:fill="auto"/>
          <w:lang w:val="en-US" w:eastAsia="zh-CN"/>
        </w:rPr>
        <w:t>100</w:t>
      </w:r>
      <w:r>
        <w:rPr>
          <w:rFonts w:hint="eastAsia" w:ascii="Times New Roman" w:hAnsi="Times New Roman" w:eastAsia="仿宋" w:cs="仿宋"/>
          <w:color w:val="auto"/>
          <w:sz w:val="32"/>
          <w:szCs w:val="32"/>
          <w:highlight w:val="none"/>
          <w:shd w:val="clear" w:color="auto" w:fill="auto"/>
        </w:rPr>
        <w:t>分，</w:t>
      </w:r>
      <w:r>
        <w:rPr>
          <w:rFonts w:hint="eastAsia" w:ascii="Times New Roman" w:hAnsi="Times New Roman" w:eastAsia="仿宋_GB2312"/>
          <w:color w:val="auto"/>
          <w:sz w:val="32"/>
          <w:szCs w:val="32"/>
          <w:highlight w:val="none"/>
          <w:shd w:val="clear" w:color="auto" w:fill="auto"/>
        </w:rPr>
        <w:t>等级为“优秀”。</w:t>
      </w:r>
    </w:p>
    <w:p w14:paraId="40E50BE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黑体"/>
          <w:sz w:val="32"/>
          <w:szCs w:val="32"/>
          <w:shd w:val="clear" w:color="auto" w:fill="auto"/>
        </w:rPr>
      </w:pPr>
      <w:r>
        <w:rPr>
          <w:rFonts w:hint="eastAsia" w:ascii="Times New Roman" w:hAnsi="Times New Roman" w:eastAsia="黑体"/>
          <w:sz w:val="32"/>
          <w:szCs w:val="32"/>
          <w:shd w:val="clear" w:color="auto" w:fill="auto"/>
        </w:rPr>
        <w:t>五、存在的问题及改进措施</w:t>
      </w:r>
    </w:p>
    <w:p w14:paraId="7D0A591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Times New Roman" w:hAnsi="Times New Roman" w:eastAsia="楷体"/>
          <w:bCs/>
          <w:sz w:val="32"/>
          <w:szCs w:val="32"/>
          <w:shd w:val="clear" w:color="auto" w:fill="auto"/>
        </w:rPr>
      </w:pPr>
      <w:r>
        <w:rPr>
          <w:rFonts w:hint="eastAsia" w:ascii="Times New Roman" w:hAnsi="Times New Roman" w:eastAsia="楷体"/>
          <w:bCs/>
          <w:sz w:val="32"/>
          <w:szCs w:val="32"/>
          <w:shd w:val="clear" w:color="auto" w:fill="auto"/>
        </w:rPr>
        <w:t>（一）存在的主要问题</w:t>
      </w:r>
    </w:p>
    <w:p w14:paraId="52BC95F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Times New Roman" w:hAnsi="Times New Roman" w:eastAsia="仿宋"/>
          <w:color w:val="auto"/>
          <w:sz w:val="32"/>
          <w:szCs w:val="32"/>
          <w:shd w:val="clear" w:color="auto" w:fill="auto"/>
        </w:rPr>
      </w:pPr>
      <w:r>
        <w:rPr>
          <w:rFonts w:hint="eastAsia" w:ascii="Times New Roman" w:hAnsi="Times New Roman" w:eastAsia="仿宋"/>
          <w:color w:val="auto"/>
          <w:sz w:val="32"/>
          <w:szCs w:val="32"/>
          <w:shd w:val="clear" w:color="auto" w:fill="auto"/>
          <w:lang w:val="en-US" w:eastAsia="zh-CN"/>
        </w:rPr>
        <w:t>我中心现在</w:t>
      </w:r>
      <w:r>
        <w:rPr>
          <w:rFonts w:hint="eastAsia" w:ascii="Times New Roman" w:hAnsi="Times New Roman" w:eastAsia="仿宋"/>
          <w:color w:val="auto"/>
          <w:sz w:val="32"/>
          <w:szCs w:val="32"/>
          <w:shd w:val="clear" w:color="auto" w:fill="auto"/>
        </w:rPr>
        <w:t>面临的挑战和存在的不足，主要表现在省会示范引领作用发挥还不突出，规范化水平还不够高，服务手段还不够先进等。</w:t>
      </w:r>
    </w:p>
    <w:p w14:paraId="54782191">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Times New Roman" w:hAnsi="Times New Roman" w:eastAsia="楷体"/>
          <w:bCs/>
          <w:sz w:val="32"/>
          <w:szCs w:val="32"/>
          <w:shd w:val="clear" w:color="auto" w:fill="auto"/>
        </w:rPr>
      </w:pPr>
      <w:r>
        <w:rPr>
          <w:rFonts w:hint="eastAsia" w:ascii="Times New Roman" w:hAnsi="Times New Roman" w:eastAsia="楷体"/>
          <w:bCs/>
          <w:sz w:val="32"/>
          <w:szCs w:val="32"/>
          <w:shd w:val="clear" w:color="auto" w:fill="auto"/>
        </w:rPr>
        <w:t>针对问题提出具体的改进措施或建议</w:t>
      </w:r>
    </w:p>
    <w:p w14:paraId="643071CB">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default" w:ascii="Times New Roman" w:hAnsi="Times New Roman" w:eastAsia="仿宋"/>
          <w:color w:val="auto"/>
          <w:sz w:val="32"/>
          <w:szCs w:val="32"/>
          <w:shd w:val="clear" w:color="auto" w:fill="auto"/>
          <w:lang w:val="en-US" w:eastAsia="zh-CN"/>
        </w:rPr>
      </w:pPr>
      <w:r>
        <w:rPr>
          <w:rFonts w:hint="eastAsia" w:ascii="Times New Roman" w:hAnsi="Times New Roman" w:eastAsia="仿宋"/>
          <w:b/>
          <w:bCs/>
          <w:color w:val="auto"/>
          <w:sz w:val="32"/>
          <w:szCs w:val="32"/>
          <w:shd w:val="clear" w:color="auto" w:fill="auto"/>
          <w:lang w:val="en-US" w:eastAsia="zh-CN"/>
        </w:rPr>
        <w:t>一是</w:t>
      </w:r>
      <w:r>
        <w:rPr>
          <w:rFonts w:hint="eastAsia" w:ascii="Times New Roman" w:hAnsi="Times New Roman" w:eastAsia="仿宋"/>
          <w:color w:val="auto"/>
          <w:sz w:val="32"/>
          <w:szCs w:val="32"/>
          <w:shd w:val="clear" w:color="auto" w:fill="auto"/>
          <w:lang w:val="en-US" w:eastAsia="zh-CN"/>
        </w:rPr>
        <w:t>我中心上下要持续推动学习宣传贯彻落实</w:t>
      </w:r>
      <w:r>
        <w:rPr>
          <w:rFonts w:hint="eastAsia" w:ascii="仿宋_GB2312" w:eastAsia="仿宋_GB2312"/>
          <w:sz w:val="32"/>
          <w:szCs w:val="32"/>
          <w:lang w:eastAsia="zh-CN"/>
        </w:rPr>
        <w:t>习近平总书记“以人民为中心”的发展思想，把增进民生福祉作为一切工作的出发点和落脚点。</w:t>
      </w:r>
      <w:r>
        <w:rPr>
          <w:rFonts w:hint="eastAsia" w:ascii="Times New Roman" w:hAnsi="Times New Roman" w:eastAsia="仿宋"/>
          <w:color w:val="auto"/>
          <w:sz w:val="32"/>
          <w:szCs w:val="32"/>
          <w:shd w:val="clear" w:color="auto" w:fill="auto"/>
          <w:lang w:val="en-US" w:eastAsia="zh-CN"/>
        </w:rPr>
        <w:t>提高政治站位，在</w:t>
      </w:r>
      <w:r>
        <w:rPr>
          <w:rFonts w:hint="eastAsia" w:ascii="仿宋_GB2312" w:eastAsia="仿宋_GB2312"/>
          <w:color w:val="auto"/>
          <w:sz w:val="32"/>
          <w:szCs w:val="32"/>
          <w:lang w:eastAsia="zh-CN"/>
        </w:rPr>
        <w:t>住房公积金</w:t>
      </w:r>
      <w:r>
        <w:rPr>
          <w:rFonts w:hint="eastAsia" w:ascii="仿宋_GB2312" w:eastAsia="仿宋_GB2312"/>
          <w:color w:val="auto"/>
          <w:sz w:val="32"/>
          <w:szCs w:val="32"/>
          <w:lang w:val="en-US" w:eastAsia="zh-CN"/>
        </w:rPr>
        <w:t>归集扩面和政策宣传</w:t>
      </w:r>
      <w:r>
        <w:rPr>
          <w:rFonts w:hint="eastAsia" w:ascii="Times New Roman" w:hAnsi="Times New Roman" w:eastAsia="仿宋"/>
          <w:color w:val="auto"/>
          <w:sz w:val="32"/>
          <w:szCs w:val="32"/>
          <w:shd w:val="clear" w:color="auto" w:fill="auto"/>
          <w:lang w:val="en-US" w:eastAsia="zh-CN"/>
        </w:rPr>
        <w:t>上走在全省前列，扛起省会城市担当，在加快建设具有全省影响力的征程上发挥示范引领作用，奋力开创工作新局面。</w:t>
      </w:r>
    </w:p>
    <w:p w14:paraId="6932ECDE">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eastAsia" w:ascii="仿宋_GB2312" w:hAnsi="仿宋" w:eastAsia="仿宋_GB2312" w:cs="仿宋_GB2312"/>
          <w:sz w:val="32"/>
          <w:szCs w:val="32"/>
          <w:lang w:val="en-US" w:eastAsia="zh-CN"/>
        </w:rPr>
      </w:pPr>
      <w:r>
        <w:rPr>
          <w:rFonts w:hint="eastAsia" w:ascii="Times New Roman" w:hAnsi="Times New Roman" w:eastAsia="仿宋"/>
          <w:b/>
          <w:bCs/>
          <w:color w:val="auto"/>
          <w:sz w:val="32"/>
          <w:szCs w:val="32"/>
          <w:shd w:val="clear" w:color="auto" w:fill="auto"/>
          <w:lang w:val="en-US" w:eastAsia="zh-CN"/>
        </w:rPr>
        <w:t>二是</w:t>
      </w:r>
      <w:r>
        <w:rPr>
          <w:rFonts w:hint="eastAsia" w:ascii="Times New Roman" w:hAnsi="Times New Roman" w:eastAsia="仿宋"/>
          <w:color w:val="auto"/>
          <w:sz w:val="32"/>
          <w:szCs w:val="32"/>
          <w:shd w:val="clear" w:color="auto" w:fill="auto"/>
          <w:lang w:val="en-US" w:eastAsia="zh-CN"/>
        </w:rPr>
        <w:t>继续坚持主动进位，强化制度保障工作</w:t>
      </w:r>
      <w:r>
        <w:rPr>
          <w:rFonts w:hint="eastAsia" w:ascii="仿宋_GB2312" w:hAnsi="仿宋_GB2312" w:eastAsia="仿宋_GB2312" w:cs="仿宋_GB2312"/>
          <w:color w:val="auto"/>
          <w:sz w:val="32"/>
          <w:szCs w:val="32"/>
          <w:lang w:eastAsia="zh-CN"/>
        </w:rPr>
        <w:t>，认真研究具体实施细则，</w:t>
      </w:r>
      <w:r>
        <w:rPr>
          <w:rFonts w:hint="default" w:ascii="仿宋_GB2312" w:hAnsi="仿宋" w:eastAsia="仿宋_GB2312" w:cs="仿宋_GB2312"/>
          <w:sz w:val="32"/>
          <w:szCs w:val="32"/>
          <w:lang w:val="en-US" w:eastAsia="zh-CN"/>
        </w:rPr>
        <w:t>对已不符合当前形势发展</w:t>
      </w:r>
      <w:r>
        <w:rPr>
          <w:rFonts w:hint="eastAsia" w:ascii="仿宋_GB2312" w:hAnsi="仿宋" w:eastAsia="仿宋_GB2312" w:cs="仿宋_GB2312"/>
          <w:sz w:val="32"/>
          <w:szCs w:val="32"/>
          <w:lang w:val="en-US" w:eastAsia="zh-CN"/>
        </w:rPr>
        <w:t>且</w:t>
      </w:r>
      <w:r>
        <w:rPr>
          <w:rFonts w:hint="default" w:ascii="仿宋_GB2312" w:hAnsi="仿宋" w:eastAsia="仿宋_GB2312" w:cs="仿宋_GB2312"/>
          <w:sz w:val="32"/>
          <w:szCs w:val="32"/>
          <w:lang w:val="en-US" w:eastAsia="zh-CN"/>
        </w:rPr>
        <w:t>不能发挥应有作用的制度，及时予以废止</w:t>
      </w:r>
      <w:r>
        <w:rPr>
          <w:rFonts w:hint="eastAsia" w:ascii="仿宋_GB2312" w:hAnsi="仿宋" w:eastAsia="仿宋_GB2312" w:cs="仿宋_GB2312"/>
          <w:sz w:val="32"/>
          <w:szCs w:val="32"/>
          <w:lang w:val="en-US" w:eastAsia="zh-CN"/>
        </w:rPr>
        <w:t>；</w:t>
      </w:r>
      <w:r>
        <w:rPr>
          <w:rFonts w:hint="default" w:ascii="仿宋_GB2312" w:hAnsi="仿宋" w:eastAsia="仿宋_GB2312" w:cs="仿宋_GB2312"/>
          <w:sz w:val="32"/>
          <w:szCs w:val="32"/>
          <w:lang w:val="en-US" w:eastAsia="zh-CN"/>
        </w:rPr>
        <w:t>对不符合形势要求、存在明显漏洞但有继续执行价值的制度，在深入调研、反复论证的基础上进行修订完善</w:t>
      </w:r>
      <w:r>
        <w:rPr>
          <w:rFonts w:hint="eastAsia" w:ascii="仿宋_GB2312" w:hAnsi="仿宋" w:eastAsia="仿宋_GB2312" w:cs="仿宋_GB2312"/>
          <w:sz w:val="32"/>
          <w:szCs w:val="32"/>
          <w:lang w:val="en-US" w:eastAsia="zh-CN"/>
        </w:rPr>
        <w:t>；</w:t>
      </w:r>
      <w:r>
        <w:rPr>
          <w:rFonts w:hint="default" w:ascii="仿宋_GB2312" w:hAnsi="仿宋" w:eastAsia="仿宋_GB2312" w:cs="仿宋_GB2312"/>
          <w:sz w:val="32"/>
          <w:szCs w:val="32"/>
          <w:lang w:val="en-US" w:eastAsia="zh-CN"/>
        </w:rPr>
        <w:t>对工作需要但尚未建立制度的空白领域，大胆探索、积极创新，</w:t>
      </w:r>
      <w:r>
        <w:rPr>
          <w:rFonts w:hint="eastAsia" w:ascii="仿宋_GB2312" w:hAnsi="仿宋" w:eastAsia="仿宋_GB2312" w:cs="仿宋_GB2312"/>
          <w:sz w:val="32"/>
          <w:szCs w:val="32"/>
          <w:lang w:val="en-US" w:eastAsia="zh-CN"/>
        </w:rPr>
        <w:t>努力形成制度成果。</w:t>
      </w:r>
    </w:p>
    <w:p w14:paraId="63C34F58">
      <w:pPr>
        <w:pStyle w:val="2"/>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default"/>
          <w:lang w:val="en-US" w:eastAsia="zh-CN"/>
        </w:rPr>
      </w:pPr>
      <w:r>
        <w:rPr>
          <w:rFonts w:hint="eastAsia" w:ascii="仿宋_GB2312" w:hAnsi="仿宋" w:eastAsia="仿宋_GB2312" w:cs="仿宋_GB2312"/>
          <w:b/>
          <w:bCs/>
          <w:sz w:val="32"/>
          <w:szCs w:val="32"/>
          <w:lang w:val="en-US" w:eastAsia="zh-CN"/>
        </w:rPr>
        <w:t>三是</w:t>
      </w:r>
      <w:r>
        <w:rPr>
          <w:rFonts w:hint="eastAsia" w:ascii="仿宋_GB2312" w:hAnsi="仿宋" w:eastAsia="仿宋_GB2312" w:cs="仿宋_GB2312"/>
          <w:sz w:val="32"/>
          <w:szCs w:val="32"/>
          <w:lang w:val="en-US" w:eastAsia="zh-CN"/>
        </w:rPr>
        <w:t>完善线上服务功能，</w:t>
      </w:r>
      <w:r>
        <w:rPr>
          <w:rFonts w:hint="eastAsia" w:ascii="仿宋_GB2312" w:hAnsi="仿宋_GB2312" w:eastAsia="仿宋_GB2312" w:cs="仿宋_GB2312"/>
          <w:sz w:val="32"/>
          <w:szCs w:val="32"/>
        </w:rPr>
        <w:t>满足企业和群众</w:t>
      </w:r>
      <w:r>
        <w:rPr>
          <w:rFonts w:hint="eastAsia" w:ascii="仿宋_GB2312" w:hAnsi="仿宋_GB2312" w:eastAsia="仿宋_GB2312" w:cs="仿宋_GB2312"/>
          <w:sz w:val="32"/>
          <w:szCs w:val="32"/>
          <w:lang w:val="en-US" w:eastAsia="zh-CN"/>
        </w:rPr>
        <w:t>随时随地</w:t>
      </w:r>
      <w:r>
        <w:rPr>
          <w:rFonts w:hint="eastAsia" w:ascii="仿宋_GB2312" w:hAnsi="仿宋_GB2312" w:eastAsia="仿宋_GB2312" w:cs="仿宋_GB2312"/>
          <w:sz w:val="32"/>
          <w:szCs w:val="32"/>
        </w:rPr>
        <w:t>办事需求</w:t>
      </w:r>
      <w:r>
        <w:rPr>
          <w:rFonts w:hint="eastAsia" w:ascii="仿宋_GB2312" w:hAnsi="仿宋_GB2312" w:eastAsia="仿宋_GB2312" w:cs="仿宋_GB2312"/>
          <w:sz w:val="32"/>
          <w:szCs w:val="32"/>
          <w:lang w:eastAsia="zh-CN"/>
        </w:rPr>
        <w:t>，</w:t>
      </w:r>
      <w:r>
        <w:rPr>
          <w:rFonts w:hint="eastAsia" w:ascii="仿宋_GB2312" w:hAnsi="仿宋" w:eastAsia="仿宋_GB2312" w:cs="仿宋_GB2312"/>
          <w:sz w:val="32"/>
          <w:szCs w:val="32"/>
          <w:lang w:val="en-US" w:eastAsia="zh-CN"/>
        </w:rPr>
        <w:t>提高办事效率；进一步提升线下服务水平，更</w:t>
      </w:r>
      <w:r>
        <w:rPr>
          <w:rFonts w:hint="eastAsia" w:ascii="仿宋_GB2312" w:hAnsi="仿宋_GB2312" w:eastAsia="仿宋_GB2312" w:cs="仿宋_GB2312"/>
          <w:color w:val="auto"/>
          <w:sz w:val="32"/>
          <w:szCs w:val="40"/>
          <w:lang w:val="en-US" w:eastAsia="zh-CN"/>
        </w:rPr>
        <w:t>大程度满足职工实际需求。</w:t>
      </w:r>
    </w:p>
    <w:p w14:paraId="0055277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Times New Roman" w:hAnsi="Times New Roman" w:eastAsia="黑体"/>
          <w:sz w:val="32"/>
          <w:szCs w:val="32"/>
          <w:shd w:val="clear" w:color="auto" w:fill="auto"/>
        </w:rPr>
      </w:pPr>
      <w:r>
        <w:rPr>
          <w:rFonts w:hint="eastAsia" w:ascii="Times New Roman" w:hAnsi="Times New Roman" w:eastAsia="黑体"/>
          <w:sz w:val="32"/>
          <w:szCs w:val="32"/>
          <w:shd w:val="clear" w:color="auto" w:fill="auto"/>
        </w:rPr>
        <w:t>六、评价工作组人员名单及签字</w:t>
      </w:r>
    </w:p>
    <w:p w14:paraId="71DBE448">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hint="eastAsia" w:ascii="Times New Roman" w:hAnsi="Times New Roman" w:eastAsia="仿宋_GB2312" w:cs="仿宋_GB2312"/>
          <w:sz w:val="32"/>
          <w:szCs w:val="32"/>
          <w:shd w:val="clear" w:color="auto" w:fill="auto"/>
          <w:lang w:eastAsia="zh-CN"/>
        </w:rPr>
      </w:pPr>
      <w:r>
        <w:rPr>
          <w:rFonts w:hint="eastAsia" w:ascii="Times New Roman" w:hAnsi="Times New Roman" w:eastAsia="仿宋_GB2312" w:cs="仿宋_GB2312"/>
          <w:sz w:val="32"/>
          <w:szCs w:val="32"/>
          <w:shd w:val="clear" w:color="auto" w:fill="auto"/>
        </w:rPr>
        <w:t>组长：</w:t>
      </w:r>
      <w:r>
        <w:rPr>
          <w:rFonts w:hint="eastAsia" w:ascii="Times New Roman" w:hAnsi="Times New Roman" w:eastAsia="仿宋_GB2312" w:cs="仿宋_GB2312"/>
          <w:sz w:val="32"/>
          <w:szCs w:val="32"/>
          <w:shd w:val="clear" w:color="auto" w:fill="auto"/>
          <w:lang w:eastAsia="zh-CN"/>
        </w:rPr>
        <w:t>董海林</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w:t>
      </w:r>
      <w:r>
        <w:rPr>
          <w:rFonts w:hint="eastAsia" w:ascii="Times New Roman" w:hAnsi="Times New Roman" w:eastAsia="仿宋_GB2312" w:cs="仿宋_GB2312"/>
          <w:sz w:val="32"/>
          <w:szCs w:val="32"/>
          <w:shd w:val="clear" w:color="auto" w:fill="auto"/>
          <w:lang w:eastAsia="zh-CN"/>
        </w:rPr>
        <w:t>副主任</w:t>
      </w:r>
    </w:p>
    <w:p w14:paraId="5E9AC200">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Times New Roman" w:hAnsi="Times New Roman" w:eastAsia="仿宋_GB2312" w:cs="仿宋_GB2312"/>
          <w:sz w:val="32"/>
          <w:szCs w:val="32"/>
          <w:shd w:val="clear" w:color="auto" w:fill="auto"/>
        </w:rPr>
      </w:pPr>
      <w:r>
        <w:rPr>
          <w:rFonts w:hint="eastAsia" w:ascii="Times New Roman" w:hAnsi="Times New Roman" w:eastAsia="仿宋_GB2312" w:cs="仿宋_GB2312"/>
          <w:sz w:val="32"/>
          <w:szCs w:val="32"/>
          <w:shd w:val="clear" w:color="auto" w:fill="auto"/>
        </w:rPr>
        <w:t>成员：底宪民</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石家庄住房公积金管理中心办公室主任</w:t>
      </w:r>
    </w:p>
    <w:p w14:paraId="2A401BC9">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Times New Roman" w:hAnsi="Times New Roman" w:eastAsia="仿宋_GB2312" w:cs="仿宋_GB2312"/>
          <w:sz w:val="32"/>
          <w:szCs w:val="32"/>
          <w:shd w:val="clear" w:color="auto" w:fill="auto"/>
        </w:rPr>
      </w:pPr>
      <w:r>
        <w:rPr>
          <w:rFonts w:hint="eastAsia" w:ascii="Times New Roman" w:hAnsi="Times New Roman" w:eastAsia="仿宋_GB2312" w:cs="仿宋_GB2312"/>
          <w:sz w:val="32"/>
          <w:szCs w:val="32"/>
          <w:shd w:val="clear" w:color="auto" w:fill="auto"/>
        </w:rPr>
        <w:t>成员：张富平</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石家庄住房公积金管理中心会计科科长</w:t>
      </w:r>
    </w:p>
    <w:p w14:paraId="350A2316">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Times New Roman" w:hAnsi="Times New Roman" w:eastAsia="仿宋_GB2312" w:cs="仿宋_GB2312"/>
          <w:sz w:val="32"/>
          <w:szCs w:val="32"/>
          <w:shd w:val="clear" w:color="auto" w:fill="auto"/>
        </w:rPr>
      </w:pPr>
      <w:r>
        <w:rPr>
          <w:rFonts w:hint="eastAsia" w:ascii="Times New Roman" w:hAnsi="Times New Roman" w:eastAsia="仿宋_GB2312" w:cs="仿宋_GB2312"/>
          <w:sz w:val="32"/>
          <w:szCs w:val="32"/>
          <w:shd w:val="clear" w:color="auto" w:fill="auto"/>
        </w:rPr>
        <w:t>成员：</w:t>
      </w:r>
      <w:r>
        <w:rPr>
          <w:rFonts w:hint="eastAsia" w:ascii="Times New Roman" w:hAnsi="Times New Roman" w:eastAsia="仿宋_GB2312" w:cs="仿宋_GB2312"/>
          <w:sz w:val="32"/>
          <w:szCs w:val="32"/>
          <w:shd w:val="clear" w:color="auto" w:fill="auto"/>
          <w:lang w:eastAsia="zh-CN"/>
        </w:rPr>
        <w:t>孙路洁</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石家庄住房公积金管理中心稽核</w:t>
      </w:r>
      <w:r>
        <w:rPr>
          <w:rFonts w:hint="eastAsia" w:ascii="Times New Roman" w:hAnsi="Times New Roman" w:eastAsia="仿宋_GB2312" w:cs="仿宋_GB2312"/>
          <w:sz w:val="32"/>
          <w:szCs w:val="32"/>
          <w:shd w:val="clear" w:color="auto" w:fill="auto"/>
          <w:lang w:eastAsia="zh-CN"/>
        </w:rPr>
        <w:t>审计</w:t>
      </w:r>
      <w:r>
        <w:rPr>
          <w:rFonts w:hint="eastAsia" w:ascii="Times New Roman" w:hAnsi="Times New Roman" w:eastAsia="仿宋_GB2312" w:cs="仿宋_GB2312"/>
          <w:sz w:val="32"/>
          <w:szCs w:val="32"/>
          <w:shd w:val="clear" w:color="auto" w:fill="auto"/>
        </w:rPr>
        <w:t>科科长</w:t>
      </w:r>
    </w:p>
    <w:p w14:paraId="3A00043E">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Times New Roman" w:hAnsi="Times New Roman" w:eastAsia="仿宋_GB2312" w:cs="仿宋_GB2312"/>
          <w:sz w:val="32"/>
          <w:szCs w:val="32"/>
          <w:shd w:val="clear" w:color="auto" w:fill="auto"/>
        </w:rPr>
      </w:pPr>
      <w:r>
        <w:rPr>
          <w:rFonts w:hint="eastAsia" w:ascii="Times New Roman" w:hAnsi="Times New Roman" w:eastAsia="仿宋_GB2312" w:cs="仿宋_GB2312"/>
          <w:sz w:val="32"/>
          <w:szCs w:val="32"/>
          <w:shd w:val="clear" w:color="auto" w:fill="auto"/>
        </w:rPr>
        <w:t>成员：周</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青</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石家庄住房公积金管理中心信息技术科科长</w:t>
      </w:r>
    </w:p>
    <w:p w14:paraId="079688AC">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Times New Roman" w:hAnsi="Times New Roman" w:eastAsia="仿宋_GB2312" w:cs="仿宋_GB2312"/>
          <w:sz w:val="32"/>
          <w:szCs w:val="32"/>
          <w:shd w:val="clear" w:color="auto" w:fill="auto"/>
        </w:rPr>
      </w:pPr>
      <w:r>
        <w:rPr>
          <w:rFonts w:hint="eastAsia" w:ascii="Times New Roman" w:hAnsi="Times New Roman" w:eastAsia="仿宋_GB2312" w:cs="仿宋_GB2312"/>
          <w:sz w:val="32"/>
          <w:szCs w:val="32"/>
          <w:shd w:val="clear" w:color="auto" w:fill="auto"/>
        </w:rPr>
        <w:t>成员：梁</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皓</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石家庄住房公积金管理中心办公室副主任</w:t>
      </w:r>
    </w:p>
    <w:p w14:paraId="0867E8DD">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Times New Roman" w:hAnsi="Times New Roman" w:eastAsia="仿宋_GB2312" w:cs="仿宋_GB2312"/>
          <w:sz w:val="32"/>
          <w:szCs w:val="32"/>
          <w:shd w:val="clear" w:color="auto" w:fill="auto"/>
        </w:rPr>
      </w:pPr>
      <w:r>
        <w:rPr>
          <w:rFonts w:hint="eastAsia" w:ascii="Times New Roman" w:hAnsi="Times New Roman" w:eastAsia="仿宋_GB2312" w:cs="仿宋_GB2312"/>
          <w:sz w:val="32"/>
          <w:szCs w:val="32"/>
          <w:shd w:val="clear" w:color="auto" w:fill="auto"/>
        </w:rPr>
        <w:t>成员：温</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雅</w:t>
      </w:r>
      <w:r>
        <w:rPr>
          <w:rFonts w:hint="eastAsia" w:ascii="Times New Roman" w:hAnsi="Times New Roman" w:eastAsia="仿宋_GB2312" w:cs="仿宋_GB2312"/>
          <w:sz w:val="32"/>
          <w:szCs w:val="32"/>
          <w:shd w:val="clear" w:color="auto" w:fill="auto"/>
          <w:lang w:val="en-US" w:eastAsia="zh-CN"/>
        </w:rPr>
        <w:t xml:space="preserve"> </w:t>
      </w:r>
      <w:r>
        <w:rPr>
          <w:rFonts w:hint="eastAsia" w:ascii="Times New Roman" w:hAnsi="Times New Roman" w:eastAsia="仿宋_GB2312" w:cs="仿宋_GB2312"/>
          <w:sz w:val="32"/>
          <w:szCs w:val="32"/>
          <w:shd w:val="clear" w:color="auto" w:fill="auto"/>
        </w:rPr>
        <w:t>石家庄住房公积金管理中心会计科副科长</w:t>
      </w:r>
    </w:p>
    <w:p w14:paraId="5C564B20">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Times New Roman" w:hAnsi="Times New Roman" w:eastAsia="仿宋"/>
          <w:shd w:val="clear" w:color="auto" w:fill="auto"/>
        </w:rPr>
      </w:pPr>
    </w:p>
    <w:sectPr>
      <w:footerReference r:id="rId5" w:type="default"/>
      <w:pgSz w:w="11906" w:h="16838"/>
      <w:pgMar w:top="1440" w:right="1474" w:bottom="1440" w:left="1587" w:header="851" w:footer="992" w:gutter="0"/>
      <w:pgNumType w:fmt="numberInDash"/>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EBC7D">
    <w:pPr>
      <w:pStyle w:val="8"/>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1E372C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11678"/>
    <w:multiLevelType w:val="singleLevel"/>
    <w:tmpl w:val="82F11678"/>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mY3YjczZmEwYTM1MGZiNWYxZGVmNTZlZTFlZmI1NzQifQ=="/>
  </w:docVars>
  <w:rsids>
    <w:rsidRoot w:val="0EBD2122"/>
    <w:rsid w:val="000B0260"/>
    <w:rsid w:val="007E6C1F"/>
    <w:rsid w:val="00956A93"/>
    <w:rsid w:val="009E575C"/>
    <w:rsid w:val="00AC26FC"/>
    <w:rsid w:val="00AF167E"/>
    <w:rsid w:val="00AF566A"/>
    <w:rsid w:val="00B478EA"/>
    <w:rsid w:val="00B6553A"/>
    <w:rsid w:val="00BC6576"/>
    <w:rsid w:val="00CE06BA"/>
    <w:rsid w:val="00F441CC"/>
    <w:rsid w:val="01934818"/>
    <w:rsid w:val="01B104CA"/>
    <w:rsid w:val="02106AB0"/>
    <w:rsid w:val="02B43A28"/>
    <w:rsid w:val="039B1B16"/>
    <w:rsid w:val="046F331E"/>
    <w:rsid w:val="07956271"/>
    <w:rsid w:val="089674A9"/>
    <w:rsid w:val="09721397"/>
    <w:rsid w:val="0BB63BED"/>
    <w:rsid w:val="0EB97A43"/>
    <w:rsid w:val="0EBD2122"/>
    <w:rsid w:val="0F214EAE"/>
    <w:rsid w:val="10E703F1"/>
    <w:rsid w:val="11B71E6A"/>
    <w:rsid w:val="1A82318C"/>
    <w:rsid w:val="1AAF0063"/>
    <w:rsid w:val="1BE140DE"/>
    <w:rsid w:val="1BF323FF"/>
    <w:rsid w:val="1DBA2C3C"/>
    <w:rsid w:val="248C197D"/>
    <w:rsid w:val="25156DC7"/>
    <w:rsid w:val="252959AF"/>
    <w:rsid w:val="277A6671"/>
    <w:rsid w:val="282615FA"/>
    <w:rsid w:val="292D35B7"/>
    <w:rsid w:val="2B1069AB"/>
    <w:rsid w:val="30C55D61"/>
    <w:rsid w:val="33EB6CFF"/>
    <w:rsid w:val="35577297"/>
    <w:rsid w:val="35A12947"/>
    <w:rsid w:val="36054F45"/>
    <w:rsid w:val="37387040"/>
    <w:rsid w:val="37FF59C4"/>
    <w:rsid w:val="3B625C0A"/>
    <w:rsid w:val="3CB21257"/>
    <w:rsid w:val="3CEE1963"/>
    <w:rsid w:val="436B78D3"/>
    <w:rsid w:val="4C9C27FE"/>
    <w:rsid w:val="4ECB4C9C"/>
    <w:rsid w:val="512260B4"/>
    <w:rsid w:val="52BD6ACB"/>
    <w:rsid w:val="55537534"/>
    <w:rsid w:val="561A74F1"/>
    <w:rsid w:val="597244E8"/>
    <w:rsid w:val="5D0D6309"/>
    <w:rsid w:val="5EB71C30"/>
    <w:rsid w:val="5F2D5DC7"/>
    <w:rsid w:val="654F111E"/>
    <w:rsid w:val="66AF0CE5"/>
    <w:rsid w:val="6AC537CF"/>
    <w:rsid w:val="6D23621D"/>
    <w:rsid w:val="6D733FB8"/>
    <w:rsid w:val="6E5B14A6"/>
    <w:rsid w:val="711B255E"/>
    <w:rsid w:val="71ED0060"/>
    <w:rsid w:val="73313BF2"/>
    <w:rsid w:val="74564AEF"/>
    <w:rsid w:val="76350C95"/>
    <w:rsid w:val="7BB51E06"/>
    <w:rsid w:val="7C387F7C"/>
    <w:rsid w:val="7C5F7DA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60" w:lineRule="exact"/>
      <w:jc w:val="both"/>
    </w:pPr>
    <w:rPr>
      <w:rFonts w:ascii="Calibri" w:hAnsi="Calibri" w:eastAsia="仿宋" w:cs="黑体"/>
      <w:kern w:val="2"/>
      <w:sz w:val="32"/>
      <w:szCs w:val="22"/>
      <w:lang w:val="en-US" w:eastAsia="zh-CN" w:bidi="ar-SA"/>
    </w:rPr>
  </w:style>
  <w:style w:type="paragraph" w:styleId="5">
    <w:name w:val="heading 2"/>
    <w:basedOn w:val="1"/>
    <w:next w:val="1"/>
    <w:qFormat/>
    <w:uiPriority w:val="0"/>
    <w:pPr>
      <w:spacing w:before="100" w:beforeAutospacing="1" w:after="100" w:afterAutospacing="1"/>
      <w:outlineLvl w:val="1"/>
    </w:pPr>
    <w:rPr>
      <w:rFonts w:hint="eastAsia" w:ascii="宋体" w:hAnsi="宋体"/>
      <w:sz w:val="36"/>
      <w:szCs w:val="36"/>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ind w:left="0" w:leftChars="0" w:firstLine="420" w:firstLineChars="200"/>
    </w:pPr>
  </w:style>
  <w:style w:type="paragraph" w:styleId="3">
    <w:name w:val="Body Text Indent"/>
    <w:basedOn w:val="1"/>
    <w:next w:val="4"/>
    <w:qFormat/>
    <w:uiPriority w:val="0"/>
    <w:pPr>
      <w:ind w:left="420" w:leftChars="200"/>
    </w:pPr>
  </w:style>
  <w:style w:type="paragraph" w:styleId="4">
    <w:name w:val="Subtitle"/>
    <w:basedOn w:val="1"/>
    <w:next w:val="1"/>
    <w:qFormat/>
    <w:uiPriority w:val="0"/>
    <w:pPr>
      <w:widowControl/>
      <w:wordWrap w:val="0"/>
      <w:spacing w:after="60"/>
      <w:jc w:val="center"/>
    </w:pPr>
    <w:rPr>
      <w:kern w:val="0"/>
      <w:sz w:val="24"/>
      <w:szCs w:val="22"/>
    </w:rPr>
  </w:style>
  <w:style w:type="paragraph" w:styleId="6">
    <w:name w:val="Normal Indent"/>
    <w:basedOn w:val="1"/>
    <w:qFormat/>
    <w:uiPriority w:val="0"/>
    <w:pPr>
      <w:ind w:firstLine="420" w:firstLineChars="200"/>
    </w:pPr>
  </w:style>
  <w:style w:type="paragraph" w:styleId="7">
    <w:name w:val="annotation text"/>
    <w:basedOn w:val="1"/>
    <w:qFormat/>
    <w:uiPriority w:val="0"/>
    <w:pPr>
      <w:jc w:val="left"/>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7248</Words>
  <Characters>7633</Characters>
  <Lines>4</Lines>
  <Paragraphs>1</Paragraphs>
  <TotalTime>9</TotalTime>
  <ScaleCrop>false</ScaleCrop>
  <LinksUpToDate>false</LinksUpToDate>
  <CharactersWithSpaces>7646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2025-04-02T07:24:46Z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eyJoZGlkIjoiZWFiZDA5ODMyMjczYmM0MDUyYjk1NDhmMzg4ZjdmODkiLCJ1c2VySWQiOiIxNTUwMjQwMDk2In0=</vt:lpwstr>
  </property>
</Properties>
</file>