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34684A">
      <w:pPr>
        <w:spacing w:line="360" w:lineRule="auto"/>
        <w:jc w:val="center"/>
        <w:rPr>
          <w:rFonts w:ascii="仿宋" w:hAnsi="仿宋" w:eastAsia="仿宋" w:cs="仿宋"/>
          <w:sz w:val="32"/>
          <w:szCs w:val="32"/>
        </w:rPr>
      </w:pPr>
      <w:r>
        <w:rPr>
          <w:rFonts w:ascii="仿宋" w:hAnsi="仿宋" w:eastAsia="仿宋" w:cs="仿宋"/>
          <w:sz w:val="32"/>
          <w:szCs w:val="32"/>
        </w:rPr>
        <w:tab/>
      </w:r>
    </w:p>
    <w:p w14:paraId="6445FF9C">
      <w:pPr>
        <w:spacing w:line="360" w:lineRule="auto"/>
        <w:jc w:val="center"/>
        <w:rPr>
          <w:rFonts w:eastAsia="方正小标宋简体"/>
          <w:sz w:val="44"/>
          <w:szCs w:val="44"/>
        </w:rPr>
      </w:pPr>
    </w:p>
    <w:p w14:paraId="292348EE">
      <w:pPr>
        <w:spacing w:line="360" w:lineRule="auto"/>
        <w:jc w:val="center"/>
        <w:rPr>
          <w:rFonts w:ascii="方正小标宋简体" w:eastAsia="方正小标宋简体"/>
          <w:sz w:val="44"/>
          <w:szCs w:val="44"/>
        </w:rPr>
      </w:pPr>
      <w:r>
        <w:rPr>
          <w:rFonts w:hint="eastAsia" w:ascii="方正小标宋简体" w:eastAsia="方正小标宋简体"/>
          <w:sz w:val="44"/>
          <w:szCs w:val="44"/>
        </w:rPr>
        <w:t>石家庄住房公积金管理中心</w:t>
      </w:r>
    </w:p>
    <w:p w14:paraId="51F7A069">
      <w:pPr>
        <w:spacing w:line="360" w:lineRule="auto"/>
        <w:jc w:val="center"/>
        <w:rPr>
          <w:rFonts w:ascii="方正小标宋简体" w:eastAsia="方正小标宋简体"/>
          <w:sz w:val="44"/>
          <w:szCs w:val="44"/>
        </w:rPr>
      </w:pPr>
      <w:r>
        <w:rPr>
          <w:rFonts w:hint="eastAsia" w:ascii="方正小标宋简体" w:eastAsia="方正小标宋简体"/>
          <w:sz w:val="44"/>
          <w:szCs w:val="44"/>
        </w:rPr>
        <w:t>2022年度整体支出绩效自评报告</w:t>
      </w:r>
    </w:p>
    <w:p w14:paraId="3E86F4C9">
      <w:pPr>
        <w:spacing w:line="360" w:lineRule="auto"/>
        <w:jc w:val="center"/>
        <w:rPr>
          <w:rFonts w:ascii="方正小标宋简体" w:eastAsia="方正小标宋简体"/>
          <w:sz w:val="44"/>
          <w:szCs w:val="44"/>
        </w:rPr>
      </w:pPr>
    </w:p>
    <w:p w14:paraId="529A5B96">
      <w:pPr>
        <w:spacing w:line="360" w:lineRule="auto"/>
        <w:jc w:val="center"/>
        <w:rPr>
          <w:rFonts w:ascii="方正小标宋简体" w:eastAsia="方正小标宋简体"/>
          <w:sz w:val="44"/>
          <w:szCs w:val="44"/>
        </w:rPr>
      </w:pPr>
    </w:p>
    <w:p w14:paraId="61534F9D">
      <w:pPr>
        <w:spacing w:line="360" w:lineRule="auto"/>
        <w:jc w:val="center"/>
        <w:rPr>
          <w:rFonts w:ascii="方正小标宋简体" w:eastAsia="方正小标宋简体"/>
          <w:sz w:val="44"/>
          <w:szCs w:val="44"/>
        </w:rPr>
      </w:pPr>
    </w:p>
    <w:p w14:paraId="57FECBC0">
      <w:pPr>
        <w:spacing w:line="360" w:lineRule="auto"/>
        <w:jc w:val="center"/>
        <w:rPr>
          <w:rFonts w:ascii="方正小标宋简体" w:eastAsia="方正小标宋简体"/>
          <w:sz w:val="44"/>
          <w:szCs w:val="44"/>
        </w:rPr>
      </w:pPr>
    </w:p>
    <w:p w14:paraId="0639C40F">
      <w:pPr>
        <w:spacing w:line="360" w:lineRule="auto"/>
        <w:jc w:val="center"/>
        <w:rPr>
          <w:rFonts w:ascii="方正小标宋简体" w:eastAsia="方正小标宋简体"/>
          <w:sz w:val="44"/>
          <w:szCs w:val="44"/>
        </w:rPr>
      </w:pPr>
    </w:p>
    <w:p w14:paraId="76B9F4A8">
      <w:pPr>
        <w:spacing w:line="360" w:lineRule="auto"/>
        <w:jc w:val="center"/>
        <w:rPr>
          <w:rFonts w:ascii="方正小标宋简体" w:eastAsia="方正小标宋简体"/>
          <w:sz w:val="44"/>
          <w:szCs w:val="44"/>
        </w:rPr>
      </w:pPr>
    </w:p>
    <w:p w14:paraId="72E0BBC4">
      <w:pPr>
        <w:spacing w:line="360" w:lineRule="auto"/>
        <w:jc w:val="center"/>
        <w:rPr>
          <w:rFonts w:ascii="方正小标宋简体" w:eastAsia="方正小标宋简体"/>
          <w:sz w:val="44"/>
          <w:szCs w:val="44"/>
        </w:rPr>
      </w:pPr>
    </w:p>
    <w:p w14:paraId="0A19F5C6">
      <w:pPr>
        <w:spacing w:line="360" w:lineRule="auto"/>
        <w:jc w:val="center"/>
        <w:rPr>
          <w:rFonts w:ascii="方正小标宋简体" w:eastAsia="方正小标宋简体"/>
          <w:sz w:val="44"/>
          <w:szCs w:val="44"/>
        </w:rPr>
      </w:pPr>
    </w:p>
    <w:p w14:paraId="1763A6A9">
      <w:pPr>
        <w:spacing w:line="360" w:lineRule="auto"/>
        <w:jc w:val="center"/>
        <w:rPr>
          <w:rFonts w:ascii="方正小标宋简体" w:eastAsia="方正小标宋简体"/>
          <w:sz w:val="44"/>
          <w:szCs w:val="44"/>
        </w:rPr>
      </w:pPr>
    </w:p>
    <w:p w14:paraId="37487F41">
      <w:pPr>
        <w:spacing w:line="360" w:lineRule="auto"/>
        <w:jc w:val="center"/>
        <w:rPr>
          <w:rFonts w:ascii="方正小标宋简体" w:eastAsia="方正小标宋简体"/>
          <w:sz w:val="44"/>
          <w:szCs w:val="44"/>
        </w:rPr>
      </w:pPr>
    </w:p>
    <w:p w14:paraId="4C153B3E">
      <w:pPr>
        <w:pStyle w:val="11"/>
        <w:outlineLvl w:val="9"/>
        <w:rPr>
          <w:rFonts w:ascii="仿宋" w:hAnsi="仿宋" w:eastAsia="仿宋" w:cs="仿宋"/>
          <w:szCs w:val="32"/>
        </w:rPr>
        <w:sectPr>
          <w:pgSz w:w="11906" w:h="16838"/>
          <w:pgMar w:top="1440" w:right="1800" w:bottom="1440" w:left="1800" w:header="851" w:footer="992" w:gutter="0"/>
          <w:pgNumType w:fmt="numberInDash"/>
          <w:cols w:space="720" w:num="1"/>
          <w:docGrid w:type="lines" w:linePitch="312" w:charSpace="0"/>
        </w:sectPr>
      </w:pPr>
      <w:r>
        <w:rPr>
          <w:rFonts w:ascii="仿宋_GB2312" w:hAnsi="Calibri" w:eastAsia="仿宋_GB2312"/>
          <w:b w:val="0"/>
          <w:bCs/>
          <w:kern w:val="2"/>
          <w:lang w:val="zh-CN"/>
        </w:rPr>
        <w:t>202</w:t>
      </w:r>
      <w:r>
        <w:rPr>
          <w:rFonts w:hint="eastAsia" w:ascii="仿宋_GB2312" w:hAnsi="Calibri" w:eastAsia="仿宋_GB2312"/>
          <w:b w:val="0"/>
          <w:bCs/>
          <w:kern w:val="2"/>
        </w:rPr>
        <w:t>3</w:t>
      </w:r>
      <w:r>
        <w:rPr>
          <w:rFonts w:hint="eastAsia" w:ascii="仿宋_GB2312" w:hAnsi="Calibri" w:eastAsia="仿宋_GB2312"/>
          <w:b w:val="0"/>
          <w:bCs/>
          <w:kern w:val="2"/>
          <w:lang w:val="zh-CN"/>
        </w:rPr>
        <w:t>年</w:t>
      </w:r>
      <w:r>
        <w:rPr>
          <w:rFonts w:hint="eastAsia" w:ascii="仿宋_GB2312" w:hAnsi="Calibri" w:eastAsia="仿宋_GB2312"/>
          <w:b w:val="0"/>
          <w:bCs/>
        </w:rPr>
        <w:t>4</w:t>
      </w:r>
      <w:r>
        <w:rPr>
          <w:rFonts w:hint="eastAsia" w:ascii="仿宋_GB2312" w:hAnsi="Calibri" w:eastAsia="仿宋_GB2312"/>
          <w:b w:val="0"/>
          <w:bCs/>
          <w:kern w:val="2"/>
          <w:lang w:val="zh-CN"/>
        </w:rPr>
        <w:t>月</w:t>
      </w:r>
    </w:p>
    <w:sdt>
      <w:sdtPr>
        <w:rPr>
          <w:rFonts w:ascii="Calibri" w:hAnsi="Calibri" w:eastAsia="宋体" w:cs="黑体"/>
          <w:color w:val="auto"/>
          <w:kern w:val="2"/>
          <w:sz w:val="22"/>
          <w:szCs w:val="24"/>
          <w:lang w:val="zh-CN"/>
        </w:rPr>
        <w:id w:val="1317993507"/>
        <w:docPartObj>
          <w:docPartGallery w:val="Table of Contents"/>
          <w:docPartUnique/>
        </w:docPartObj>
      </w:sdtPr>
      <w:sdtEndPr>
        <w:rPr>
          <w:rFonts w:ascii="Calibri" w:hAnsi="Calibri" w:eastAsia="宋体" w:cs="黑体"/>
          <w:b/>
          <w:bCs/>
          <w:color w:val="auto"/>
          <w:kern w:val="2"/>
          <w:sz w:val="21"/>
          <w:szCs w:val="22"/>
          <w:lang w:val="zh-CN"/>
        </w:rPr>
      </w:sdtEndPr>
      <w:sdtContent>
        <w:p w14:paraId="3B96A23F">
          <w:pPr>
            <w:pStyle w:val="18"/>
            <w:jc w:val="center"/>
            <w:rPr>
              <w:color w:val="auto"/>
              <w:sz w:val="36"/>
              <w:szCs w:val="36"/>
            </w:rPr>
          </w:pPr>
          <w:r>
            <w:rPr>
              <w:color w:val="auto"/>
              <w:sz w:val="36"/>
              <w:szCs w:val="36"/>
              <w:lang w:val="zh-CN"/>
            </w:rPr>
            <w:t>目录</w:t>
          </w:r>
        </w:p>
        <w:p w14:paraId="59E312CF">
          <w:pPr>
            <w:pStyle w:val="9"/>
            <w:tabs>
              <w:tab w:val="right" w:leader="dot" w:pos="8306"/>
            </w:tabs>
          </w:pPr>
          <w:r>
            <w:fldChar w:fldCharType="begin"/>
          </w:r>
          <w:r>
            <w:instrText xml:space="preserve"> TOC \o "1-3" \h \z \u </w:instrText>
          </w:r>
          <w:r>
            <w:fldChar w:fldCharType="separate"/>
          </w:r>
        </w:p>
        <w:p w14:paraId="69A82296">
          <w:pPr>
            <w:pStyle w:val="9"/>
            <w:tabs>
              <w:tab w:val="right" w:leader="dot" w:pos="8306"/>
            </w:tabs>
            <w:spacing w:line="400" w:lineRule="exact"/>
          </w:pPr>
          <w:r>
            <w:fldChar w:fldCharType="begin"/>
          </w:r>
          <w:r>
            <w:instrText xml:space="preserve"> HYPERLINK \l "_Toc10100" </w:instrText>
          </w:r>
          <w:r>
            <w:fldChar w:fldCharType="separate"/>
          </w:r>
          <w:r>
            <w:rPr>
              <w:rFonts w:hint="eastAsia" w:ascii="黑体" w:hAnsi="黑体" w:eastAsia="黑体"/>
              <w:szCs w:val="32"/>
            </w:rPr>
            <w:t>一、部门</w:t>
          </w:r>
          <w:r>
            <w:rPr>
              <w:rFonts w:hint="eastAsia" w:ascii="黑体" w:hAnsi="黑体" w:eastAsia="黑体"/>
              <w:szCs w:val="36"/>
            </w:rPr>
            <w:t>基本情况</w:t>
          </w:r>
          <w:r>
            <w:tab/>
          </w:r>
          <w:r>
            <w:fldChar w:fldCharType="begin"/>
          </w:r>
          <w:r>
            <w:instrText xml:space="preserve"> PAGEREF _Toc10100 \h </w:instrText>
          </w:r>
          <w:r>
            <w:fldChar w:fldCharType="separate"/>
          </w:r>
          <w:r>
            <w:t>1</w:t>
          </w:r>
          <w:r>
            <w:fldChar w:fldCharType="end"/>
          </w:r>
          <w:r>
            <w:fldChar w:fldCharType="end"/>
          </w:r>
        </w:p>
        <w:p w14:paraId="01BAC4BA">
          <w:pPr>
            <w:pStyle w:val="10"/>
            <w:tabs>
              <w:tab w:val="right" w:leader="dot" w:pos="8306"/>
            </w:tabs>
            <w:spacing w:line="400" w:lineRule="exact"/>
          </w:pPr>
          <w:r>
            <w:fldChar w:fldCharType="begin"/>
          </w:r>
          <w:r>
            <w:instrText xml:space="preserve"> HYPERLINK \l "_Toc9491" </w:instrText>
          </w:r>
          <w:r>
            <w:fldChar w:fldCharType="separate"/>
          </w:r>
          <w:r>
            <w:rPr>
              <w:rFonts w:hint="eastAsia" w:ascii="仿宋" w:hAnsi="仿宋" w:eastAsia="仿宋" w:cs="楷体_GB2312"/>
              <w:bCs/>
              <w:szCs w:val="32"/>
            </w:rPr>
            <w:t>（一）部门概况</w:t>
          </w:r>
          <w:r>
            <w:tab/>
          </w:r>
          <w:r>
            <w:fldChar w:fldCharType="begin"/>
          </w:r>
          <w:r>
            <w:instrText xml:space="preserve"> PAGEREF _Toc9491 \h </w:instrText>
          </w:r>
          <w:r>
            <w:fldChar w:fldCharType="separate"/>
          </w:r>
          <w:r>
            <w:t>1</w:t>
          </w:r>
          <w:r>
            <w:fldChar w:fldCharType="end"/>
          </w:r>
          <w:r>
            <w:fldChar w:fldCharType="end"/>
          </w:r>
        </w:p>
        <w:p w14:paraId="7A26FE68">
          <w:pPr>
            <w:pStyle w:val="5"/>
            <w:tabs>
              <w:tab w:val="right" w:leader="dot" w:pos="8306"/>
            </w:tabs>
            <w:spacing w:line="400" w:lineRule="exact"/>
          </w:pPr>
          <w:r>
            <w:fldChar w:fldCharType="begin"/>
          </w:r>
          <w:r>
            <w:instrText xml:space="preserve"> HYPERLINK \l "_Toc14799" </w:instrText>
          </w:r>
          <w:r>
            <w:fldChar w:fldCharType="separate"/>
          </w:r>
          <w:r>
            <w:rPr>
              <w:rFonts w:hint="eastAsia" w:ascii="仿宋_GB2312" w:eastAsia="仿宋_GB2312"/>
              <w:szCs w:val="32"/>
            </w:rPr>
            <w:t>1.部门职能</w:t>
          </w:r>
          <w:r>
            <w:tab/>
          </w:r>
          <w:r>
            <w:fldChar w:fldCharType="begin"/>
          </w:r>
          <w:r>
            <w:instrText xml:space="preserve"> PAGEREF _Toc14799 \h </w:instrText>
          </w:r>
          <w:r>
            <w:fldChar w:fldCharType="separate"/>
          </w:r>
          <w:r>
            <w:t>1</w:t>
          </w:r>
          <w:r>
            <w:fldChar w:fldCharType="end"/>
          </w:r>
          <w:r>
            <w:fldChar w:fldCharType="end"/>
          </w:r>
        </w:p>
        <w:p w14:paraId="7301194B">
          <w:pPr>
            <w:pStyle w:val="5"/>
            <w:tabs>
              <w:tab w:val="right" w:leader="dot" w:pos="8306"/>
            </w:tabs>
            <w:spacing w:line="400" w:lineRule="exact"/>
          </w:pPr>
          <w:r>
            <w:fldChar w:fldCharType="begin"/>
          </w:r>
          <w:r>
            <w:instrText xml:space="preserve"> HYPERLINK \l "_Toc3007" </w:instrText>
          </w:r>
          <w:r>
            <w:fldChar w:fldCharType="separate"/>
          </w:r>
          <w:r>
            <w:rPr>
              <w:rFonts w:hint="eastAsia" w:ascii="仿宋_GB2312" w:eastAsia="仿宋_GB2312"/>
              <w:szCs w:val="32"/>
            </w:rPr>
            <w:t>2.组织机构及人员、资产基本情况</w:t>
          </w:r>
          <w:r>
            <w:tab/>
          </w:r>
          <w:r>
            <w:fldChar w:fldCharType="begin"/>
          </w:r>
          <w:r>
            <w:instrText xml:space="preserve"> PAGEREF _Toc3007 \h </w:instrText>
          </w:r>
          <w:r>
            <w:fldChar w:fldCharType="separate"/>
          </w:r>
          <w:r>
            <w:t>2</w:t>
          </w:r>
          <w:r>
            <w:fldChar w:fldCharType="end"/>
          </w:r>
          <w:r>
            <w:fldChar w:fldCharType="end"/>
          </w:r>
        </w:p>
        <w:p w14:paraId="33E5402E">
          <w:pPr>
            <w:pStyle w:val="10"/>
            <w:tabs>
              <w:tab w:val="right" w:leader="dot" w:pos="8306"/>
            </w:tabs>
            <w:spacing w:line="400" w:lineRule="exact"/>
          </w:pPr>
          <w:r>
            <w:fldChar w:fldCharType="begin"/>
          </w:r>
          <w:r>
            <w:instrText xml:space="preserve"> HYPERLINK \l "_Toc31412" </w:instrText>
          </w:r>
          <w:r>
            <w:fldChar w:fldCharType="separate"/>
          </w:r>
          <w:r>
            <w:rPr>
              <w:rFonts w:hint="eastAsia" w:ascii="仿宋" w:hAnsi="仿宋" w:eastAsia="仿宋" w:cs="楷体_GB2312"/>
              <w:bCs/>
              <w:szCs w:val="32"/>
            </w:rPr>
            <w:t>（二）部门收支预决算情况</w:t>
          </w:r>
          <w:r>
            <w:tab/>
          </w:r>
          <w:r>
            <w:fldChar w:fldCharType="begin"/>
          </w:r>
          <w:r>
            <w:instrText xml:space="preserve"> PAGEREF _Toc31412 \h </w:instrText>
          </w:r>
          <w:r>
            <w:fldChar w:fldCharType="separate"/>
          </w:r>
          <w:r>
            <w:t>3</w:t>
          </w:r>
          <w:r>
            <w:fldChar w:fldCharType="end"/>
          </w:r>
          <w:r>
            <w:fldChar w:fldCharType="end"/>
          </w:r>
        </w:p>
        <w:p w14:paraId="2D059578">
          <w:pPr>
            <w:pStyle w:val="5"/>
            <w:tabs>
              <w:tab w:val="right" w:leader="dot" w:pos="8306"/>
            </w:tabs>
            <w:spacing w:line="400" w:lineRule="exact"/>
          </w:pPr>
          <w:r>
            <w:fldChar w:fldCharType="begin"/>
          </w:r>
          <w:r>
            <w:instrText xml:space="preserve"> HYPERLINK \l "_Toc32759" </w:instrText>
          </w:r>
          <w:r>
            <w:fldChar w:fldCharType="separate"/>
          </w:r>
          <w:r>
            <w:rPr>
              <w:rFonts w:hint="eastAsia" w:ascii="仿宋" w:hAnsi="仿宋" w:eastAsia="仿宋"/>
              <w:szCs w:val="32"/>
            </w:rPr>
            <w:t>1.预算安排情况</w:t>
          </w:r>
          <w:r>
            <w:tab/>
          </w:r>
          <w:r>
            <w:fldChar w:fldCharType="begin"/>
          </w:r>
          <w:r>
            <w:instrText xml:space="preserve"> PAGEREF _Toc32759 \h </w:instrText>
          </w:r>
          <w:r>
            <w:fldChar w:fldCharType="separate"/>
          </w:r>
          <w:r>
            <w:t>3</w:t>
          </w:r>
          <w:r>
            <w:fldChar w:fldCharType="end"/>
          </w:r>
          <w:r>
            <w:fldChar w:fldCharType="end"/>
          </w:r>
        </w:p>
        <w:p w14:paraId="3A52264C">
          <w:pPr>
            <w:pStyle w:val="5"/>
            <w:tabs>
              <w:tab w:val="right" w:leader="dot" w:pos="8306"/>
            </w:tabs>
            <w:spacing w:line="400" w:lineRule="exact"/>
          </w:pPr>
          <w:r>
            <w:fldChar w:fldCharType="begin"/>
          </w:r>
          <w:r>
            <w:instrText xml:space="preserve"> HYPERLINK \l "_Toc14462" </w:instrText>
          </w:r>
          <w:r>
            <w:fldChar w:fldCharType="separate"/>
          </w:r>
          <w:r>
            <w:rPr>
              <w:rFonts w:hint="eastAsia" w:ascii="仿宋" w:hAnsi="仿宋" w:eastAsia="仿宋"/>
              <w:szCs w:val="32"/>
            </w:rPr>
            <w:t>2.预算调整情况</w:t>
          </w:r>
          <w:r>
            <w:tab/>
          </w:r>
          <w:r>
            <w:fldChar w:fldCharType="begin"/>
          </w:r>
          <w:r>
            <w:instrText xml:space="preserve"> PAGEREF _Toc14462 \h </w:instrText>
          </w:r>
          <w:r>
            <w:fldChar w:fldCharType="separate"/>
          </w:r>
          <w:r>
            <w:t>3</w:t>
          </w:r>
          <w:r>
            <w:fldChar w:fldCharType="end"/>
          </w:r>
          <w:r>
            <w:fldChar w:fldCharType="end"/>
          </w:r>
        </w:p>
        <w:p w14:paraId="5446F338">
          <w:pPr>
            <w:pStyle w:val="5"/>
            <w:tabs>
              <w:tab w:val="right" w:leader="dot" w:pos="8306"/>
            </w:tabs>
            <w:spacing w:line="400" w:lineRule="exact"/>
          </w:pPr>
          <w:r>
            <w:fldChar w:fldCharType="begin"/>
          </w:r>
          <w:r>
            <w:instrText xml:space="preserve"> HYPERLINK \l "_Toc14823" </w:instrText>
          </w:r>
          <w:r>
            <w:fldChar w:fldCharType="separate"/>
          </w:r>
          <w:r>
            <w:rPr>
              <w:rFonts w:hint="eastAsia" w:ascii="仿宋" w:hAnsi="仿宋" w:eastAsia="仿宋"/>
              <w:szCs w:val="32"/>
            </w:rPr>
            <w:t>3.决算情况</w:t>
          </w:r>
          <w:r>
            <w:tab/>
          </w:r>
          <w:r>
            <w:fldChar w:fldCharType="begin"/>
          </w:r>
          <w:r>
            <w:instrText xml:space="preserve"> PAGEREF _Toc14823 \h </w:instrText>
          </w:r>
          <w:r>
            <w:fldChar w:fldCharType="separate"/>
          </w:r>
          <w:r>
            <w:t>3</w:t>
          </w:r>
          <w:r>
            <w:fldChar w:fldCharType="end"/>
          </w:r>
          <w:r>
            <w:fldChar w:fldCharType="end"/>
          </w:r>
        </w:p>
        <w:p w14:paraId="75ADEA15">
          <w:pPr>
            <w:pStyle w:val="10"/>
            <w:tabs>
              <w:tab w:val="right" w:leader="dot" w:pos="8306"/>
            </w:tabs>
            <w:spacing w:line="400" w:lineRule="exact"/>
          </w:pPr>
          <w:r>
            <w:fldChar w:fldCharType="begin"/>
          </w:r>
          <w:r>
            <w:instrText xml:space="preserve"> HYPERLINK \l "_Toc26845" </w:instrText>
          </w:r>
          <w:r>
            <w:fldChar w:fldCharType="separate"/>
          </w:r>
          <w:r>
            <w:rPr>
              <w:rFonts w:hint="eastAsia" w:ascii="仿宋" w:hAnsi="仿宋" w:eastAsia="仿宋" w:cs="楷体_GB2312"/>
              <w:bCs/>
              <w:szCs w:val="32"/>
            </w:rPr>
            <w:t>（三）部门整体支出绩效目标、指标</w:t>
          </w:r>
          <w:r>
            <w:tab/>
          </w:r>
          <w:r>
            <w:fldChar w:fldCharType="begin"/>
          </w:r>
          <w:r>
            <w:instrText xml:space="preserve"> PAGEREF _Toc26845 \h </w:instrText>
          </w:r>
          <w:r>
            <w:fldChar w:fldCharType="separate"/>
          </w:r>
          <w:r>
            <w:t>4</w:t>
          </w:r>
          <w:r>
            <w:fldChar w:fldCharType="end"/>
          </w:r>
          <w:r>
            <w:fldChar w:fldCharType="end"/>
          </w:r>
        </w:p>
        <w:p w14:paraId="4F1A86A2">
          <w:pPr>
            <w:pStyle w:val="5"/>
            <w:tabs>
              <w:tab w:val="right" w:leader="dot" w:pos="8306"/>
            </w:tabs>
            <w:spacing w:line="400" w:lineRule="exact"/>
          </w:pPr>
          <w:r>
            <w:fldChar w:fldCharType="begin"/>
          </w:r>
          <w:r>
            <w:instrText xml:space="preserve"> HYPERLINK \l "_Toc26070" </w:instrText>
          </w:r>
          <w:r>
            <w:fldChar w:fldCharType="separate"/>
          </w:r>
          <w:r>
            <w:rPr>
              <w:rFonts w:hint="eastAsia" w:ascii="仿宋" w:hAnsi="仿宋" w:eastAsia="仿宋"/>
              <w:szCs w:val="32"/>
            </w:rPr>
            <w:t>1.总体绩效目标</w:t>
          </w:r>
          <w:r>
            <w:tab/>
          </w:r>
          <w:r>
            <w:fldChar w:fldCharType="begin"/>
          </w:r>
          <w:r>
            <w:instrText xml:space="preserve"> PAGEREF _Toc26070 \h </w:instrText>
          </w:r>
          <w:r>
            <w:fldChar w:fldCharType="separate"/>
          </w:r>
          <w:r>
            <w:t>4</w:t>
          </w:r>
          <w:r>
            <w:fldChar w:fldCharType="end"/>
          </w:r>
          <w:r>
            <w:fldChar w:fldCharType="end"/>
          </w:r>
        </w:p>
        <w:p w14:paraId="06F59737">
          <w:pPr>
            <w:pStyle w:val="5"/>
            <w:tabs>
              <w:tab w:val="right" w:leader="dot" w:pos="8306"/>
            </w:tabs>
            <w:spacing w:line="400" w:lineRule="exact"/>
          </w:pPr>
          <w:r>
            <w:fldChar w:fldCharType="begin"/>
          </w:r>
          <w:r>
            <w:instrText xml:space="preserve"> HYPERLINK \l "_Toc9997" </w:instrText>
          </w:r>
          <w:r>
            <w:fldChar w:fldCharType="separate"/>
          </w:r>
          <w:r>
            <w:rPr>
              <w:rFonts w:hint="eastAsia" w:ascii="仿宋" w:hAnsi="仿宋" w:eastAsia="仿宋"/>
              <w:szCs w:val="32"/>
            </w:rPr>
            <w:t>2.分项绩效目标</w:t>
          </w:r>
          <w:r>
            <w:tab/>
          </w:r>
          <w:r>
            <w:fldChar w:fldCharType="begin"/>
          </w:r>
          <w:r>
            <w:instrText xml:space="preserve"> PAGEREF _Toc9997 \h </w:instrText>
          </w:r>
          <w:r>
            <w:fldChar w:fldCharType="separate"/>
          </w:r>
          <w:r>
            <w:t>4</w:t>
          </w:r>
          <w:r>
            <w:fldChar w:fldCharType="end"/>
          </w:r>
          <w:r>
            <w:fldChar w:fldCharType="end"/>
          </w:r>
        </w:p>
        <w:p w14:paraId="6FA02300">
          <w:pPr>
            <w:pStyle w:val="9"/>
            <w:tabs>
              <w:tab w:val="right" w:leader="dot" w:pos="8306"/>
            </w:tabs>
            <w:spacing w:line="400" w:lineRule="exact"/>
          </w:pPr>
          <w:r>
            <w:fldChar w:fldCharType="begin"/>
          </w:r>
          <w:r>
            <w:instrText xml:space="preserve"> HYPERLINK \l "_Toc31215" </w:instrText>
          </w:r>
          <w:r>
            <w:fldChar w:fldCharType="separate"/>
          </w:r>
          <w:r>
            <w:rPr>
              <w:rFonts w:hint="eastAsia" w:ascii="黑体" w:hAnsi="黑体" w:eastAsia="黑体"/>
              <w:szCs w:val="32"/>
            </w:rPr>
            <w:t>二、自评工作开展情况</w:t>
          </w:r>
          <w:r>
            <w:tab/>
          </w:r>
          <w:r>
            <w:fldChar w:fldCharType="begin"/>
          </w:r>
          <w:r>
            <w:instrText xml:space="preserve"> PAGEREF _Toc31215 \h </w:instrText>
          </w:r>
          <w:r>
            <w:fldChar w:fldCharType="separate"/>
          </w:r>
          <w:r>
            <w:t>5</w:t>
          </w:r>
          <w:r>
            <w:fldChar w:fldCharType="end"/>
          </w:r>
          <w:r>
            <w:fldChar w:fldCharType="end"/>
          </w:r>
        </w:p>
        <w:p w14:paraId="027ECD43">
          <w:pPr>
            <w:pStyle w:val="10"/>
            <w:tabs>
              <w:tab w:val="right" w:leader="dot" w:pos="8306"/>
            </w:tabs>
            <w:spacing w:line="400" w:lineRule="exact"/>
          </w:pPr>
          <w:r>
            <w:fldChar w:fldCharType="begin"/>
          </w:r>
          <w:r>
            <w:instrText xml:space="preserve"> HYPERLINK \l "_Toc16612" </w:instrText>
          </w:r>
          <w:r>
            <w:fldChar w:fldCharType="separate"/>
          </w:r>
          <w:r>
            <w:rPr>
              <w:rFonts w:hint="eastAsia" w:ascii="仿宋" w:hAnsi="仿宋" w:eastAsia="仿宋" w:cs="楷体_GB2312"/>
              <w:bCs/>
              <w:szCs w:val="32"/>
            </w:rPr>
            <w:t>（一）自评的组织工作</w:t>
          </w:r>
          <w:r>
            <w:tab/>
          </w:r>
          <w:r>
            <w:fldChar w:fldCharType="begin"/>
          </w:r>
          <w:r>
            <w:instrText xml:space="preserve"> PAGEREF _Toc16612 \h </w:instrText>
          </w:r>
          <w:r>
            <w:fldChar w:fldCharType="separate"/>
          </w:r>
          <w:r>
            <w:t>9</w:t>
          </w:r>
          <w:r>
            <w:fldChar w:fldCharType="end"/>
          </w:r>
          <w:r>
            <w:fldChar w:fldCharType="end"/>
          </w:r>
        </w:p>
        <w:p w14:paraId="0DDBFE9C">
          <w:pPr>
            <w:pStyle w:val="10"/>
            <w:tabs>
              <w:tab w:val="right" w:leader="dot" w:pos="8306"/>
            </w:tabs>
            <w:spacing w:line="400" w:lineRule="exact"/>
          </w:pPr>
          <w:r>
            <w:fldChar w:fldCharType="begin"/>
          </w:r>
          <w:r>
            <w:instrText xml:space="preserve"> HYPERLINK \l "_Toc25509" </w:instrText>
          </w:r>
          <w:r>
            <w:fldChar w:fldCharType="separate"/>
          </w:r>
          <w:r>
            <w:rPr>
              <w:rFonts w:hint="eastAsia" w:ascii="仿宋" w:hAnsi="仿宋" w:eastAsia="仿宋" w:cs="楷体_GB2312"/>
              <w:bCs/>
              <w:szCs w:val="32"/>
            </w:rPr>
            <w:t>（二）自评的方法和过程</w:t>
          </w:r>
          <w:r>
            <w:tab/>
          </w:r>
          <w:r>
            <w:fldChar w:fldCharType="begin"/>
          </w:r>
          <w:r>
            <w:instrText xml:space="preserve"> PAGEREF _Toc25509 \h </w:instrText>
          </w:r>
          <w:r>
            <w:fldChar w:fldCharType="separate"/>
          </w:r>
          <w:r>
            <w:t>9</w:t>
          </w:r>
          <w:r>
            <w:fldChar w:fldCharType="end"/>
          </w:r>
          <w:r>
            <w:fldChar w:fldCharType="end"/>
          </w:r>
        </w:p>
        <w:p w14:paraId="661D1AFB">
          <w:pPr>
            <w:pStyle w:val="9"/>
            <w:tabs>
              <w:tab w:val="right" w:leader="dot" w:pos="8306"/>
            </w:tabs>
            <w:spacing w:line="400" w:lineRule="exact"/>
          </w:pPr>
          <w:r>
            <w:fldChar w:fldCharType="begin"/>
          </w:r>
          <w:r>
            <w:instrText xml:space="preserve"> HYPERLINK \l "_Toc12595" </w:instrText>
          </w:r>
          <w:r>
            <w:fldChar w:fldCharType="separate"/>
          </w:r>
          <w:r>
            <w:rPr>
              <w:rFonts w:hint="eastAsia" w:ascii="黑体" w:hAnsi="黑体" w:eastAsia="黑体"/>
              <w:szCs w:val="32"/>
            </w:rPr>
            <w:t>三、部门整体支出绩效目标实现情况及指标分析</w:t>
          </w:r>
          <w:r>
            <w:tab/>
          </w:r>
          <w:r>
            <w:fldChar w:fldCharType="begin"/>
          </w:r>
          <w:r>
            <w:instrText xml:space="preserve"> PAGEREF _Toc12595 \h </w:instrText>
          </w:r>
          <w:r>
            <w:fldChar w:fldCharType="separate"/>
          </w:r>
          <w:r>
            <w:t>9</w:t>
          </w:r>
          <w:r>
            <w:fldChar w:fldCharType="end"/>
          </w:r>
          <w:r>
            <w:fldChar w:fldCharType="end"/>
          </w:r>
        </w:p>
        <w:p w14:paraId="19E1FCE5">
          <w:pPr>
            <w:pStyle w:val="10"/>
            <w:tabs>
              <w:tab w:val="right" w:leader="dot" w:pos="8306"/>
            </w:tabs>
            <w:spacing w:line="400" w:lineRule="exact"/>
          </w:pPr>
          <w:r>
            <w:fldChar w:fldCharType="begin"/>
          </w:r>
          <w:r>
            <w:instrText xml:space="preserve"> HYPERLINK \l "_Toc4357" </w:instrText>
          </w:r>
          <w:r>
            <w:fldChar w:fldCharType="separate"/>
          </w:r>
          <w:r>
            <w:rPr>
              <w:rFonts w:ascii="仿宋" w:hAnsi="仿宋" w:eastAsia="仿宋" w:cs="楷体_GB2312"/>
              <w:bCs/>
              <w:szCs w:val="32"/>
            </w:rPr>
            <w:t>（一）</w:t>
          </w:r>
          <w:r>
            <w:rPr>
              <w:rFonts w:hint="eastAsia" w:ascii="仿宋" w:hAnsi="仿宋" w:eastAsia="仿宋" w:cs="楷体_GB2312"/>
              <w:bCs/>
              <w:szCs w:val="32"/>
            </w:rPr>
            <w:t>总体绩效目标实现情况</w:t>
          </w:r>
          <w:r>
            <w:tab/>
          </w:r>
          <w:r>
            <w:fldChar w:fldCharType="begin"/>
          </w:r>
          <w:r>
            <w:instrText xml:space="preserve"> PAGEREF _Toc4357 \h </w:instrText>
          </w:r>
          <w:r>
            <w:fldChar w:fldCharType="separate"/>
          </w:r>
          <w:r>
            <w:t>9</w:t>
          </w:r>
          <w:r>
            <w:fldChar w:fldCharType="end"/>
          </w:r>
          <w:r>
            <w:fldChar w:fldCharType="end"/>
          </w:r>
        </w:p>
        <w:p w14:paraId="135D5E41">
          <w:pPr>
            <w:pStyle w:val="10"/>
            <w:tabs>
              <w:tab w:val="right" w:leader="dot" w:pos="8306"/>
            </w:tabs>
            <w:spacing w:line="400" w:lineRule="exact"/>
          </w:pPr>
          <w:r>
            <w:fldChar w:fldCharType="begin"/>
          </w:r>
          <w:r>
            <w:instrText xml:space="preserve"> HYPERLINK \l "_Toc6733" </w:instrText>
          </w:r>
          <w:r>
            <w:fldChar w:fldCharType="separate"/>
          </w:r>
          <w:r>
            <w:rPr>
              <w:rFonts w:hint="eastAsia" w:ascii="仿宋" w:hAnsi="仿宋" w:eastAsia="仿宋" w:cs="楷体_GB2312"/>
              <w:bCs/>
              <w:szCs w:val="32"/>
            </w:rPr>
            <w:t>（二）分项绩效目标实现情况及指标分析</w:t>
          </w:r>
          <w:r>
            <w:tab/>
          </w:r>
          <w:r>
            <w:fldChar w:fldCharType="begin"/>
          </w:r>
          <w:r>
            <w:instrText xml:space="preserve"> PAGEREF _Toc6733 \h </w:instrText>
          </w:r>
          <w:r>
            <w:fldChar w:fldCharType="separate"/>
          </w:r>
          <w:r>
            <w:t>10</w:t>
          </w:r>
          <w:r>
            <w:fldChar w:fldCharType="end"/>
          </w:r>
          <w:r>
            <w:fldChar w:fldCharType="end"/>
          </w:r>
        </w:p>
        <w:p w14:paraId="78B8C792">
          <w:pPr>
            <w:pStyle w:val="9"/>
            <w:tabs>
              <w:tab w:val="right" w:leader="dot" w:pos="8306"/>
            </w:tabs>
            <w:spacing w:line="400" w:lineRule="exact"/>
          </w:pPr>
          <w:r>
            <w:fldChar w:fldCharType="begin"/>
          </w:r>
          <w:r>
            <w:instrText xml:space="preserve"> HYPERLINK \l "_Toc15783" </w:instrText>
          </w:r>
          <w:r>
            <w:fldChar w:fldCharType="separate"/>
          </w:r>
          <w:r>
            <w:rPr>
              <w:rFonts w:hint="eastAsia" w:ascii="黑体" w:hAnsi="黑体" w:eastAsia="黑体"/>
              <w:szCs w:val="32"/>
            </w:rPr>
            <w:t>四、评价结论和评价等级</w:t>
          </w:r>
          <w:r>
            <w:tab/>
          </w:r>
          <w:r>
            <w:fldChar w:fldCharType="begin"/>
          </w:r>
          <w:r>
            <w:instrText xml:space="preserve"> PAGEREF _Toc15783 \h </w:instrText>
          </w:r>
          <w:r>
            <w:fldChar w:fldCharType="separate"/>
          </w:r>
          <w:r>
            <w:t>12</w:t>
          </w:r>
          <w:r>
            <w:fldChar w:fldCharType="end"/>
          </w:r>
          <w:r>
            <w:fldChar w:fldCharType="end"/>
          </w:r>
        </w:p>
        <w:p w14:paraId="12A8BC5D">
          <w:pPr>
            <w:pStyle w:val="9"/>
            <w:tabs>
              <w:tab w:val="right" w:leader="dot" w:pos="8306"/>
            </w:tabs>
            <w:spacing w:line="400" w:lineRule="exact"/>
          </w:pPr>
          <w:r>
            <w:fldChar w:fldCharType="begin"/>
          </w:r>
          <w:r>
            <w:instrText xml:space="preserve"> HYPERLINK \l "_Toc10679" </w:instrText>
          </w:r>
          <w:r>
            <w:fldChar w:fldCharType="separate"/>
          </w:r>
          <w:r>
            <w:rPr>
              <w:rFonts w:hint="eastAsia" w:ascii="黑体" w:hAnsi="黑体" w:eastAsia="黑体"/>
              <w:szCs w:val="32"/>
            </w:rPr>
            <w:t>五、存在的问题及改进措施</w:t>
          </w:r>
          <w:r>
            <w:tab/>
          </w:r>
          <w:r>
            <w:fldChar w:fldCharType="begin"/>
          </w:r>
          <w:r>
            <w:instrText xml:space="preserve"> PAGEREF _Toc10679 \h </w:instrText>
          </w:r>
          <w:r>
            <w:fldChar w:fldCharType="separate"/>
          </w:r>
          <w:r>
            <w:t>12</w:t>
          </w:r>
          <w:r>
            <w:fldChar w:fldCharType="end"/>
          </w:r>
          <w:r>
            <w:fldChar w:fldCharType="end"/>
          </w:r>
        </w:p>
        <w:p w14:paraId="642135A5">
          <w:pPr>
            <w:pStyle w:val="10"/>
            <w:tabs>
              <w:tab w:val="right" w:leader="dot" w:pos="8306"/>
            </w:tabs>
            <w:spacing w:line="400" w:lineRule="exact"/>
          </w:pPr>
          <w:r>
            <w:fldChar w:fldCharType="begin"/>
          </w:r>
          <w:r>
            <w:instrText xml:space="preserve"> HYPERLINK \l "_Toc26658" </w:instrText>
          </w:r>
          <w:r>
            <w:fldChar w:fldCharType="separate"/>
          </w:r>
          <w:r>
            <w:rPr>
              <w:rFonts w:hint="eastAsia" w:ascii="仿宋" w:hAnsi="仿宋" w:eastAsia="仿宋"/>
              <w:bCs/>
              <w:szCs w:val="32"/>
            </w:rPr>
            <w:t>（一）存在的主要问题</w:t>
          </w:r>
          <w:r>
            <w:tab/>
          </w:r>
          <w:r>
            <w:fldChar w:fldCharType="begin"/>
          </w:r>
          <w:r>
            <w:instrText xml:space="preserve"> PAGEREF _Toc26658 \h </w:instrText>
          </w:r>
          <w:r>
            <w:fldChar w:fldCharType="separate"/>
          </w:r>
          <w:r>
            <w:t>12</w:t>
          </w:r>
          <w:r>
            <w:fldChar w:fldCharType="end"/>
          </w:r>
          <w:r>
            <w:fldChar w:fldCharType="end"/>
          </w:r>
        </w:p>
        <w:p w14:paraId="4FE8F9C1">
          <w:pPr>
            <w:pStyle w:val="10"/>
            <w:tabs>
              <w:tab w:val="right" w:leader="dot" w:pos="8306"/>
            </w:tabs>
            <w:spacing w:line="400" w:lineRule="exact"/>
          </w:pPr>
          <w:r>
            <w:fldChar w:fldCharType="begin"/>
          </w:r>
          <w:r>
            <w:instrText xml:space="preserve"> HYPERLINK \l "_Toc22082" </w:instrText>
          </w:r>
          <w:r>
            <w:fldChar w:fldCharType="separate"/>
          </w:r>
          <w:r>
            <w:rPr>
              <w:rFonts w:hint="eastAsia" w:ascii="仿宋" w:hAnsi="仿宋" w:eastAsia="仿宋"/>
              <w:bCs/>
              <w:szCs w:val="32"/>
            </w:rPr>
            <w:t>（二）针对问题提出具体的改进措施或建议</w:t>
          </w:r>
          <w:r>
            <w:tab/>
          </w:r>
          <w:r>
            <w:fldChar w:fldCharType="begin"/>
          </w:r>
          <w:r>
            <w:instrText xml:space="preserve"> PAGEREF _Toc22082 \h </w:instrText>
          </w:r>
          <w:r>
            <w:fldChar w:fldCharType="separate"/>
          </w:r>
          <w:r>
            <w:t>12</w:t>
          </w:r>
          <w:r>
            <w:fldChar w:fldCharType="end"/>
          </w:r>
          <w:r>
            <w:fldChar w:fldCharType="end"/>
          </w:r>
        </w:p>
        <w:p w14:paraId="5637E7D6">
          <w:pPr>
            <w:pStyle w:val="9"/>
            <w:tabs>
              <w:tab w:val="right" w:leader="dot" w:pos="8306"/>
            </w:tabs>
            <w:spacing w:line="400" w:lineRule="exact"/>
          </w:pPr>
          <w:r>
            <w:fldChar w:fldCharType="begin"/>
          </w:r>
          <w:r>
            <w:instrText xml:space="preserve"> HYPERLINK \l "_Toc15408" </w:instrText>
          </w:r>
          <w:r>
            <w:fldChar w:fldCharType="separate"/>
          </w:r>
          <w:r>
            <w:rPr>
              <w:rFonts w:hint="eastAsia" w:ascii="黑体" w:hAnsi="黑体" w:eastAsia="黑体"/>
              <w:szCs w:val="32"/>
            </w:rPr>
            <w:t>六、评价工作组人员名单及签字（姓名、工作单位、职务、职称）</w:t>
          </w:r>
          <w:r>
            <w:tab/>
          </w:r>
          <w:r>
            <w:fldChar w:fldCharType="begin"/>
          </w:r>
          <w:r>
            <w:instrText xml:space="preserve"> PAGEREF _Toc15408 \h </w:instrText>
          </w:r>
          <w:r>
            <w:fldChar w:fldCharType="separate"/>
          </w:r>
          <w:r>
            <w:t>13</w:t>
          </w:r>
          <w:r>
            <w:fldChar w:fldCharType="end"/>
          </w:r>
          <w:r>
            <w:fldChar w:fldCharType="end"/>
          </w:r>
        </w:p>
        <w:p w14:paraId="45241E97">
          <w:pPr>
            <w:rPr>
              <w:rFonts w:ascii="宋体" w:hAnsi="宋体" w:cs="宋体"/>
              <w:b/>
              <w:bCs/>
              <w:sz w:val="44"/>
              <w:szCs w:val="44"/>
            </w:rPr>
            <w:sectPr>
              <w:pgSz w:w="11906" w:h="16838"/>
              <w:pgMar w:top="1440" w:right="1800" w:bottom="1440" w:left="1800" w:header="851" w:footer="992" w:gutter="0"/>
              <w:pgNumType w:fmt="numberInDash"/>
              <w:cols w:space="720" w:num="1"/>
              <w:docGrid w:type="lines" w:linePitch="312" w:charSpace="0"/>
            </w:sectPr>
          </w:pPr>
          <w:r>
            <w:rPr>
              <w:bCs/>
            </w:rPr>
            <w:fldChar w:fldCharType="end"/>
          </w:r>
        </w:p>
      </w:sdtContent>
    </w:sdt>
    <w:p w14:paraId="6E5328D4">
      <w:pPr>
        <w:spacing w:line="360" w:lineRule="auto"/>
        <w:rPr>
          <w:rFonts w:ascii="宋体" w:hAnsi="宋体" w:cs="宋体"/>
          <w:b/>
          <w:bCs/>
          <w:sz w:val="44"/>
          <w:szCs w:val="44"/>
        </w:rPr>
      </w:pPr>
    </w:p>
    <w:p w14:paraId="2A743787">
      <w:pPr>
        <w:spacing w:line="560" w:lineRule="exact"/>
        <w:jc w:val="center"/>
        <w:rPr>
          <w:rFonts w:ascii="宋体" w:hAnsi="宋体" w:cs="宋体"/>
          <w:b/>
          <w:bCs/>
          <w:sz w:val="44"/>
          <w:szCs w:val="44"/>
        </w:rPr>
      </w:pPr>
      <w:r>
        <w:rPr>
          <w:rFonts w:hint="eastAsia" w:ascii="宋体" w:hAnsi="宋体" w:cs="宋体"/>
          <w:b/>
          <w:bCs/>
          <w:sz w:val="44"/>
          <w:szCs w:val="44"/>
        </w:rPr>
        <w:t>石家庄住房公积金管理中心              2022年度整体支出绩效自评报告</w:t>
      </w:r>
    </w:p>
    <w:p w14:paraId="023EF565">
      <w:pPr>
        <w:adjustRightInd w:val="0"/>
        <w:snapToGrid w:val="0"/>
        <w:spacing w:line="560" w:lineRule="exact"/>
        <w:ind w:firstLine="640" w:firstLineChars="200"/>
        <w:rPr>
          <w:rFonts w:ascii="宋体" w:hAnsi="宋体" w:eastAsia="仿宋" w:cs="宋体"/>
          <w:sz w:val="32"/>
          <w:szCs w:val="32"/>
        </w:rPr>
      </w:pPr>
    </w:p>
    <w:p w14:paraId="34C500FF">
      <w:pPr>
        <w:adjustRightInd w:val="0"/>
        <w:snapToGrid w:val="0"/>
        <w:spacing w:line="360" w:lineRule="auto"/>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w:t>
      </w:r>
      <w:r>
        <w:rPr>
          <w:rFonts w:hint="eastAsia" w:ascii="仿宋_GB2312" w:eastAsia="仿宋_GB2312"/>
          <w:sz w:val="32"/>
          <w:szCs w:val="32"/>
        </w:rPr>
        <w:t>〔</w:t>
      </w:r>
      <w:r>
        <w:rPr>
          <w:rFonts w:hint="eastAsia" w:ascii="仿宋" w:hAnsi="仿宋" w:eastAsia="仿宋"/>
          <w:sz w:val="32"/>
          <w:szCs w:val="32"/>
        </w:rPr>
        <w:t>2019</w:t>
      </w:r>
      <w:r>
        <w:rPr>
          <w:rFonts w:hint="eastAsia" w:ascii="仿宋_GB2312" w:eastAsia="仿宋_GB2312"/>
          <w:sz w:val="32"/>
          <w:szCs w:val="32"/>
        </w:rPr>
        <w:t>〕</w:t>
      </w:r>
      <w:r>
        <w:rPr>
          <w:rFonts w:hint="eastAsia" w:ascii="仿宋" w:hAnsi="仿宋" w:eastAsia="仿宋"/>
          <w:sz w:val="32"/>
          <w:szCs w:val="32"/>
        </w:rPr>
        <w:t>8号）文件精神，遵循“科学性、规范性、客观性和公正性”的原则，对石家庄住房公积金管理中心</w:t>
      </w:r>
      <w:r>
        <w:rPr>
          <w:rFonts w:hint="eastAsia" w:ascii="仿宋_GB2312" w:eastAsia="仿宋_GB2312"/>
          <w:sz w:val="32"/>
          <w:szCs w:val="32"/>
        </w:rPr>
        <w:t>（以下简称“公积金中心”）</w:t>
      </w:r>
      <w:r>
        <w:rPr>
          <w:rFonts w:hint="eastAsia" w:ascii="仿宋" w:hAnsi="仿宋" w:eastAsia="仿宋"/>
          <w:sz w:val="32"/>
          <w:szCs w:val="32"/>
        </w:rPr>
        <w:t>2022年整体支出情况实施了财政支出绩效评价，形成本评价报告。</w:t>
      </w:r>
    </w:p>
    <w:p w14:paraId="298A2AB4">
      <w:pPr>
        <w:adjustRightInd w:val="0"/>
        <w:snapToGrid w:val="0"/>
        <w:spacing w:line="360" w:lineRule="auto"/>
        <w:outlineLvl w:val="0"/>
        <w:rPr>
          <w:rFonts w:ascii="黑体" w:hAnsi="黑体" w:eastAsia="黑体"/>
          <w:b/>
          <w:bCs/>
          <w:sz w:val="32"/>
          <w:szCs w:val="36"/>
        </w:rPr>
      </w:pPr>
      <w:bookmarkStart w:id="0" w:name="_Toc10100"/>
      <w:bookmarkStart w:id="1" w:name="_Toc27559"/>
      <w:r>
        <w:rPr>
          <w:rFonts w:hint="eastAsia" w:ascii="黑体" w:hAnsi="黑体" w:eastAsia="黑体"/>
          <w:sz w:val="32"/>
          <w:szCs w:val="32"/>
        </w:rPr>
        <w:t>一、部门</w:t>
      </w:r>
      <w:r>
        <w:rPr>
          <w:rFonts w:hint="eastAsia" w:ascii="黑体" w:hAnsi="黑体" w:eastAsia="黑体"/>
          <w:sz w:val="32"/>
          <w:szCs w:val="36"/>
        </w:rPr>
        <w:t>基本情况</w:t>
      </w:r>
      <w:bookmarkEnd w:id="0"/>
      <w:bookmarkEnd w:id="1"/>
    </w:p>
    <w:p w14:paraId="321C250E">
      <w:pPr>
        <w:adjustRightInd w:val="0"/>
        <w:snapToGrid w:val="0"/>
        <w:spacing w:line="360" w:lineRule="auto"/>
        <w:ind w:firstLine="643" w:firstLineChars="200"/>
        <w:outlineLvl w:val="1"/>
        <w:rPr>
          <w:rFonts w:ascii="仿宋" w:hAnsi="仿宋" w:eastAsia="仿宋" w:cs="楷体_GB2312"/>
          <w:b/>
          <w:bCs/>
          <w:sz w:val="32"/>
          <w:szCs w:val="32"/>
        </w:rPr>
      </w:pPr>
      <w:bookmarkStart w:id="2" w:name="_Toc9491"/>
      <w:bookmarkStart w:id="3" w:name="_Toc16631"/>
      <w:r>
        <w:rPr>
          <w:rFonts w:hint="eastAsia" w:ascii="仿宋" w:hAnsi="仿宋" w:eastAsia="仿宋" w:cs="楷体_GB2312"/>
          <w:b/>
          <w:bCs/>
          <w:sz w:val="32"/>
          <w:szCs w:val="32"/>
        </w:rPr>
        <w:t>（一）部门概况</w:t>
      </w:r>
      <w:bookmarkEnd w:id="2"/>
      <w:bookmarkEnd w:id="3"/>
    </w:p>
    <w:p w14:paraId="44858CA8">
      <w:pPr>
        <w:adjustRightInd w:val="0"/>
        <w:snapToGrid w:val="0"/>
        <w:spacing w:line="360" w:lineRule="auto"/>
        <w:ind w:firstLine="643" w:firstLineChars="200"/>
        <w:outlineLvl w:val="2"/>
        <w:rPr>
          <w:rFonts w:ascii="仿宋_GB2312" w:eastAsia="仿宋_GB2312"/>
          <w:b/>
          <w:sz w:val="32"/>
          <w:szCs w:val="32"/>
        </w:rPr>
      </w:pPr>
      <w:bookmarkStart w:id="4" w:name="_Toc14799"/>
      <w:bookmarkStart w:id="5" w:name="_Toc8001"/>
      <w:r>
        <w:rPr>
          <w:rFonts w:hint="eastAsia" w:ascii="仿宋_GB2312" w:eastAsia="仿宋_GB2312"/>
          <w:b/>
          <w:sz w:val="32"/>
          <w:szCs w:val="32"/>
        </w:rPr>
        <w:t>1.部门职能</w:t>
      </w:r>
      <w:bookmarkEnd w:id="4"/>
      <w:bookmarkEnd w:id="5"/>
    </w:p>
    <w:p w14:paraId="75ABCEE4">
      <w:pPr>
        <w:adjustRightInd w:val="0"/>
        <w:snapToGrid w:val="0"/>
        <w:spacing w:line="360" w:lineRule="auto"/>
        <w:ind w:firstLine="640" w:firstLineChars="200"/>
        <w:rPr>
          <w:rFonts w:ascii="仿宋" w:hAnsi="仿宋" w:eastAsia="仿宋"/>
          <w:sz w:val="32"/>
          <w:szCs w:val="32"/>
        </w:rPr>
      </w:pPr>
      <w:r>
        <w:rPr>
          <w:rFonts w:hint="eastAsia" w:ascii="仿宋" w:hAnsi="仿宋" w:eastAsia="仿宋"/>
          <w:sz w:val="32"/>
          <w:szCs w:val="32"/>
        </w:rPr>
        <w:t>（1）编制、执行住房公积金的归集、使用计划。归集计划包括住房公积金的覆盖面、缴存基数、缴存比例、归集总额及归集措施等。使用计划包括公积金提取额、发放贷款额、风险准备金提取额及使用办法等。</w:t>
      </w:r>
    </w:p>
    <w:p w14:paraId="5099B91D">
      <w:pPr>
        <w:adjustRightInd w:val="0"/>
        <w:snapToGrid w:val="0"/>
        <w:spacing w:line="360" w:lineRule="auto"/>
        <w:ind w:firstLine="640" w:firstLineChars="200"/>
        <w:rPr>
          <w:rFonts w:ascii="仿宋" w:hAnsi="仿宋" w:eastAsia="仿宋"/>
          <w:sz w:val="32"/>
          <w:szCs w:val="32"/>
        </w:rPr>
      </w:pPr>
      <w:r>
        <w:rPr>
          <w:rFonts w:hint="eastAsia" w:ascii="仿宋" w:hAnsi="仿宋" w:eastAsia="仿宋"/>
          <w:sz w:val="32"/>
          <w:szCs w:val="32"/>
        </w:rPr>
        <w:t>（2）负责记载职工住房公积金的缴存、支取、使用等情况。真实、及时记载住房公积金缴存、提取、使用，准确掌握职工个人住房公积金账户内的资金数额和变动状况，并和委托银行定期对账。</w:t>
      </w:r>
    </w:p>
    <w:p w14:paraId="237C8BDB">
      <w:pPr>
        <w:adjustRightInd w:val="0"/>
        <w:snapToGrid w:val="0"/>
        <w:spacing w:line="360" w:lineRule="auto"/>
        <w:ind w:firstLine="640" w:firstLineChars="200"/>
        <w:rPr>
          <w:rFonts w:ascii="仿宋" w:hAnsi="仿宋" w:eastAsia="仿宋"/>
          <w:sz w:val="32"/>
          <w:szCs w:val="32"/>
        </w:rPr>
      </w:pPr>
      <w:r>
        <w:rPr>
          <w:rFonts w:hint="eastAsia" w:ascii="仿宋" w:hAnsi="仿宋" w:eastAsia="仿宋"/>
          <w:sz w:val="32"/>
          <w:szCs w:val="32"/>
        </w:rPr>
        <w:t>（3）负责住房公积金的核算。真实、全面、准确、及时地建立公积金的总账与职工公积金明细账，建立完整的财务管理制度，并对公积金资金管理的过程进行资产管理、会计核算。</w:t>
      </w:r>
    </w:p>
    <w:p w14:paraId="794C792A">
      <w:pPr>
        <w:adjustRightInd w:val="0"/>
        <w:snapToGrid w:val="0"/>
        <w:spacing w:line="360" w:lineRule="auto"/>
        <w:ind w:firstLine="640" w:firstLineChars="200"/>
        <w:rPr>
          <w:rFonts w:ascii="仿宋" w:hAnsi="仿宋" w:eastAsia="仿宋"/>
          <w:sz w:val="32"/>
          <w:szCs w:val="32"/>
        </w:rPr>
      </w:pPr>
      <w:r>
        <w:rPr>
          <w:rFonts w:hint="eastAsia" w:ascii="仿宋" w:hAnsi="仿宋" w:eastAsia="仿宋"/>
          <w:sz w:val="32"/>
          <w:szCs w:val="32"/>
        </w:rPr>
        <w:t>（4）审批住房公积金的提取、使用。缴存职工是否符合提取或申请住房公积金贷款条件，可以提取余额多少、贷款额度多少等问题，都需要由住房公积金管理中心审批，职工根据住房公积金管理中心的审批结果到受托银行办理公积金提取、贷款手续。</w:t>
      </w:r>
    </w:p>
    <w:p w14:paraId="62D8358F">
      <w:pPr>
        <w:adjustRightInd w:val="0"/>
        <w:snapToGrid w:val="0"/>
        <w:spacing w:line="360" w:lineRule="auto"/>
        <w:ind w:firstLine="640" w:firstLineChars="200"/>
        <w:rPr>
          <w:rFonts w:ascii="仿宋" w:hAnsi="仿宋" w:eastAsia="仿宋"/>
          <w:sz w:val="32"/>
          <w:szCs w:val="32"/>
        </w:rPr>
      </w:pPr>
      <w:r>
        <w:rPr>
          <w:rFonts w:hint="eastAsia" w:ascii="仿宋" w:hAnsi="仿宋" w:eastAsia="仿宋"/>
          <w:sz w:val="32"/>
          <w:szCs w:val="32"/>
        </w:rPr>
        <w:t>（5）负责住房公积金的保值和归还。住房公积金中心在发展个人购房消费贷款的同时，应按规定对归集的住房公积金进行保值投资。在保证提取和贷款的前提下，可以将住房公积金用于购买国债投资，并用部分增值收益建立贷款风险准备金。</w:t>
      </w:r>
    </w:p>
    <w:p w14:paraId="0D35341A">
      <w:pPr>
        <w:adjustRightInd w:val="0"/>
        <w:snapToGrid w:val="0"/>
        <w:spacing w:line="360" w:lineRule="auto"/>
        <w:ind w:firstLine="640" w:firstLineChars="200"/>
        <w:rPr>
          <w:rFonts w:ascii="仿宋" w:hAnsi="仿宋" w:eastAsia="仿宋"/>
          <w:sz w:val="32"/>
          <w:szCs w:val="32"/>
        </w:rPr>
      </w:pPr>
      <w:r>
        <w:rPr>
          <w:rFonts w:hint="eastAsia" w:ascii="仿宋" w:hAnsi="仿宋" w:eastAsia="仿宋"/>
          <w:sz w:val="32"/>
          <w:szCs w:val="32"/>
        </w:rPr>
        <w:t>（6）编制住房公积金归集、使用计划执行情况的报告。住房公积金归集、使用计划执行情况报告应当反映建立住房公积金制度的单位数和缴存职工数、归集总额、提取总额、发放贷款总额、贷款户数、保值情况及计划执行情况的说明等方面的情况。</w:t>
      </w:r>
    </w:p>
    <w:p w14:paraId="77FD59A1">
      <w:pPr>
        <w:adjustRightInd w:val="0"/>
        <w:snapToGrid w:val="0"/>
        <w:spacing w:line="360" w:lineRule="auto"/>
        <w:ind w:firstLine="640" w:firstLineChars="200"/>
        <w:rPr>
          <w:rFonts w:ascii="仿宋_GB2312" w:eastAsia="仿宋_GB2312"/>
          <w:b/>
          <w:sz w:val="32"/>
          <w:szCs w:val="32"/>
        </w:rPr>
      </w:pPr>
      <w:r>
        <w:rPr>
          <w:rFonts w:hint="eastAsia" w:ascii="仿宋" w:hAnsi="仿宋" w:eastAsia="仿宋"/>
          <w:sz w:val="32"/>
          <w:szCs w:val="32"/>
        </w:rPr>
        <w:t>（7）承办住房公积金管理委员会决定的其他事项。</w:t>
      </w:r>
    </w:p>
    <w:p w14:paraId="0BAC985D">
      <w:pPr>
        <w:adjustRightInd w:val="0"/>
        <w:snapToGrid w:val="0"/>
        <w:spacing w:line="360" w:lineRule="auto"/>
        <w:ind w:firstLine="643" w:firstLineChars="200"/>
        <w:outlineLvl w:val="2"/>
        <w:rPr>
          <w:rFonts w:ascii="仿宋_GB2312" w:eastAsia="仿宋_GB2312"/>
          <w:b/>
          <w:sz w:val="32"/>
          <w:szCs w:val="32"/>
        </w:rPr>
      </w:pPr>
      <w:bookmarkStart w:id="6" w:name="_Toc3007"/>
      <w:bookmarkStart w:id="7" w:name="_Toc6239"/>
      <w:r>
        <w:rPr>
          <w:rFonts w:hint="eastAsia" w:ascii="仿宋_GB2312" w:eastAsia="仿宋_GB2312"/>
          <w:b/>
          <w:sz w:val="32"/>
          <w:szCs w:val="32"/>
        </w:rPr>
        <w:t>2.组织机构及人员、资产基本情况</w:t>
      </w:r>
      <w:bookmarkEnd w:id="6"/>
      <w:bookmarkEnd w:id="7"/>
    </w:p>
    <w:p w14:paraId="1B31187F">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公积金中心于2003年8月组建成立，为直属市政府的事业单位，执行政府会计准则制度。人员编制165名，内设12个科室（办公室、机关党委、人事教育科、资金归集科、信贷科、会计科、政策法规科、信息技术科、稽核审计科、个贷中心、核算中心、档案科）；下辖5个城区管理部，17个县（市）区管理部。</w:t>
      </w:r>
    </w:p>
    <w:p w14:paraId="240C664D">
      <w:pPr>
        <w:pStyle w:val="4"/>
        <w:spacing w:line="360" w:lineRule="auto"/>
        <w:ind w:firstLine="640"/>
      </w:pPr>
      <w:r>
        <w:rPr>
          <w:rFonts w:hint="eastAsia" w:ascii="仿宋_GB2312" w:eastAsia="仿宋_GB2312"/>
          <w:sz w:val="32"/>
          <w:szCs w:val="32"/>
        </w:rPr>
        <w:t>截至2022年12月31日，固定资产净值8307.4万元，其中：房屋及构筑物7839.96万元，通用设备257.9万元，专用设备0.33万元，图书5.20万元，家具、用具、装具及动植物204.01万元。无形资产净值301.46万元。</w:t>
      </w:r>
    </w:p>
    <w:p w14:paraId="4C32B774">
      <w:pPr>
        <w:numPr>
          <w:ilvl w:val="0"/>
          <w:numId w:val="1"/>
        </w:numPr>
        <w:adjustRightInd w:val="0"/>
        <w:snapToGrid w:val="0"/>
        <w:spacing w:line="360" w:lineRule="auto"/>
        <w:ind w:firstLine="643" w:firstLineChars="200"/>
        <w:outlineLvl w:val="1"/>
        <w:rPr>
          <w:rFonts w:ascii="仿宋" w:hAnsi="仿宋" w:eastAsia="仿宋" w:cs="楷体_GB2312"/>
          <w:b/>
          <w:bCs/>
          <w:sz w:val="32"/>
          <w:szCs w:val="32"/>
        </w:rPr>
      </w:pPr>
      <w:bookmarkStart w:id="8" w:name="_Toc31412"/>
      <w:bookmarkStart w:id="9" w:name="_Toc9472"/>
      <w:r>
        <w:rPr>
          <w:rFonts w:hint="eastAsia" w:ascii="仿宋" w:hAnsi="仿宋" w:eastAsia="仿宋" w:cs="楷体_GB2312"/>
          <w:b/>
          <w:bCs/>
          <w:sz w:val="32"/>
          <w:szCs w:val="32"/>
        </w:rPr>
        <w:t>部门收支预决算情况</w:t>
      </w:r>
      <w:bookmarkEnd w:id="8"/>
      <w:bookmarkEnd w:id="9"/>
    </w:p>
    <w:p w14:paraId="2AB9E1CC">
      <w:pPr>
        <w:widowControl/>
        <w:spacing w:line="360" w:lineRule="auto"/>
        <w:ind w:firstLine="643" w:firstLineChars="200"/>
        <w:outlineLvl w:val="2"/>
        <w:rPr>
          <w:rFonts w:ascii="仿宋" w:hAnsi="仿宋" w:eastAsia="仿宋"/>
          <w:b/>
          <w:sz w:val="32"/>
          <w:szCs w:val="32"/>
        </w:rPr>
      </w:pPr>
      <w:bookmarkStart w:id="10" w:name="_Toc32759"/>
      <w:bookmarkStart w:id="11" w:name="_Toc22150"/>
      <w:bookmarkStart w:id="12" w:name="_Toc15197"/>
      <w:r>
        <w:rPr>
          <w:rFonts w:hint="eastAsia" w:ascii="仿宋" w:hAnsi="仿宋" w:eastAsia="仿宋"/>
          <w:b/>
          <w:sz w:val="32"/>
          <w:szCs w:val="32"/>
        </w:rPr>
        <w:t>1.预算安排情况</w:t>
      </w:r>
      <w:bookmarkEnd w:id="10"/>
      <w:bookmarkEnd w:id="11"/>
      <w:bookmarkEnd w:id="12"/>
    </w:p>
    <w:p w14:paraId="576CADE6">
      <w:pPr>
        <w:pStyle w:val="4"/>
        <w:spacing w:line="360" w:lineRule="auto"/>
        <w:ind w:firstLine="640"/>
        <w:rPr>
          <w:rFonts w:ascii="仿宋_GB2312" w:hAnsi="仿宋_GB2312" w:eastAsia="仿宋_GB2312" w:cs="仿宋_GB2312"/>
          <w:sz w:val="32"/>
          <w:szCs w:val="24"/>
        </w:rPr>
      </w:pPr>
      <w:r>
        <w:rPr>
          <w:rFonts w:hint="eastAsia" w:ascii="仿宋_GB2312" w:hAnsi="仿宋_GB2312" w:eastAsia="仿宋_GB2312" w:cs="仿宋_GB2312"/>
          <w:sz w:val="32"/>
          <w:szCs w:val="24"/>
        </w:rPr>
        <w:t>2022年公积金中心预算收入5712.54万元，均为一般公共预算财政拨款收入。</w:t>
      </w:r>
    </w:p>
    <w:p w14:paraId="72A8CF80">
      <w:pPr>
        <w:pStyle w:val="4"/>
        <w:spacing w:line="360" w:lineRule="auto"/>
        <w:ind w:firstLine="640"/>
        <w:rPr>
          <w:rFonts w:ascii="仿宋_GB2312" w:hAnsi="仿宋_GB2312" w:eastAsia="仿宋_GB2312" w:cs="仿宋_GB2312"/>
          <w:sz w:val="32"/>
          <w:szCs w:val="24"/>
        </w:rPr>
      </w:pPr>
      <w:r>
        <w:rPr>
          <w:rFonts w:hint="eastAsia" w:ascii="仿宋_GB2312" w:hAnsi="仿宋_GB2312" w:eastAsia="仿宋_GB2312" w:cs="仿宋_GB2312"/>
          <w:sz w:val="32"/>
          <w:szCs w:val="24"/>
        </w:rPr>
        <w:t>2022年预算支出5712.54万元，其中：基本支出4514.89万元，包括人员经费4150.36万元和日常公用经费364.53万元；项目支出1197.65万元。</w:t>
      </w:r>
    </w:p>
    <w:p w14:paraId="71588CE7">
      <w:pPr>
        <w:widowControl/>
        <w:spacing w:line="360" w:lineRule="auto"/>
        <w:ind w:firstLine="643" w:firstLineChars="200"/>
        <w:outlineLvl w:val="2"/>
        <w:rPr>
          <w:rFonts w:ascii="仿宋" w:hAnsi="仿宋" w:eastAsia="仿宋"/>
          <w:b/>
          <w:sz w:val="32"/>
          <w:szCs w:val="32"/>
        </w:rPr>
      </w:pPr>
      <w:bookmarkStart w:id="13" w:name="_Toc5884"/>
      <w:bookmarkStart w:id="14" w:name="_Toc14462"/>
      <w:bookmarkStart w:id="15" w:name="_Toc21479"/>
      <w:r>
        <w:rPr>
          <w:rFonts w:hint="eastAsia" w:ascii="仿宋" w:hAnsi="仿宋" w:eastAsia="仿宋"/>
          <w:b/>
          <w:sz w:val="32"/>
          <w:szCs w:val="32"/>
        </w:rPr>
        <w:t>2.预算调整情况</w:t>
      </w:r>
      <w:bookmarkEnd w:id="13"/>
      <w:bookmarkEnd w:id="14"/>
      <w:bookmarkEnd w:id="15"/>
    </w:p>
    <w:p w14:paraId="2E7AED70">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2022年公积金中心调整后预算收入6434.92元，其中：一般公共预算财政拨款收入5865.31万元、年初结转和结余569.61万元。</w:t>
      </w:r>
    </w:p>
    <w:p w14:paraId="09AB2AC1">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2022年调整后预算支出6434.92万元，其中：基本支出5278.4万元，包括人员经费4919.95万元和日常公用经费358.45万元；项目支出1156.52万元。</w:t>
      </w:r>
    </w:p>
    <w:p w14:paraId="58D1359A">
      <w:pPr>
        <w:widowControl/>
        <w:spacing w:line="360" w:lineRule="auto"/>
        <w:ind w:firstLine="643" w:firstLineChars="200"/>
        <w:outlineLvl w:val="2"/>
        <w:rPr>
          <w:rFonts w:ascii="仿宋" w:hAnsi="仿宋" w:eastAsia="仿宋"/>
          <w:b/>
          <w:sz w:val="32"/>
          <w:szCs w:val="32"/>
        </w:rPr>
      </w:pPr>
      <w:bookmarkStart w:id="16" w:name="_Toc14823"/>
      <w:bookmarkStart w:id="17" w:name="_Toc13174"/>
      <w:bookmarkStart w:id="18" w:name="_Toc28078"/>
      <w:r>
        <w:rPr>
          <w:rFonts w:hint="eastAsia" w:ascii="仿宋" w:hAnsi="仿宋" w:eastAsia="仿宋"/>
          <w:b/>
          <w:sz w:val="32"/>
          <w:szCs w:val="32"/>
        </w:rPr>
        <w:t>3.决算情况</w:t>
      </w:r>
      <w:bookmarkEnd w:id="16"/>
      <w:bookmarkEnd w:id="17"/>
      <w:bookmarkEnd w:id="18"/>
    </w:p>
    <w:p w14:paraId="15C24D19">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2022年公积金中心收入决算6434.92万元，其中：一般公共预算财政拨款收入5865.31万元、年初结转和结余569.61万元。</w:t>
      </w:r>
    </w:p>
    <w:p w14:paraId="1B784359">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2022年支出决算6273.88万元，其中：基本支出5117.36万元，包括人员经费4760.27万元和日常公用经费357.09万元；项目支出1156.52万元。</w:t>
      </w:r>
    </w:p>
    <w:p w14:paraId="4690B0E3">
      <w:pPr>
        <w:spacing w:line="360" w:lineRule="auto"/>
        <w:ind w:firstLine="640" w:firstLineChars="200"/>
        <w:rPr>
          <w:rFonts w:ascii="仿宋" w:hAnsi="仿宋" w:eastAsia="仿宋" w:cs="楷体_GB2312"/>
          <w:b/>
          <w:bCs/>
          <w:sz w:val="32"/>
          <w:szCs w:val="32"/>
        </w:rPr>
      </w:pPr>
      <w:r>
        <w:rPr>
          <w:rFonts w:hint="eastAsia" w:ascii="仿宋_GB2312" w:hAnsi="仿宋_GB2312" w:eastAsia="仿宋_GB2312" w:cs="仿宋_GB2312"/>
          <w:sz w:val="32"/>
          <w:szCs w:val="24"/>
        </w:rPr>
        <w:t>2022年末结转和结余161.04万元。</w:t>
      </w:r>
    </w:p>
    <w:p w14:paraId="29BEA972">
      <w:pPr>
        <w:adjustRightInd w:val="0"/>
        <w:snapToGrid w:val="0"/>
        <w:spacing w:line="360" w:lineRule="auto"/>
        <w:ind w:firstLine="643" w:firstLineChars="200"/>
        <w:outlineLvl w:val="1"/>
        <w:rPr>
          <w:rFonts w:ascii="仿宋" w:hAnsi="仿宋" w:eastAsia="仿宋" w:cs="楷体_GB2312"/>
          <w:b/>
          <w:bCs/>
          <w:sz w:val="32"/>
          <w:szCs w:val="32"/>
        </w:rPr>
      </w:pPr>
      <w:bookmarkStart w:id="19" w:name="_Toc26845"/>
      <w:bookmarkStart w:id="20" w:name="_Toc7129"/>
      <w:r>
        <w:rPr>
          <w:rFonts w:hint="eastAsia" w:ascii="仿宋" w:hAnsi="仿宋" w:eastAsia="仿宋" w:cs="楷体_GB2312"/>
          <w:b/>
          <w:bCs/>
          <w:sz w:val="32"/>
          <w:szCs w:val="32"/>
        </w:rPr>
        <w:t>（三）部门整体支出绩效目标、指标</w:t>
      </w:r>
      <w:bookmarkEnd w:id="19"/>
      <w:bookmarkEnd w:id="20"/>
    </w:p>
    <w:p w14:paraId="11090FF0">
      <w:pPr>
        <w:widowControl/>
        <w:spacing w:line="360" w:lineRule="auto"/>
        <w:ind w:firstLine="643" w:firstLineChars="200"/>
        <w:outlineLvl w:val="2"/>
        <w:rPr>
          <w:rFonts w:ascii="仿宋" w:hAnsi="仿宋" w:eastAsia="仿宋"/>
          <w:b/>
          <w:sz w:val="32"/>
          <w:szCs w:val="32"/>
        </w:rPr>
      </w:pPr>
      <w:bookmarkStart w:id="21" w:name="_Toc28096"/>
      <w:bookmarkStart w:id="22" w:name="_Toc26070"/>
      <w:r>
        <w:rPr>
          <w:rFonts w:hint="eastAsia" w:ascii="仿宋" w:hAnsi="仿宋" w:eastAsia="仿宋"/>
          <w:b/>
          <w:sz w:val="32"/>
          <w:szCs w:val="32"/>
        </w:rPr>
        <w:t>1.总体绩效目标</w:t>
      </w:r>
      <w:bookmarkEnd w:id="21"/>
      <w:bookmarkEnd w:id="22"/>
    </w:p>
    <w:p w14:paraId="6A87C600">
      <w:pPr>
        <w:widowControl/>
        <w:spacing w:line="360" w:lineRule="auto"/>
        <w:ind w:firstLine="640" w:firstLineChars="200"/>
        <w:outlineLvl w:val="2"/>
        <w:rPr>
          <w:rFonts w:ascii="仿宋_GB2312" w:hAnsi="仿宋_GB2312" w:eastAsia="仿宋_GB2312" w:cs="仿宋_GB2312"/>
          <w:sz w:val="32"/>
          <w:szCs w:val="24"/>
        </w:rPr>
      </w:pPr>
      <w:bookmarkStart w:id="23" w:name="_Toc9997"/>
      <w:bookmarkStart w:id="24" w:name="_Toc18760"/>
      <w:r>
        <w:rPr>
          <w:rFonts w:hint="eastAsia" w:ascii="仿宋_GB2312" w:hAnsi="仿宋_GB2312" w:eastAsia="仿宋_GB2312" w:cs="仿宋_GB2312"/>
          <w:sz w:val="32"/>
          <w:szCs w:val="24"/>
        </w:rPr>
        <w:t>以习近平新时代中国特色社会主义思想为指导，坚持建党为魂、安全为先、惠民为本、服务为要，坚持夯基垒台与开拓创新相结合，大力推动业务发展，2022年归集额增长率、住房公积金个人贷款增长率和增值收益增长率均实现5%的目标。不断强化内部管理，精准化解风险隐患，将住房公积金个人贷款逾期率控制在0.02%以下。2022年建立健全各项制度，修订完善规章制度8项以上，积极开展住房公积金业务培训，不少于两期，150人次。加强综合服务平台建设，全面提升服务效能，让数据多跑路，群众少跑腿，业务办理离柜率达到70%以上。加强宣传引领，建立网点示范窗口，推行8项“跨省通办”业务，扎实推进住房公积金“放管服”改革，努力开创我市住房公积金管理新局面，为省会高质量发展做出新的更大贡献。2022年归集住房公积金130亿元，力争发放住房公积金个人贷款60亿元，实现住房公积金增值收益7.5亿元。</w:t>
      </w:r>
    </w:p>
    <w:p w14:paraId="49C142D7">
      <w:pPr>
        <w:widowControl/>
        <w:spacing w:line="360" w:lineRule="auto"/>
        <w:ind w:firstLine="643" w:firstLineChars="200"/>
        <w:outlineLvl w:val="2"/>
        <w:rPr>
          <w:rFonts w:ascii="仿宋" w:hAnsi="仿宋" w:eastAsia="仿宋"/>
          <w:b/>
          <w:sz w:val="32"/>
          <w:szCs w:val="32"/>
        </w:rPr>
      </w:pPr>
      <w:r>
        <w:rPr>
          <w:rFonts w:hint="eastAsia" w:ascii="仿宋" w:hAnsi="仿宋" w:eastAsia="仿宋"/>
          <w:b/>
          <w:sz w:val="32"/>
          <w:szCs w:val="32"/>
        </w:rPr>
        <w:t>2.分项绩效目标</w:t>
      </w:r>
      <w:bookmarkEnd w:id="23"/>
      <w:bookmarkEnd w:id="24"/>
    </w:p>
    <w:p w14:paraId="7C4AEED9">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（1）大力拓展公积金归集业务</w:t>
      </w:r>
    </w:p>
    <w:p w14:paraId="43806E2F">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绩效目标：积极拓宽归集渠道，努力寻求增长空间，进一步扩大住房公积金制度覆盖面；积极推行使用“全国住房公积金小程序”，实现住房公积金业务“一键办”，畅通缴存人缴存、查询、转移接续渠道，提升业务办理效率和质量；加大住房公积金政策宣传力度，依照国家和地方相关政策规定，做好住房公积金提取审核工作，积极拓展网上提取业务范围，并做到提取资金实时到账，为职工提供高效、便捷的服务，提高单位和职工满意度。</w:t>
      </w:r>
    </w:p>
    <w:p w14:paraId="345379B1">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绩效指标：实现异地缴存证明、单位开户、单位及个人信息更改、提取等业务“跨省通办”；稳妥有序推进自由职业者、个体工商户住房公积金建制及使用工作，2022年归集住房公积金135亿元，归集职工覆盖率超80%，归集</w:t>
      </w:r>
      <w:bookmarkStart w:id="48" w:name="_GoBack"/>
      <w:bookmarkEnd w:id="48"/>
      <w:r>
        <w:rPr>
          <w:rFonts w:hint="eastAsia" w:ascii="仿宋_GB2312" w:hAnsi="仿宋_GB2312" w:eastAsia="仿宋_GB2312" w:cs="仿宋_GB2312"/>
          <w:sz w:val="32"/>
          <w:szCs w:val="24"/>
          <w:lang w:eastAsia="zh-CN"/>
        </w:rPr>
        <w:t>账户</w:t>
      </w:r>
      <w:r>
        <w:rPr>
          <w:rFonts w:hint="eastAsia" w:ascii="仿宋_GB2312" w:hAnsi="仿宋_GB2312" w:eastAsia="仿宋_GB2312" w:cs="仿宋_GB2312"/>
          <w:sz w:val="32"/>
          <w:szCs w:val="24"/>
        </w:rPr>
        <w:t>总数超105万户，实现年度归集额增长率5%。</w:t>
      </w:r>
    </w:p>
    <w:p w14:paraId="3D8E48BC">
      <w:pPr>
        <w:adjustRightInd w:val="0"/>
        <w:snapToGrid w:val="0"/>
        <w:spacing w:line="360" w:lineRule="auto"/>
        <w:ind w:firstLine="640" w:firstLineChars="200"/>
        <w:outlineLvl w:val="0"/>
        <w:rPr>
          <w:rFonts w:ascii="仿宋_GB2312" w:hAnsi="仿宋_GB2312" w:eastAsia="仿宋_GB2312" w:cs="仿宋_GB2312"/>
          <w:sz w:val="32"/>
          <w:szCs w:val="24"/>
        </w:rPr>
      </w:pPr>
      <w:bookmarkStart w:id="25" w:name="_Toc31215"/>
      <w:bookmarkStart w:id="26" w:name="_Toc20397"/>
      <w:r>
        <w:rPr>
          <w:rFonts w:hint="eastAsia" w:ascii="仿宋_GB2312" w:hAnsi="仿宋_GB2312" w:eastAsia="仿宋_GB2312" w:cs="仿宋_GB2312"/>
          <w:sz w:val="32"/>
          <w:szCs w:val="24"/>
        </w:rPr>
        <w:t>（2）不断加强贷款业务管理</w:t>
      </w:r>
    </w:p>
    <w:p w14:paraId="3DE0FDC4">
      <w:pPr>
        <w:adjustRightInd w:val="0"/>
        <w:snapToGrid w:val="0"/>
        <w:spacing w:line="360" w:lineRule="auto"/>
        <w:ind w:firstLine="640" w:firstLineChars="200"/>
        <w:outlineLvl w:val="0"/>
        <w:rPr>
          <w:rFonts w:ascii="仿宋_GB2312" w:hAnsi="仿宋_GB2312" w:eastAsia="仿宋_GB2312" w:cs="仿宋_GB2312"/>
          <w:sz w:val="32"/>
          <w:szCs w:val="24"/>
        </w:rPr>
      </w:pPr>
      <w:r>
        <w:rPr>
          <w:rFonts w:hint="eastAsia" w:ascii="仿宋_GB2312" w:hAnsi="仿宋_GB2312" w:eastAsia="仿宋_GB2312" w:cs="仿宋_GB2312"/>
          <w:sz w:val="32"/>
          <w:szCs w:val="24"/>
        </w:rPr>
        <w:t>绩效目标：积极落实国家和省相关政策，加大对房地产开发企业拒贷限贷的打击力度，做好房地产市场调研工作和住房公积金贷款政策宣传工作，使贷款职工充分了解我市住房公积金贷款政策，最大程度满足职工贷款需求。建立完善贷款风险准备金制度，做好贷前贷后管理，确保贷款管理规范。</w:t>
      </w:r>
    </w:p>
    <w:p w14:paraId="23ABB2F3">
      <w:pPr>
        <w:adjustRightInd w:val="0"/>
        <w:snapToGrid w:val="0"/>
        <w:spacing w:line="360" w:lineRule="auto"/>
        <w:ind w:firstLine="640" w:firstLineChars="200"/>
        <w:outlineLvl w:val="0"/>
        <w:rPr>
          <w:rFonts w:ascii="仿宋_GB2312" w:hAnsi="仿宋_GB2312" w:eastAsia="仿宋_GB2312" w:cs="仿宋_GB2312"/>
          <w:sz w:val="32"/>
          <w:szCs w:val="24"/>
        </w:rPr>
      </w:pPr>
      <w:r>
        <w:rPr>
          <w:rFonts w:hint="eastAsia" w:ascii="仿宋_GB2312" w:hAnsi="仿宋_GB2312" w:eastAsia="仿宋_GB2312" w:cs="仿宋_GB2312"/>
          <w:sz w:val="32"/>
          <w:szCs w:val="24"/>
        </w:rPr>
        <w:t>绩效指标：2022年力争发放住房公积金个人贷款60亿元，按照要求足额提取贷款风险准备金，做到贷款风险准备金率不低于1%；成立治理违规贷款、失信行为惩戒专班，加强贷款逾期管理，发放住房公积金个人贷款增长率5%。</w:t>
      </w:r>
    </w:p>
    <w:p w14:paraId="6A4419B4">
      <w:pPr>
        <w:adjustRightInd w:val="0"/>
        <w:snapToGrid w:val="0"/>
        <w:spacing w:line="360" w:lineRule="auto"/>
        <w:ind w:firstLine="640" w:firstLineChars="200"/>
        <w:outlineLvl w:val="0"/>
        <w:rPr>
          <w:rFonts w:ascii="仿宋_GB2312" w:hAnsi="仿宋_GB2312" w:eastAsia="仿宋_GB2312" w:cs="仿宋_GB2312"/>
          <w:sz w:val="32"/>
          <w:szCs w:val="24"/>
        </w:rPr>
      </w:pPr>
      <w:r>
        <w:rPr>
          <w:rFonts w:hint="eastAsia" w:ascii="仿宋_GB2312" w:hAnsi="仿宋_GB2312" w:eastAsia="仿宋_GB2312" w:cs="仿宋_GB2312"/>
          <w:sz w:val="32"/>
          <w:szCs w:val="24"/>
        </w:rPr>
        <w:t>（3）努力实现增值收益稳步增长</w:t>
      </w:r>
    </w:p>
    <w:p w14:paraId="4F58ECD7">
      <w:pPr>
        <w:adjustRightInd w:val="0"/>
        <w:snapToGrid w:val="0"/>
        <w:spacing w:line="360" w:lineRule="auto"/>
        <w:ind w:firstLine="640" w:firstLineChars="200"/>
        <w:outlineLvl w:val="0"/>
        <w:rPr>
          <w:rFonts w:ascii="仿宋_GB2312" w:hAnsi="仿宋_GB2312" w:eastAsia="仿宋_GB2312" w:cs="仿宋_GB2312"/>
          <w:sz w:val="32"/>
          <w:szCs w:val="24"/>
        </w:rPr>
      </w:pPr>
      <w:r>
        <w:rPr>
          <w:rFonts w:hint="eastAsia" w:ascii="仿宋_GB2312" w:hAnsi="仿宋_GB2312" w:eastAsia="仿宋_GB2312" w:cs="仿宋_GB2312"/>
          <w:sz w:val="32"/>
          <w:szCs w:val="24"/>
        </w:rPr>
        <w:t>绩效目标：合理运作资金，开展大额资金竞争性存放工作，在保证资金安全的前提下，进一步优化住房公积金存款结构，合理配置存款期限，提高住房公积金资金使用效率，实现收益最大化，按时足额向国库上缴增值收益。</w:t>
      </w:r>
    </w:p>
    <w:p w14:paraId="6E76A583">
      <w:pPr>
        <w:adjustRightInd w:val="0"/>
        <w:snapToGrid w:val="0"/>
        <w:spacing w:line="360" w:lineRule="auto"/>
        <w:ind w:firstLine="640" w:firstLineChars="200"/>
        <w:outlineLvl w:val="0"/>
        <w:rPr>
          <w:rFonts w:ascii="仿宋_GB2312" w:hAnsi="仿宋_GB2312" w:eastAsia="仿宋_GB2312" w:cs="仿宋_GB2312"/>
          <w:sz w:val="32"/>
          <w:szCs w:val="24"/>
        </w:rPr>
      </w:pPr>
      <w:r>
        <w:rPr>
          <w:rFonts w:hint="eastAsia" w:ascii="仿宋_GB2312" w:hAnsi="仿宋_GB2312" w:eastAsia="仿宋_GB2312" w:cs="仿宋_GB2312"/>
          <w:sz w:val="32"/>
          <w:szCs w:val="24"/>
        </w:rPr>
        <w:t>绩效指标：在确保资金流动性基础上，综合评定资金存放银行，银行存款利率加基点60以上，期限1年期、2年期、3年期合理配比，2022年实现增值收益7.8亿元，增值收益率大于1.5%，实现住房公积金增值收益增长率5%，次年3月底前全部上缴国库。</w:t>
      </w:r>
    </w:p>
    <w:p w14:paraId="0AE10F0F">
      <w:pPr>
        <w:adjustRightInd w:val="0"/>
        <w:snapToGrid w:val="0"/>
        <w:spacing w:line="360" w:lineRule="auto"/>
        <w:ind w:firstLine="640" w:firstLineChars="200"/>
        <w:outlineLvl w:val="0"/>
        <w:rPr>
          <w:rFonts w:ascii="仿宋_GB2312" w:hAnsi="仿宋_GB2312" w:eastAsia="仿宋_GB2312" w:cs="仿宋_GB2312"/>
          <w:sz w:val="32"/>
          <w:szCs w:val="24"/>
        </w:rPr>
      </w:pPr>
      <w:r>
        <w:rPr>
          <w:rFonts w:hint="eastAsia" w:ascii="仿宋_GB2312" w:hAnsi="仿宋_GB2312" w:eastAsia="仿宋_GB2312" w:cs="仿宋_GB2312"/>
          <w:sz w:val="32"/>
          <w:szCs w:val="24"/>
        </w:rPr>
        <w:t>（4）防范化解各项风险隐患</w:t>
      </w:r>
    </w:p>
    <w:p w14:paraId="2810E8FE">
      <w:pPr>
        <w:adjustRightInd w:val="0"/>
        <w:snapToGrid w:val="0"/>
        <w:spacing w:line="360" w:lineRule="auto"/>
        <w:ind w:firstLine="640" w:firstLineChars="200"/>
        <w:outlineLvl w:val="0"/>
        <w:rPr>
          <w:rFonts w:ascii="仿宋_GB2312" w:hAnsi="仿宋_GB2312" w:eastAsia="仿宋_GB2312" w:cs="仿宋_GB2312"/>
          <w:sz w:val="32"/>
          <w:szCs w:val="24"/>
        </w:rPr>
      </w:pPr>
      <w:r>
        <w:rPr>
          <w:rFonts w:hint="eastAsia" w:ascii="仿宋_GB2312" w:hAnsi="仿宋_GB2312" w:eastAsia="仿宋_GB2312" w:cs="仿宋_GB2312"/>
          <w:sz w:val="32"/>
          <w:szCs w:val="24"/>
        </w:rPr>
        <w:t>绩效目标：主动防范，及时化解风险隐患，对住房公积金缴存、提取、使用、资金调拨等关键环节进行全面梳理评估；集中攻坚，切实降低个贷逾期率；加大力度，严厉打击骗提骗贷，有效维护住房公积金制度的公平性、严肃性;建立内控机制，完善重大事项集体决策，加强内部稽核和审计；加强网络安全保障，提升信息系统安全防范能力。</w:t>
      </w:r>
    </w:p>
    <w:p w14:paraId="7F85999A">
      <w:pPr>
        <w:adjustRightInd w:val="0"/>
        <w:snapToGrid w:val="0"/>
        <w:spacing w:line="360" w:lineRule="auto"/>
        <w:ind w:firstLine="640" w:firstLineChars="200"/>
        <w:outlineLvl w:val="0"/>
        <w:rPr>
          <w:rFonts w:ascii="仿宋_GB2312" w:hAnsi="仿宋_GB2312" w:eastAsia="仿宋_GB2312" w:cs="仿宋_GB2312"/>
          <w:sz w:val="32"/>
          <w:szCs w:val="24"/>
        </w:rPr>
      </w:pPr>
      <w:r>
        <w:rPr>
          <w:rFonts w:hint="eastAsia" w:ascii="仿宋_GB2312" w:hAnsi="仿宋_GB2312" w:eastAsia="仿宋_GB2312" w:cs="仿宋_GB2312"/>
          <w:sz w:val="32"/>
          <w:szCs w:val="24"/>
        </w:rPr>
        <w:t>绩效指标：严格执行国家、省、市相关规定，召开4次管委会会议，审议重要事项；每月召开资金管理领导小组会议，每季度听取资金管理工作报告；加大内审稽核力度，专项稽核工作不少于3次；加大逾期贷款催收力度，不断完善催收流程、逐户建立催收台账，有序开展法律诉讼，个人住房贷款逾期率控制在0.02%以内；深入开展扫黑除恶专项斗争，及时向公安部门移交问题线索；做好信息系统核心设备与网络安全维护、三级等保认证升级以及系统灾备等信息数据保护工作，保证住房公积金信息系统安全、稳定、高效运行。</w:t>
      </w:r>
    </w:p>
    <w:p w14:paraId="0A6F181D">
      <w:pPr>
        <w:adjustRightInd w:val="0"/>
        <w:snapToGrid w:val="0"/>
        <w:spacing w:line="360" w:lineRule="auto"/>
        <w:ind w:firstLine="640" w:firstLineChars="200"/>
        <w:outlineLvl w:val="0"/>
        <w:rPr>
          <w:rFonts w:ascii="仿宋_GB2312" w:hAnsi="仿宋_GB2312" w:eastAsia="仿宋_GB2312" w:cs="仿宋_GB2312"/>
          <w:sz w:val="32"/>
          <w:szCs w:val="24"/>
        </w:rPr>
      </w:pPr>
      <w:r>
        <w:rPr>
          <w:rFonts w:hint="eastAsia" w:ascii="仿宋_GB2312" w:hAnsi="仿宋_GB2312" w:eastAsia="仿宋_GB2312" w:cs="仿宋_GB2312"/>
          <w:sz w:val="32"/>
          <w:szCs w:val="24"/>
        </w:rPr>
        <w:t>（5）不断提升规范化管理水平</w:t>
      </w:r>
    </w:p>
    <w:p w14:paraId="2FA28563">
      <w:pPr>
        <w:adjustRightInd w:val="0"/>
        <w:snapToGrid w:val="0"/>
        <w:spacing w:line="360" w:lineRule="auto"/>
        <w:ind w:firstLine="640" w:firstLineChars="200"/>
        <w:outlineLvl w:val="0"/>
        <w:rPr>
          <w:rFonts w:ascii="仿宋_GB2312" w:hAnsi="仿宋_GB2312" w:eastAsia="仿宋_GB2312" w:cs="仿宋_GB2312"/>
          <w:sz w:val="32"/>
          <w:szCs w:val="24"/>
        </w:rPr>
      </w:pPr>
      <w:r>
        <w:rPr>
          <w:rFonts w:hint="eastAsia" w:ascii="仿宋_GB2312" w:hAnsi="仿宋_GB2312" w:eastAsia="仿宋_GB2312" w:cs="仿宋_GB2312"/>
          <w:sz w:val="32"/>
          <w:szCs w:val="24"/>
        </w:rPr>
        <w:t>绩效目标：着力提升住房公积金规范化、精细化管理水平，把制度建设摆在突出位置，不断规范业务操作，逐步加强内部管理，切实保障资金安全。进一步提高制度质量，夯实制度体系，扎紧制度笼子，不断健全制度，完善机制；规范合同管理，各项合同律师把关，班子集体研究决定；加强住房公积金业务培训指导，不断提升业务效能。</w:t>
      </w:r>
    </w:p>
    <w:p w14:paraId="74C3C49E">
      <w:pPr>
        <w:adjustRightInd w:val="0"/>
        <w:snapToGrid w:val="0"/>
        <w:spacing w:line="360" w:lineRule="auto"/>
        <w:ind w:firstLine="640" w:firstLineChars="200"/>
        <w:outlineLvl w:val="0"/>
        <w:rPr>
          <w:rFonts w:ascii="仿宋_GB2312" w:hAnsi="仿宋_GB2312" w:eastAsia="仿宋_GB2312" w:cs="仿宋_GB2312"/>
          <w:sz w:val="32"/>
          <w:szCs w:val="24"/>
        </w:rPr>
      </w:pPr>
      <w:r>
        <w:rPr>
          <w:rFonts w:hint="eastAsia" w:ascii="仿宋_GB2312" w:hAnsi="仿宋_GB2312" w:eastAsia="仿宋_GB2312" w:cs="仿宋_GB2312"/>
          <w:sz w:val="32"/>
          <w:szCs w:val="24"/>
        </w:rPr>
        <w:t>绩效指标：建立健全各项规章制度10项以上，健全完善管运分离、统一核算的管理模式，重新修订各部门工作职责，制定各部门业务考核指标，机关科室业务考核指标不低于8个，管理部业务考核指标不低于5个；认真对照国家住房公积金归集、提取、贷款、资金管理、基础数据等业务标准，梳理业务流程，减少制度盲区，努力做到每项工作有规可依、每个流程有章可循、每笔业务有据可查，确保各项业务标准不折不扣落实到位。2022年各项合同法审率达到100%；开展住房公积金业务培训期次不少于两期，150人次，减少业务差错率，进一步提高业务办结效率，不断提升规范化管理水平。</w:t>
      </w:r>
    </w:p>
    <w:p w14:paraId="1E797436">
      <w:pPr>
        <w:adjustRightInd w:val="0"/>
        <w:snapToGrid w:val="0"/>
        <w:spacing w:line="360" w:lineRule="auto"/>
        <w:ind w:firstLine="640" w:firstLineChars="200"/>
        <w:outlineLvl w:val="0"/>
        <w:rPr>
          <w:rFonts w:ascii="仿宋_GB2312" w:hAnsi="仿宋_GB2312" w:eastAsia="仿宋_GB2312" w:cs="仿宋_GB2312"/>
          <w:sz w:val="32"/>
          <w:szCs w:val="24"/>
        </w:rPr>
      </w:pPr>
      <w:r>
        <w:rPr>
          <w:rFonts w:hint="eastAsia" w:ascii="仿宋_GB2312" w:hAnsi="仿宋_GB2312" w:eastAsia="仿宋_GB2312" w:cs="仿宋_GB2312"/>
          <w:sz w:val="32"/>
          <w:szCs w:val="24"/>
        </w:rPr>
        <w:t>（6）全面提升住房公积金服务效能</w:t>
      </w:r>
    </w:p>
    <w:p w14:paraId="60DB8205">
      <w:pPr>
        <w:adjustRightInd w:val="0"/>
        <w:snapToGrid w:val="0"/>
        <w:spacing w:line="360" w:lineRule="auto"/>
        <w:ind w:firstLine="640" w:firstLineChars="200"/>
        <w:outlineLvl w:val="0"/>
        <w:rPr>
          <w:rFonts w:ascii="仿宋_GB2312" w:hAnsi="仿宋_GB2312" w:eastAsia="仿宋_GB2312" w:cs="仿宋_GB2312"/>
          <w:sz w:val="32"/>
          <w:szCs w:val="24"/>
        </w:rPr>
      </w:pPr>
      <w:r>
        <w:rPr>
          <w:rFonts w:hint="eastAsia" w:ascii="仿宋_GB2312" w:hAnsi="仿宋_GB2312" w:eastAsia="仿宋_GB2312" w:cs="仿宋_GB2312"/>
          <w:sz w:val="32"/>
          <w:szCs w:val="24"/>
        </w:rPr>
        <w:t>绩效目标：创新服务手段，举全中心之力强力推进信息化建设，加强综合服务平台建设；简化办事要件，压缩办结时限，优化业务系统，全力推进住房公积金信息共享工作，让办事群众办理住房公积金业务更加方便快捷。以“全国住房公积金小程序”为载体，大力推进“跨省通办”业务，力争住房公积金办理再提速。</w:t>
      </w:r>
    </w:p>
    <w:p w14:paraId="173DDD0A">
      <w:pPr>
        <w:adjustRightInd w:val="0"/>
        <w:snapToGrid w:val="0"/>
        <w:spacing w:line="360" w:lineRule="auto"/>
        <w:ind w:firstLine="640" w:firstLineChars="200"/>
        <w:outlineLvl w:val="0"/>
        <w:rPr>
          <w:rFonts w:ascii="仿宋_GB2312" w:hAnsi="仿宋_GB2312" w:eastAsia="仿宋_GB2312" w:cs="仿宋_GB2312"/>
          <w:sz w:val="32"/>
          <w:szCs w:val="24"/>
        </w:rPr>
      </w:pPr>
      <w:r>
        <w:rPr>
          <w:rFonts w:hint="eastAsia" w:ascii="仿宋_GB2312" w:hAnsi="仿宋_GB2312" w:eastAsia="仿宋_GB2312" w:cs="仿宋_GB2312"/>
          <w:sz w:val="32"/>
          <w:szCs w:val="24"/>
        </w:rPr>
        <w:t>绩效指标：全面推行住房公积金缴存、提取、贷款业务网上办理、手机办理，缴存单位可在网上办理单位信息变更、缴存基数调整、汇缴核定等缴存业务，办事群众可7*24小时，随时随地办理离退休提取、离职半年提取、公积金还贷提取等业务，离柜率达到70%以上；全面推行提取到个人模式，提取实时办结，10分钟完成全部业务；住房公积金个人贷款审批时限缩减至7个工作日，办理提前还款及贷款结清业务实现缩减至1个工作日。积极与人行、住建、人社部门沟通协调，打通数据壁垒，以信息共享促进流程优化、要件瘦身，逐步实现住房公积金业务“零材料”办理；推进与人社、省直等信息互联互通，打造一流服务环境，“三创四建”活动取得实效。</w:t>
      </w:r>
    </w:p>
    <w:p w14:paraId="6C5D8305">
      <w:pPr>
        <w:adjustRightInd w:val="0"/>
        <w:snapToGrid w:val="0"/>
        <w:spacing w:line="360" w:lineRule="auto"/>
        <w:ind w:firstLine="640" w:firstLineChars="200"/>
        <w:outlineLvl w:val="0"/>
        <w:rPr>
          <w:rFonts w:ascii="黑体" w:hAnsi="黑体" w:eastAsia="黑体"/>
          <w:sz w:val="32"/>
          <w:szCs w:val="32"/>
        </w:rPr>
      </w:pPr>
      <w:r>
        <w:rPr>
          <w:rFonts w:hint="eastAsia" w:ascii="黑体" w:hAnsi="黑体" w:eastAsia="黑体"/>
          <w:sz w:val="32"/>
          <w:szCs w:val="32"/>
        </w:rPr>
        <w:t>二、自评工作开展情况</w:t>
      </w:r>
      <w:bookmarkEnd w:id="25"/>
      <w:bookmarkEnd w:id="26"/>
    </w:p>
    <w:p w14:paraId="0E3861C7">
      <w:pPr>
        <w:spacing w:line="360" w:lineRule="auto"/>
        <w:ind w:firstLine="472" w:firstLineChars="147"/>
        <w:outlineLvl w:val="1"/>
        <w:rPr>
          <w:rFonts w:ascii="仿宋" w:hAnsi="仿宋" w:eastAsia="仿宋" w:cs="楷体_GB2312"/>
          <w:sz w:val="32"/>
          <w:szCs w:val="32"/>
        </w:rPr>
      </w:pPr>
      <w:bookmarkStart w:id="27" w:name="_Toc16612"/>
      <w:bookmarkStart w:id="28" w:name="_Toc2933"/>
      <w:r>
        <w:rPr>
          <w:rFonts w:hint="eastAsia" w:ascii="仿宋" w:hAnsi="仿宋" w:eastAsia="仿宋" w:cs="楷体_GB2312"/>
          <w:b/>
          <w:bCs/>
          <w:sz w:val="32"/>
          <w:szCs w:val="32"/>
        </w:rPr>
        <w:t>（一）自评的组织工作</w:t>
      </w:r>
      <w:bookmarkEnd w:id="27"/>
      <w:bookmarkEnd w:id="28"/>
    </w:p>
    <w:p w14:paraId="24082F22">
      <w:pPr>
        <w:spacing w:line="360" w:lineRule="auto"/>
        <w:ind w:firstLine="640" w:firstLineChars="200"/>
        <w:rPr>
          <w:rFonts w:ascii="仿宋" w:hAnsi="仿宋" w:eastAsia="仿宋"/>
          <w:sz w:val="32"/>
          <w:szCs w:val="32"/>
        </w:rPr>
      </w:pPr>
      <w:bookmarkStart w:id="29" w:name="_Hlk40973109"/>
      <w:r>
        <w:rPr>
          <w:rFonts w:hint="eastAsia" w:ascii="仿宋" w:hAnsi="仿宋" w:eastAsia="仿宋" w:cs="仿宋"/>
          <w:sz w:val="32"/>
          <w:szCs w:val="32"/>
        </w:rPr>
        <w:t>2023年3月15至3月28日期间</w:t>
      </w:r>
      <w:bookmarkEnd w:id="29"/>
      <w:r>
        <w:rPr>
          <w:rFonts w:hint="eastAsia" w:ascii="仿宋" w:hAnsi="仿宋" w:eastAsia="仿宋" w:cs="仿宋"/>
          <w:sz w:val="32"/>
          <w:szCs w:val="32"/>
        </w:rPr>
        <w:t>，</w:t>
      </w:r>
      <w:r>
        <w:rPr>
          <w:rFonts w:hint="eastAsia" w:ascii="仿宋_GB2312" w:eastAsia="仿宋_GB2312"/>
          <w:sz w:val="32"/>
          <w:szCs w:val="32"/>
        </w:rPr>
        <w:t>公积金中心</w:t>
      </w:r>
      <w:r>
        <w:rPr>
          <w:rFonts w:hint="eastAsia" w:ascii="仿宋" w:hAnsi="仿宋" w:eastAsia="仿宋" w:cs="仿宋"/>
          <w:sz w:val="32"/>
          <w:szCs w:val="32"/>
        </w:rPr>
        <w:t>按照自评工作安排，由</w:t>
      </w:r>
      <w:r>
        <w:rPr>
          <w:rFonts w:hint="eastAsia" w:ascii="仿宋_GB2312" w:eastAsia="仿宋_GB2312"/>
          <w:sz w:val="32"/>
          <w:szCs w:val="32"/>
        </w:rPr>
        <w:t>业务主管部门、财务部门以及第三方机构共同组成绩效评价组</w:t>
      </w:r>
      <w:r>
        <w:rPr>
          <w:rFonts w:hint="eastAsia" w:ascii="仿宋" w:hAnsi="仿宋" w:eastAsia="仿宋" w:cs="仿宋"/>
          <w:sz w:val="32"/>
          <w:szCs w:val="32"/>
        </w:rPr>
        <w:t>，事先制定了绩效评价方案，以期初预算绩效指标为依据，通过收集整理政策文件、账本凭证以及支出明细等，制定具体评价方案，对评价人员进行分组，工作落实到个人，对2022年度部门整体支出进行评价，重点关注项目实施情况、资金拨付情况、服务对象满意度等环节。</w:t>
      </w:r>
    </w:p>
    <w:p w14:paraId="5631ACF5">
      <w:pPr>
        <w:numPr>
          <w:ilvl w:val="0"/>
          <w:numId w:val="2"/>
        </w:numPr>
        <w:spacing w:line="360" w:lineRule="auto"/>
        <w:ind w:left="641"/>
        <w:outlineLvl w:val="1"/>
        <w:rPr>
          <w:rFonts w:ascii="仿宋" w:hAnsi="仿宋" w:eastAsia="仿宋" w:cs="楷体_GB2312"/>
          <w:b/>
          <w:bCs/>
          <w:sz w:val="32"/>
          <w:szCs w:val="32"/>
        </w:rPr>
      </w:pPr>
      <w:bookmarkStart w:id="30" w:name="_Toc25509"/>
      <w:bookmarkStart w:id="31" w:name="_Toc23912"/>
      <w:r>
        <w:rPr>
          <w:rFonts w:hint="eastAsia" w:ascii="仿宋" w:hAnsi="仿宋" w:eastAsia="仿宋" w:cs="楷体_GB2312"/>
          <w:b/>
          <w:bCs/>
          <w:sz w:val="32"/>
          <w:szCs w:val="32"/>
        </w:rPr>
        <w:t>自评的方法和过程</w:t>
      </w:r>
      <w:bookmarkEnd w:id="30"/>
      <w:bookmarkEnd w:id="31"/>
    </w:p>
    <w:p w14:paraId="6E4885FE">
      <w:pPr>
        <w:spacing w:line="360" w:lineRule="auto"/>
        <w:ind w:firstLine="640" w:firstLineChars="200"/>
      </w:pPr>
      <w:r>
        <w:rPr>
          <w:rFonts w:hint="eastAsia" w:ascii="仿宋" w:hAnsi="仿宋" w:eastAsia="仿宋" w:cs="仿宋"/>
          <w:sz w:val="32"/>
          <w:szCs w:val="32"/>
        </w:rPr>
        <w:t>2023年3月15至3月28日期间，按照前期组织工作安排开展自评。通过查阅收集相关资料、审查账簿凭证，查看项目具体实施情况后，对专项资金进行分析评价。绩效评价组严格按照文件要求，实事求是、客观公正地进行本次绩效评价工作，形成《2022年度部门整体支出绩效自评报告》。</w:t>
      </w:r>
    </w:p>
    <w:p w14:paraId="03285AEA">
      <w:pPr>
        <w:spacing w:line="360" w:lineRule="auto"/>
        <w:ind w:firstLine="640" w:firstLineChars="200"/>
        <w:outlineLvl w:val="0"/>
        <w:rPr>
          <w:rFonts w:ascii="黑体" w:hAnsi="黑体" w:eastAsia="黑体"/>
          <w:b/>
          <w:bCs/>
          <w:sz w:val="32"/>
          <w:szCs w:val="32"/>
        </w:rPr>
      </w:pPr>
      <w:bookmarkStart w:id="32" w:name="_Toc16669"/>
      <w:bookmarkStart w:id="33" w:name="_Toc12595"/>
      <w:r>
        <w:rPr>
          <w:rFonts w:hint="eastAsia" w:ascii="黑体" w:hAnsi="黑体" w:eastAsia="黑体"/>
          <w:sz w:val="32"/>
          <w:szCs w:val="32"/>
        </w:rPr>
        <w:t>三、部门整体支出绩效目标实现情况及指标分析</w:t>
      </w:r>
      <w:bookmarkEnd w:id="32"/>
      <w:bookmarkEnd w:id="33"/>
    </w:p>
    <w:p w14:paraId="58B1D5C2">
      <w:pPr>
        <w:spacing w:line="360" w:lineRule="auto"/>
        <w:ind w:firstLine="643" w:firstLineChars="200"/>
        <w:outlineLvl w:val="1"/>
        <w:rPr>
          <w:rFonts w:ascii="仿宋" w:hAnsi="仿宋" w:eastAsia="仿宋" w:cs="楷体_GB2312"/>
          <w:b/>
          <w:bCs/>
          <w:sz w:val="32"/>
          <w:szCs w:val="32"/>
        </w:rPr>
      </w:pPr>
      <w:bookmarkStart w:id="34" w:name="_Toc3335"/>
      <w:bookmarkStart w:id="35" w:name="_Toc4357"/>
      <w:r>
        <w:rPr>
          <w:rFonts w:hint="eastAsia" w:ascii="仿宋" w:hAnsi="仿宋" w:eastAsia="仿宋" w:cs="楷体_GB2312"/>
          <w:b/>
          <w:bCs/>
          <w:sz w:val="32"/>
          <w:szCs w:val="32"/>
        </w:rPr>
        <w:t>（一）总体绩效目标实现情况</w:t>
      </w:r>
      <w:bookmarkEnd w:id="34"/>
      <w:bookmarkEnd w:id="35"/>
    </w:p>
    <w:p w14:paraId="779F2DFB">
      <w:pPr>
        <w:spacing w:line="360" w:lineRule="auto"/>
        <w:ind w:firstLine="640" w:firstLineChars="200"/>
        <w:rPr>
          <w:rFonts w:ascii="仿宋_GB2312" w:hAnsi="仿宋_GB2312" w:eastAsia="仿宋_GB2312" w:cs="仿宋_GB2312"/>
          <w:sz w:val="32"/>
          <w:szCs w:val="32"/>
        </w:rPr>
      </w:pPr>
      <w:r>
        <w:rPr>
          <w:rFonts w:hint="eastAsia" w:ascii="仿宋_GB2312" w:hAnsi="宋体" w:eastAsia="仿宋_GB2312"/>
          <w:sz w:val="32"/>
          <w:szCs w:val="32"/>
        </w:rPr>
        <w:t>2022年，</w:t>
      </w:r>
      <w:r>
        <w:rPr>
          <w:rFonts w:hint="eastAsia" w:ascii="仿宋_GB2312" w:eastAsia="仿宋_GB2312"/>
          <w:sz w:val="32"/>
          <w:szCs w:val="32"/>
        </w:rPr>
        <w:t>在市委、市政府的正确领导和管委会的监督指导下，</w:t>
      </w:r>
      <w:r>
        <w:rPr>
          <w:rFonts w:hint="eastAsia" w:ascii="仿宋_GB2312" w:hAnsi="宋体" w:eastAsia="仿宋_GB2312"/>
          <w:sz w:val="32"/>
          <w:szCs w:val="32"/>
        </w:rPr>
        <w:t>公积金中心</w:t>
      </w:r>
      <w:r>
        <w:rPr>
          <w:rFonts w:hint="eastAsia" w:ascii="仿宋_GB2312" w:eastAsia="仿宋_GB2312"/>
          <w:sz w:val="32"/>
          <w:szCs w:val="32"/>
        </w:rPr>
        <w:t>坚持以习近平新时代中国特色社会主义思想为指导，以迎接、学习、宣传、贯彻党的二十大精神为主线，对标对表</w:t>
      </w:r>
      <w:r>
        <w:rPr>
          <w:rFonts w:hint="eastAsia" w:ascii="仿宋_GB2312" w:hAnsi="仿宋_GB2312" w:eastAsia="仿宋_GB2312" w:cs="仿宋_GB2312"/>
          <w:sz w:val="32"/>
          <w:szCs w:val="32"/>
        </w:rPr>
        <w:t>省委十届二次全会、市委十一届四次全会确定的目标</w:t>
      </w:r>
      <w:r>
        <w:rPr>
          <w:rFonts w:hint="eastAsia" w:ascii="仿宋_GB2312" w:eastAsia="仿宋_GB2312"/>
          <w:sz w:val="32"/>
          <w:szCs w:val="32"/>
        </w:rPr>
        <w:t>任务，</w:t>
      </w:r>
      <w:r>
        <w:rPr>
          <w:rFonts w:hint="eastAsia" w:ascii="仿宋_GB2312" w:hAnsi="Arial" w:eastAsia="仿宋_GB2312" w:cs="Arial"/>
          <w:sz w:val="32"/>
          <w:szCs w:val="32"/>
          <w:shd w:val="clear" w:color="auto" w:fill="FFFFFF"/>
        </w:rPr>
        <w:t>促归集、惠民生、转作风、防风险，深入实施阶段性支持政策，持续挖掘住房公积金潜力，全面提升住房公积金管理效能，</w:t>
      </w:r>
      <w:r>
        <w:rPr>
          <w:rFonts w:hint="eastAsia" w:ascii="仿宋_GB2312" w:eastAsia="仿宋_GB2312"/>
          <w:sz w:val="32"/>
          <w:szCs w:val="32"/>
        </w:rPr>
        <w:t>各项工作不断迈上了新台阶、取得了新成效。</w:t>
      </w:r>
    </w:p>
    <w:p w14:paraId="5FD8BFBC">
      <w:pPr>
        <w:spacing w:line="360" w:lineRule="auto"/>
        <w:ind w:firstLine="640" w:firstLineChars="200"/>
        <w:rPr>
          <w:rFonts w:ascii="仿宋_GB2312" w:hAnsi="宋体" w:eastAsia="仿宋_GB2312" w:cs="宋体"/>
          <w:sz w:val="32"/>
          <w:szCs w:val="32"/>
        </w:rPr>
      </w:pPr>
      <w:r>
        <w:rPr>
          <w:rFonts w:hint="eastAsia" w:ascii="仿宋_GB2312" w:eastAsia="仿宋_GB2312"/>
          <w:sz w:val="32"/>
          <w:szCs w:val="32"/>
        </w:rPr>
        <w:t>2022年全市</w:t>
      </w:r>
      <w:r>
        <w:rPr>
          <w:rFonts w:hint="eastAsia" w:ascii="仿宋_GB2312" w:hAnsi="宋体" w:eastAsia="仿宋_GB2312" w:cs="宋体"/>
          <w:sz w:val="32"/>
          <w:szCs w:val="32"/>
        </w:rPr>
        <w:t>归集住房公积金141.59亿元，完成计划任务的103.35%</w:t>
      </w:r>
      <w:r>
        <w:rPr>
          <w:rFonts w:hint="eastAsia" w:ascii="仿宋_GB2312" w:eastAsia="仿宋_GB2312"/>
          <w:sz w:val="32"/>
          <w:szCs w:val="32"/>
        </w:rPr>
        <w:t>。</w:t>
      </w:r>
      <w:r>
        <w:rPr>
          <w:rFonts w:hint="eastAsia" w:ascii="仿宋_GB2312" w:hAnsi="宋体" w:eastAsia="仿宋_GB2312" w:cs="宋体"/>
          <w:sz w:val="32"/>
          <w:szCs w:val="32"/>
        </w:rPr>
        <w:t>截至2022年12月底，累计归集住房公积金1170.25</w:t>
      </w:r>
      <w:r>
        <w:rPr>
          <w:rFonts w:hint="eastAsia" w:ascii="仿宋_GB2312" w:eastAsia="仿宋_GB2312" w:cs="仿宋_GB2312"/>
          <w:sz w:val="32"/>
          <w:szCs w:val="32"/>
        </w:rPr>
        <w:t>亿元。</w:t>
      </w:r>
    </w:p>
    <w:p w14:paraId="221257AD">
      <w:pPr>
        <w:spacing w:line="360" w:lineRule="auto"/>
        <w:ind w:firstLine="640" w:firstLineChars="200"/>
        <w:rPr>
          <w:rFonts w:ascii="仿宋_GB2312" w:hAnsi="宋体" w:eastAsia="仿宋_GB2312" w:cs="宋体"/>
          <w:sz w:val="32"/>
          <w:szCs w:val="32"/>
        </w:rPr>
      </w:pPr>
      <w:r>
        <w:rPr>
          <w:rFonts w:hint="eastAsia" w:ascii="仿宋_GB2312" w:hAnsi="宋体" w:eastAsia="仿宋_GB2312" w:cs="宋体"/>
          <w:sz w:val="32"/>
          <w:szCs w:val="32"/>
        </w:rPr>
        <w:t>2022年全市提取住房公积金86.19亿元，完成计划任务的103.84%。截至2022年12月底，累计提取住房公积金638.09亿元，住房公积金缴存余额532.16亿元。</w:t>
      </w:r>
    </w:p>
    <w:p w14:paraId="4C0CF3AD">
      <w:pPr>
        <w:spacing w:line="360" w:lineRule="auto"/>
        <w:ind w:firstLine="640" w:firstLineChars="200"/>
        <w:rPr>
          <w:rFonts w:ascii="仿宋_GB2312" w:eastAsia="仿宋_GB2312"/>
          <w:sz w:val="32"/>
          <w:szCs w:val="32"/>
        </w:rPr>
      </w:pPr>
      <w:r>
        <w:rPr>
          <w:rFonts w:hint="eastAsia" w:ascii="仿宋_GB2312" w:eastAsia="仿宋_GB2312"/>
          <w:sz w:val="32"/>
          <w:szCs w:val="32"/>
        </w:rPr>
        <w:t>2022年全市发放住房公积金个人贷款60.84</w:t>
      </w:r>
      <w:r>
        <w:rPr>
          <w:rFonts w:hint="eastAsia" w:ascii="仿宋_GB2312" w:eastAsia="仿宋_GB2312" w:cs="仿宋_GB2312"/>
          <w:sz w:val="32"/>
          <w:szCs w:val="32"/>
        </w:rPr>
        <w:t>亿元，</w:t>
      </w:r>
      <w:r>
        <w:rPr>
          <w:rFonts w:hint="eastAsia" w:ascii="仿宋_GB2312" w:hAnsi="宋体" w:eastAsia="仿宋_GB2312" w:cs="宋体"/>
          <w:sz w:val="32"/>
          <w:szCs w:val="32"/>
        </w:rPr>
        <w:t>完成计划任务的114.79%</w:t>
      </w:r>
      <w:r>
        <w:rPr>
          <w:rFonts w:hint="eastAsia" w:ascii="仿宋_GB2312" w:eastAsia="仿宋_GB2312"/>
          <w:sz w:val="32"/>
          <w:szCs w:val="32"/>
        </w:rPr>
        <w:t>。截至2022年12月底，累计发放住房公积金个人贷款18.74万笔、612.24亿元，住房公积金个人贷款余额360.98亿元。</w:t>
      </w:r>
    </w:p>
    <w:p w14:paraId="38BEECB5">
      <w:pPr>
        <w:spacing w:line="360" w:lineRule="auto"/>
        <w:ind w:firstLine="640" w:firstLineChars="200"/>
      </w:pPr>
      <w:r>
        <w:rPr>
          <w:rFonts w:hint="eastAsia" w:ascii="仿宋_GB2312" w:hAnsi="宋体" w:eastAsia="仿宋_GB2312"/>
          <w:sz w:val="32"/>
          <w:szCs w:val="32"/>
          <w:shd w:val="clear" w:color="auto" w:fill="FFFFFF"/>
        </w:rPr>
        <w:t>2022年全市实现住房公积金增值收益7.75亿元，完成计划任务的101.97%。</w:t>
      </w:r>
    </w:p>
    <w:p w14:paraId="5C0F6B1B">
      <w:pPr>
        <w:spacing w:line="360" w:lineRule="auto"/>
        <w:outlineLvl w:val="1"/>
        <w:rPr>
          <w:rFonts w:ascii="仿宋" w:hAnsi="仿宋" w:eastAsia="仿宋"/>
          <w:b/>
          <w:bCs/>
          <w:sz w:val="32"/>
          <w:szCs w:val="32"/>
        </w:rPr>
      </w:pPr>
      <w:bookmarkStart w:id="36" w:name="_Toc6733"/>
      <w:bookmarkStart w:id="37" w:name="_Toc31007"/>
      <w:r>
        <w:rPr>
          <w:rFonts w:hint="eastAsia" w:ascii="仿宋" w:hAnsi="仿宋" w:eastAsia="仿宋" w:cs="楷体_GB2312"/>
          <w:b/>
          <w:bCs/>
          <w:sz w:val="32"/>
          <w:szCs w:val="32"/>
        </w:rPr>
        <w:t>（二）分项绩效目标实现情况及指标分析</w:t>
      </w:r>
      <w:bookmarkEnd w:id="36"/>
      <w:bookmarkEnd w:id="37"/>
    </w:p>
    <w:p w14:paraId="37AA9EAB">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公积金中心根据2022年工作计划，认真履行职责，较好地完成了当年的各项工作任务，为我市住房公积金管理开创新局面及省会高质量发展做出新的更大贡献。其中：</w:t>
      </w:r>
    </w:p>
    <w:p w14:paraId="656C2115">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数量指标（10分）：包括发放10名聘用人员劳务费用，</w:t>
      </w:r>
    </w:p>
    <w:p w14:paraId="71CCE7CF">
      <w:pPr>
        <w:spacing w:line="360" w:lineRule="auto"/>
        <w:rPr>
          <w:rFonts w:ascii="仿宋" w:hAnsi="仿宋" w:eastAsia="仿宋" w:cs="仿宋"/>
          <w:sz w:val="32"/>
          <w:szCs w:val="32"/>
        </w:rPr>
      </w:pPr>
      <w:r>
        <w:rPr>
          <w:rFonts w:hint="eastAsia" w:ascii="仿宋" w:hAnsi="仿宋" w:eastAsia="仿宋" w:cs="仿宋"/>
          <w:sz w:val="32"/>
          <w:szCs w:val="32"/>
        </w:rPr>
        <w:t>消防、电梯、中央空调、高压配电室等4次检测，开展第三方评价活动1次，组织人员培训1次，购置、更新部分老化电脑、增加部分办公设备，均按照计划数量进行完成，完成率100%。</w:t>
      </w:r>
    </w:p>
    <w:p w14:paraId="13434382">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质量指标（10分）：一是组织相关业务知识培训和研讨交流，工作队伍人员素质得以提升；二是通过业务培训、研讨交流及调研活动，工作队伍人员素质明显提升，能够对准本部门问题，寻找解决办法，提出整改措施，实现机关办事效率、服务水平再提升。</w:t>
      </w:r>
    </w:p>
    <w:p w14:paraId="15A0DDAF">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成本指标（10分）：主要考量办公耗材购置成本及日常使用，综合全年情况，办公耗材购置均按要求执行，未超出预算标准，日常实行科学管理，通过制定规章制度，严格控制办公耗材使用，坚持厉行节约，未发生浪费行为。</w:t>
      </w:r>
    </w:p>
    <w:p w14:paraId="2EC6B1B0">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时效指标（10分）：该项目时效指标主要考量各项设备是否得到及时采购，及时率100%。</w:t>
      </w:r>
    </w:p>
    <w:p w14:paraId="74E6BFE3">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效益指标（40分）：围绕全市工作大局，精细谋划工作，坚持应贷尽贷、应取尽取，积极发挥住房公积金杠杆作用，全面开展组合贷款、异地贷款、贴息贷款业务，集中开展房地产开发企业拒绝住房公积金贷款专项整治，有效促进我市房地产市场平稳健康发展。</w:t>
      </w:r>
    </w:p>
    <w:p w14:paraId="14ECB651">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坚持以群众需求为导向，立足便民利民，积极利用“互联网+”技术，进一步完善网上营业大厅各项功能，丰富官方微信相关内容，逐步形成类型多样、互为补充的住房公积金综合服务平台，满足缴存职工多元化、个性化的服务需求。</w:t>
      </w:r>
    </w:p>
    <w:p w14:paraId="192C29A3">
      <w:pPr>
        <w:spacing w:line="360" w:lineRule="auto"/>
        <w:ind w:firstLine="640" w:firstLineChars="200"/>
        <w:outlineLvl w:val="0"/>
        <w:rPr>
          <w:rFonts w:ascii="仿宋" w:hAnsi="仿宋" w:eastAsia="仿宋" w:cs="仿宋"/>
          <w:sz w:val="32"/>
          <w:szCs w:val="32"/>
        </w:rPr>
      </w:pPr>
      <w:bookmarkStart w:id="38" w:name="_Toc26242"/>
      <w:bookmarkStart w:id="39" w:name="_Toc15783"/>
      <w:r>
        <w:rPr>
          <w:rFonts w:hint="eastAsia" w:ascii="黑体" w:hAnsi="黑体" w:eastAsia="黑体"/>
          <w:sz w:val="32"/>
          <w:szCs w:val="32"/>
        </w:rPr>
        <w:t>四、评价结论和评价等级</w:t>
      </w:r>
      <w:bookmarkEnd w:id="38"/>
      <w:bookmarkEnd w:id="39"/>
    </w:p>
    <w:p w14:paraId="1568F892">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根据部门职责定位和各项工作履职情况进行综合评价，公积金中心此次绩效自评整体评优率为100%，资金支出率为</w:t>
      </w:r>
      <w:r>
        <w:rPr>
          <w:rFonts w:hint="eastAsia" w:ascii="仿宋_GB2312" w:hAnsi="仿宋_GB2312" w:eastAsia="仿宋_GB2312" w:cs="仿宋_GB2312"/>
          <w:sz w:val="32"/>
          <w:szCs w:val="32"/>
        </w:rPr>
        <w:t>96.57</w:t>
      </w:r>
      <w:r>
        <w:rPr>
          <w:rFonts w:hint="eastAsia" w:ascii="仿宋" w:hAnsi="仿宋" w:eastAsia="仿宋" w:cs="仿宋"/>
          <w:sz w:val="32"/>
          <w:szCs w:val="32"/>
        </w:rPr>
        <w:t>%，部门整体支出综合绩效评价为</w:t>
      </w:r>
      <w:r>
        <w:rPr>
          <w:rFonts w:hint="eastAsia" w:ascii="仿宋_GB2312" w:hAnsi="仿宋_GB2312" w:eastAsia="仿宋_GB2312" w:cs="仿宋_GB2312"/>
          <w:sz w:val="32"/>
          <w:szCs w:val="32"/>
        </w:rPr>
        <w:t>96.57</w:t>
      </w:r>
      <w:r>
        <w:rPr>
          <w:rFonts w:hint="eastAsia" w:ascii="仿宋" w:hAnsi="仿宋" w:eastAsia="仿宋" w:cs="仿宋"/>
          <w:sz w:val="32"/>
          <w:szCs w:val="32"/>
        </w:rPr>
        <w:t>分，</w:t>
      </w:r>
      <w:r>
        <w:rPr>
          <w:rFonts w:hint="eastAsia" w:ascii="仿宋_GB2312" w:eastAsia="仿宋_GB2312"/>
          <w:sz w:val="32"/>
          <w:szCs w:val="32"/>
        </w:rPr>
        <w:t>等级为“优秀”。</w:t>
      </w:r>
    </w:p>
    <w:p w14:paraId="354DBD19">
      <w:pPr>
        <w:spacing w:line="360" w:lineRule="auto"/>
        <w:ind w:firstLine="640" w:firstLineChars="200"/>
        <w:outlineLvl w:val="0"/>
        <w:rPr>
          <w:rFonts w:ascii="黑体" w:hAnsi="黑体" w:eastAsia="黑体"/>
          <w:sz w:val="32"/>
          <w:szCs w:val="32"/>
        </w:rPr>
      </w:pPr>
      <w:bookmarkStart w:id="40" w:name="_Toc10679"/>
      <w:bookmarkStart w:id="41" w:name="_Toc26052"/>
      <w:r>
        <w:rPr>
          <w:rFonts w:hint="eastAsia" w:ascii="黑体" w:hAnsi="黑体" w:eastAsia="黑体"/>
          <w:sz w:val="32"/>
          <w:szCs w:val="32"/>
        </w:rPr>
        <w:t>五、存在的问题及改进措施</w:t>
      </w:r>
      <w:bookmarkEnd w:id="40"/>
      <w:bookmarkEnd w:id="41"/>
    </w:p>
    <w:p w14:paraId="4E825014">
      <w:pPr>
        <w:spacing w:line="360" w:lineRule="auto"/>
        <w:ind w:firstLine="643" w:firstLineChars="200"/>
        <w:outlineLvl w:val="1"/>
        <w:rPr>
          <w:rFonts w:ascii="仿宋" w:hAnsi="仿宋" w:eastAsia="仿宋"/>
          <w:b/>
          <w:bCs/>
          <w:sz w:val="32"/>
          <w:szCs w:val="32"/>
        </w:rPr>
      </w:pPr>
      <w:bookmarkStart w:id="42" w:name="_Toc15470"/>
      <w:bookmarkStart w:id="43" w:name="_Toc26658"/>
      <w:r>
        <w:rPr>
          <w:rFonts w:hint="eastAsia" w:ascii="仿宋" w:hAnsi="仿宋" w:eastAsia="仿宋"/>
          <w:b/>
          <w:bCs/>
          <w:sz w:val="32"/>
          <w:szCs w:val="32"/>
        </w:rPr>
        <w:t>（一）存在的主要问题</w:t>
      </w:r>
      <w:bookmarkEnd w:id="42"/>
      <w:bookmarkEnd w:id="43"/>
    </w:p>
    <w:p w14:paraId="08F6BA80">
      <w:pPr>
        <w:spacing w:line="360" w:lineRule="auto"/>
        <w:ind w:firstLine="640" w:firstLineChars="200"/>
        <w:rPr>
          <w:rFonts w:ascii="仿宋" w:hAnsi="仿宋" w:eastAsia="仿宋"/>
          <w:sz w:val="32"/>
          <w:szCs w:val="32"/>
        </w:rPr>
      </w:pPr>
      <w:r>
        <w:rPr>
          <w:rFonts w:hint="eastAsia" w:ascii="仿宋" w:hAnsi="仿宋" w:eastAsia="仿宋"/>
          <w:sz w:val="32"/>
          <w:szCs w:val="32"/>
        </w:rPr>
        <w:t>预算执行率有待进一步提高。年末结转和结余金额，不利于财政资金统筹使用，提高效益，预算管理有待加强，预算编制科学性和准确性有待提高。</w:t>
      </w:r>
    </w:p>
    <w:p w14:paraId="42B028BA">
      <w:pPr>
        <w:spacing w:line="360" w:lineRule="auto"/>
        <w:ind w:firstLine="472" w:firstLineChars="147"/>
        <w:outlineLvl w:val="1"/>
        <w:rPr>
          <w:rFonts w:ascii="仿宋" w:hAnsi="仿宋" w:eastAsia="仿宋"/>
          <w:b/>
          <w:bCs/>
          <w:sz w:val="32"/>
          <w:szCs w:val="32"/>
        </w:rPr>
      </w:pPr>
      <w:bookmarkStart w:id="44" w:name="_Toc22082"/>
      <w:bookmarkStart w:id="45" w:name="_Toc31504"/>
      <w:r>
        <w:rPr>
          <w:rFonts w:hint="eastAsia" w:ascii="仿宋" w:hAnsi="仿宋" w:eastAsia="仿宋"/>
          <w:b/>
          <w:bCs/>
          <w:sz w:val="32"/>
          <w:szCs w:val="32"/>
        </w:rPr>
        <w:t>（二）针对问题提出具体的改进措施或建议</w:t>
      </w:r>
      <w:bookmarkEnd w:id="44"/>
      <w:bookmarkEnd w:id="45"/>
    </w:p>
    <w:p w14:paraId="4BDE69D4">
      <w:pPr>
        <w:spacing w:line="360" w:lineRule="auto"/>
        <w:ind w:firstLine="640" w:firstLineChars="200"/>
        <w:rPr>
          <w:rFonts w:ascii="仿宋" w:hAnsi="仿宋" w:eastAsia="仿宋"/>
          <w:sz w:val="32"/>
          <w:szCs w:val="32"/>
        </w:rPr>
      </w:pPr>
      <w:r>
        <w:rPr>
          <w:rFonts w:hint="eastAsia" w:ascii="仿宋" w:hAnsi="仿宋" w:eastAsia="仿宋"/>
          <w:sz w:val="32"/>
          <w:szCs w:val="32"/>
        </w:rPr>
        <w:t>一是提高预算编制的科学性、合理性。根据公积金中心下年度重点工作安排，提前开展预算编制工作，进一步细化预算编制， 提升预算编制准确性；</w:t>
      </w:r>
    </w:p>
    <w:p w14:paraId="30D6DB18">
      <w:pPr>
        <w:spacing w:line="360" w:lineRule="auto"/>
        <w:ind w:firstLine="640" w:firstLineChars="200"/>
      </w:pPr>
      <w:r>
        <w:rPr>
          <w:rFonts w:hint="eastAsia" w:ascii="仿宋" w:hAnsi="仿宋" w:eastAsia="仿宋"/>
          <w:sz w:val="32"/>
          <w:szCs w:val="32"/>
        </w:rPr>
        <w:t>二是严格部门预算执行，提升预算执行率。要根据《</w:t>
      </w:r>
      <w:r>
        <w:rPr>
          <w:rFonts w:hint="eastAsia" w:ascii="仿宋" w:hAnsi="仿宋" w:eastAsia="仿宋"/>
          <w:sz w:val="32"/>
          <w:szCs w:val="32"/>
          <w:lang w:eastAsia="zh-CN"/>
        </w:rPr>
        <w:t>中华人民共和国</w:t>
      </w:r>
      <w:r>
        <w:rPr>
          <w:rFonts w:hint="eastAsia" w:ascii="仿宋" w:hAnsi="仿宋" w:eastAsia="仿宋"/>
          <w:sz w:val="32"/>
          <w:szCs w:val="32"/>
        </w:rPr>
        <w:t>预算法》及内部控制有关要求，将预算批复进行在公积金中心内部分解下达，保证预算执行的有效性，提高预算执行率，减少指标跨年结转。</w:t>
      </w:r>
    </w:p>
    <w:p w14:paraId="7A2EF8D2">
      <w:pPr>
        <w:adjustRightInd w:val="0"/>
        <w:snapToGrid w:val="0"/>
        <w:spacing w:line="360" w:lineRule="auto"/>
        <w:ind w:firstLine="640" w:firstLineChars="200"/>
        <w:outlineLvl w:val="0"/>
        <w:rPr>
          <w:rFonts w:ascii="黑体" w:hAnsi="黑体" w:eastAsia="黑体"/>
          <w:sz w:val="32"/>
          <w:szCs w:val="32"/>
        </w:rPr>
      </w:pPr>
      <w:bookmarkStart w:id="46" w:name="_Toc30580"/>
      <w:bookmarkStart w:id="47" w:name="_Toc15408"/>
      <w:r>
        <w:rPr>
          <w:rFonts w:hint="eastAsia" w:ascii="黑体" w:hAnsi="黑体" w:eastAsia="黑体"/>
          <w:sz w:val="32"/>
          <w:szCs w:val="32"/>
        </w:rPr>
        <w:t>六、评价工作组人员名单及签字（姓名、工作单位、职务、职称）</w:t>
      </w:r>
      <w:bookmarkEnd w:id="46"/>
      <w:bookmarkEnd w:id="47"/>
    </w:p>
    <w:p w14:paraId="27A5210C">
      <w:pPr>
        <w:spacing w:line="360" w:lineRule="auto"/>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组 长：种占信 石家庄住房公积金管理中心总会计师</w:t>
      </w:r>
    </w:p>
    <w:p w14:paraId="7B486825">
      <w:pPr>
        <w:spacing w:line="360" w:lineRule="auto"/>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成 员：底宪民 石家庄住房公积金管理中心办公室主任</w:t>
      </w:r>
    </w:p>
    <w:p w14:paraId="274A4AD7">
      <w:pPr>
        <w:spacing w:line="360" w:lineRule="auto"/>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成 员：张富平 石家庄住房公积金管理中心会计科科长</w:t>
      </w:r>
    </w:p>
    <w:p w14:paraId="6E76F10C">
      <w:pPr>
        <w:spacing w:line="360" w:lineRule="auto"/>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成 员：马  英 石家庄住房公积金管理中心稽核科科长</w:t>
      </w:r>
    </w:p>
    <w:p w14:paraId="092159ED">
      <w:pPr>
        <w:spacing w:line="360" w:lineRule="auto"/>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成 员：周  青 石家庄住房公积金管理中心信息技术科科长</w:t>
      </w:r>
    </w:p>
    <w:p w14:paraId="73B3CC1D">
      <w:pPr>
        <w:spacing w:line="360" w:lineRule="auto"/>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成 员：梁  皓 石家庄住房公积金管理中心办公室副主任</w:t>
      </w:r>
    </w:p>
    <w:p w14:paraId="7B851D6A">
      <w:pPr>
        <w:spacing w:line="360" w:lineRule="auto"/>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成 员：温  雅 石家庄住房公积金管理中心会计科副科长</w:t>
      </w:r>
    </w:p>
    <w:p w14:paraId="184677A9">
      <w:pPr>
        <w:spacing w:line="360" w:lineRule="auto"/>
        <w:jc w:val="left"/>
        <w:rPr>
          <w:rFonts w:ascii="仿宋" w:hAnsi="仿宋" w:eastAsia="仿宋"/>
        </w:rPr>
      </w:pPr>
      <w:r>
        <w:rPr>
          <w:rFonts w:hint="eastAsia" w:ascii="仿宋_GB2312" w:hAnsi="仿宋_GB2312" w:eastAsia="仿宋_GB2312" w:cs="仿宋_GB2312"/>
          <w:sz w:val="32"/>
          <w:szCs w:val="32"/>
        </w:rPr>
        <w:t>成 员：田建英 石家庄住房公积金管理中心稽核科科员</w:t>
      </w:r>
    </w:p>
    <w:p w14:paraId="3BC57505">
      <w:pPr>
        <w:spacing w:line="360" w:lineRule="auto"/>
        <w:jc w:val="left"/>
        <w:rPr>
          <w:rFonts w:ascii="仿宋_GB2312" w:hAnsi="仿宋_GB2312" w:eastAsia="仿宋_GB2312" w:cs="仿宋_GB2312"/>
          <w:sz w:val="32"/>
          <w:szCs w:val="32"/>
        </w:rPr>
      </w:pPr>
    </w:p>
    <w:sectPr>
      <w:footerReference r:id="rId3" w:type="default"/>
      <w:pgSz w:w="11906" w:h="16838"/>
      <w:pgMar w:top="1440" w:right="1800" w:bottom="1440" w:left="1800" w:header="851"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altName w:val="黑体"/>
    <w:panose1 w:val="00000000000000000000"/>
    <w:charset w:val="86"/>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D989FD">
    <w:pPr>
      <w:pStyle w:val="7"/>
      <w:pBdr>
        <w:top w:val="single" w:color="auto" w:sz="4" w:space="1"/>
      </w:pBdr>
      <w:jc w:val="center"/>
      <w:rPr>
        <w:i/>
      </w:rPr>
    </w:pPr>
    <w:r>
      <w:rPr>
        <w:rFonts w:hint="eastAsia"/>
        <w:i/>
      </w:rPr>
      <w:t>第</w:t>
    </w:r>
    <w:r>
      <w:rPr>
        <w:i/>
      </w:rPr>
      <w:fldChar w:fldCharType="begin"/>
    </w:r>
    <w:r>
      <w:rPr>
        <w:i/>
      </w:rPr>
      <w:instrText xml:space="preserve">PAGE   \* MERGEFORMAT</w:instrText>
    </w:r>
    <w:r>
      <w:rPr>
        <w:i/>
      </w:rPr>
      <w:fldChar w:fldCharType="separate"/>
    </w:r>
    <w:r>
      <w:rPr>
        <w:i/>
        <w:lang w:val="zh-CN"/>
      </w:rPr>
      <w:t>13</w:t>
    </w:r>
    <w:r>
      <w:rPr>
        <w:i/>
      </w:rPr>
      <w:fldChar w:fldCharType="end"/>
    </w:r>
    <w:r>
      <w:rPr>
        <w:i/>
      </w:rPr>
      <w:t>页</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74B54506"/>
    <w:multiLevelType w:val="singleLevel"/>
    <w:tmpl w:val="74B54506"/>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ODE1OWZjMDhiYWIxOWYwMWE5ZjljMzIwYTZkZWNjN2MifQ=="/>
    <w:docVar w:name="KSO_WPS_MARK_KEY" w:val="22107be6-3909-4499-a98a-f8b72d66155e"/>
  </w:docVars>
  <w:rsids>
    <w:rsidRoot w:val="0EBD2122"/>
    <w:rsid w:val="00051633"/>
    <w:rsid w:val="00053A72"/>
    <w:rsid w:val="000569DF"/>
    <w:rsid w:val="00067B7A"/>
    <w:rsid w:val="00067F1E"/>
    <w:rsid w:val="00076412"/>
    <w:rsid w:val="00080268"/>
    <w:rsid w:val="00097AED"/>
    <w:rsid w:val="000C38F8"/>
    <w:rsid w:val="000F454A"/>
    <w:rsid w:val="0010177A"/>
    <w:rsid w:val="00112A5A"/>
    <w:rsid w:val="0015003B"/>
    <w:rsid w:val="00161ACA"/>
    <w:rsid w:val="001824A6"/>
    <w:rsid w:val="00184339"/>
    <w:rsid w:val="0019093F"/>
    <w:rsid w:val="001B2257"/>
    <w:rsid w:val="001D07D5"/>
    <w:rsid w:val="001D0854"/>
    <w:rsid w:val="001E70E3"/>
    <w:rsid w:val="00200977"/>
    <w:rsid w:val="002160F6"/>
    <w:rsid w:val="002238E8"/>
    <w:rsid w:val="00223943"/>
    <w:rsid w:val="00274D5B"/>
    <w:rsid w:val="00283E79"/>
    <w:rsid w:val="002A2A5A"/>
    <w:rsid w:val="003411D6"/>
    <w:rsid w:val="0035427C"/>
    <w:rsid w:val="003570CD"/>
    <w:rsid w:val="00366A55"/>
    <w:rsid w:val="00374698"/>
    <w:rsid w:val="00376623"/>
    <w:rsid w:val="00395917"/>
    <w:rsid w:val="003A3D9C"/>
    <w:rsid w:val="003C66E1"/>
    <w:rsid w:val="003D757F"/>
    <w:rsid w:val="00404236"/>
    <w:rsid w:val="00464D4C"/>
    <w:rsid w:val="004815D5"/>
    <w:rsid w:val="004913E2"/>
    <w:rsid w:val="00496D11"/>
    <w:rsid w:val="004B3DF1"/>
    <w:rsid w:val="004F3E20"/>
    <w:rsid w:val="004F5418"/>
    <w:rsid w:val="00533A08"/>
    <w:rsid w:val="0055774E"/>
    <w:rsid w:val="00575CFA"/>
    <w:rsid w:val="00581577"/>
    <w:rsid w:val="00591643"/>
    <w:rsid w:val="005976E0"/>
    <w:rsid w:val="005A6B7D"/>
    <w:rsid w:val="005B443E"/>
    <w:rsid w:val="005B75D8"/>
    <w:rsid w:val="005C7717"/>
    <w:rsid w:val="005F13C9"/>
    <w:rsid w:val="00611192"/>
    <w:rsid w:val="00620AA8"/>
    <w:rsid w:val="0066171A"/>
    <w:rsid w:val="0069471E"/>
    <w:rsid w:val="006A090A"/>
    <w:rsid w:val="006C16A5"/>
    <w:rsid w:val="006C6BAE"/>
    <w:rsid w:val="006E1A65"/>
    <w:rsid w:val="006E7E35"/>
    <w:rsid w:val="00703DF0"/>
    <w:rsid w:val="007128CA"/>
    <w:rsid w:val="007136D8"/>
    <w:rsid w:val="00714F9B"/>
    <w:rsid w:val="007150A4"/>
    <w:rsid w:val="007230E8"/>
    <w:rsid w:val="00737876"/>
    <w:rsid w:val="007514A3"/>
    <w:rsid w:val="00755241"/>
    <w:rsid w:val="007939DA"/>
    <w:rsid w:val="007A5305"/>
    <w:rsid w:val="007E39B6"/>
    <w:rsid w:val="00825625"/>
    <w:rsid w:val="00830BEE"/>
    <w:rsid w:val="00855EE2"/>
    <w:rsid w:val="0086686C"/>
    <w:rsid w:val="00871074"/>
    <w:rsid w:val="00872B85"/>
    <w:rsid w:val="0088224B"/>
    <w:rsid w:val="00886B16"/>
    <w:rsid w:val="008B1011"/>
    <w:rsid w:val="008B1BD3"/>
    <w:rsid w:val="008B4CB8"/>
    <w:rsid w:val="008D18F4"/>
    <w:rsid w:val="008D5F1B"/>
    <w:rsid w:val="008F27F4"/>
    <w:rsid w:val="008F729F"/>
    <w:rsid w:val="009232B1"/>
    <w:rsid w:val="00952241"/>
    <w:rsid w:val="0097075E"/>
    <w:rsid w:val="00992D0B"/>
    <w:rsid w:val="009968D3"/>
    <w:rsid w:val="009C4C76"/>
    <w:rsid w:val="009F20BF"/>
    <w:rsid w:val="00A441AD"/>
    <w:rsid w:val="00A63FA9"/>
    <w:rsid w:val="00A93DDA"/>
    <w:rsid w:val="00AB5DCD"/>
    <w:rsid w:val="00B46B64"/>
    <w:rsid w:val="00B568B8"/>
    <w:rsid w:val="00B57263"/>
    <w:rsid w:val="00B618CC"/>
    <w:rsid w:val="00B92576"/>
    <w:rsid w:val="00BC7AD5"/>
    <w:rsid w:val="00BF4C6E"/>
    <w:rsid w:val="00BF5727"/>
    <w:rsid w:val="00C02E73"/>
    <w:rsid w:val="00C05DD2"/>
    <w:rsid w:val="00C2512F"/>
    <w:rsid w:val="00C30B80"/>
    <w:rsid w:val="00C52A0E"/>
    <w:rsid w:val="00C53C13"/>
    <w:rsid w:val="00C80F37"/>
    <w:rsid w:val="00C9066F"/>
    <w:rsid w:val="00CA2441"/>
    <w:rsid w:val="00CA4E54"/>
    <w:rsid w:val="00CF2F6B"/>
    <w:rsid w:val="00CF3ECB"/>
    <w:rsid w:val="00D01CBE"/>
    <w:rsid w:val="00D27F92"/>
    <w:rsid w:val="00D61ECF"/>
    <w:rsid w:val="00D7238C"/>
    <w:rsid w:val="00D829CD"/>
    <w:rsid w:val="00D86664"/>
    <w:rsid w:val="00D91739"/>
    <w:rsid w:val="00DC1FB6"/>
    <w:rsid w:val="00DF455B"/>
    <w:rsid w:val="00E42A8E"/>
    <w:rsid w:val="00E73F09"/>
    <w:rsid w:val="00E76EAC"/>
    <w:rsid w:val="00E8314C"/>
    <w:rsid w:val="00EA6673"/>
    <w:rsid w:val="00ED489E"/>
    <w:rsid w:val="00EF096B"/>
    <w:rsid w:val="00EF14C2"/>
    <w:rsid w:val="00F0542B"/>
    <w:rsid w:val="00F42FD4"/>
    <w:rsid w:val="00F65ADB"/>
    <w:rsid w:val="00F65B95"/>
    <w:rsid w:val="00F67FC8"/>
    <w:rsid w:val="00F71657"/>
    <w:rsid w:val="00F825E6"/>
    <w:rsid w:val="00F91D0A"/>
    <w:rsid w:val="00FA5E6B"/>
    <w:rsid w:val="00FA5ECE"/>
    <w:rsid w:val="00FB4449"/>
    <w:rsid w:val="00FC44F1"/>
    <w:rsid w:val="00FE5B98"/>
    <w:rsid w:val="013E2686"/>
    <w:rsid w:val="018207C5"/>
    <w:rsid w:val="01FD060B"/>
    <w:rsid w:val="02B43A28"/>
    <w:rsid w:val="02BA34BD"/>
    <w:rsid w:val="030937CD"/>
    <w:rsid w:val="0322544E"/>
    <w:rsid w:val="04743AEB"/>
    <w:rsid w:val="04D66AAE"/>
    <w:rsid w:val="04E83035"/>
    <w:rsid w:val="06AA51CE"/>
    <w:rsid w:val="06F7755F"/>
    <w:rsid w:val="08524EFF"/>
    <w:rsid w:val="08756367"/>
    <w:rsid w:val="093E76C7"/>
    <w:rsid w:val="098B0432"/>
    <w:rsid w:val="0AB645C7"/>
    <w:rsid w:val="0B71234D"/>
    <w:rsid w:val="0C1F3CE5"/>
    <w:rsid w:val="0D4C7ED9"/>
    <w:rsid w:val="0DAB5944"/>
    <w:rsid w:val="0E2320EC"/>
    <w:rsid w:val="0EB97A43"/>
    <w:rsid w:val="0EBD2122"/>
    <w:rsid w:val="0F095556"/>
    <w:rsid w:val="0F135152"/>
    <w:rsid w:val="0F9A050E"/>
    <w:rsid w:val="0FAD5AE6"/>
    <w:rsid w:val="0FB83603"/>
    <w:rsid w:val="101A606C"/>
    <w:rsid w:val="106F248F"/>
    <w:rsid w:val="10DD1336"/>
    <w:rsid w:val="11B71E6A"/>
    <w:rsid w:val="11F954F0"/>
    <w:rsid w:val="12312B22"/>
    <w:rsid w:val="137837D5"/>
    <w:rsid w:val="13E91CA5"/>
    <w:rsid w:val="141A2ADF"/>
    <w:rsid w:val="144E09DA"/>
    <w:rsid w:val="152C49F4"/>
    <w:rsid w:val="15D6226A"/>
    <w:rsid w:val="17E70F2A"/>
    <w:rsid w:val="17F04282"/>
    <w:rsid w:val="18E91DE0"/>
    <w:rsid w:val="1AAF0063"/>
    <w:rsid w:val="1BE140DE"/>
    <w:rsid w:val="1E003A6C"/>
    <w:rsid w:val="1E340C41"/>
    <w:rsid w:val="1E750DFB"/>
    <w:rsid w:val="1EA97643"/>
    <w:rsid w:val="1ED80E47"/>
    <w:rsid w:val="1EEB57A3"/>
    <w:rsid w:val="1F5F4158"/>
    <w:rsid w:val="1FAB5D5F"/>
    <w:rsid w:val="202070EE"/>
    <w:rsid w:val="20D02EA3"/>
    <w:rsid w:val="210743EB"/>
    <w:rsid w:val="23CE2988"/>
    <w:rsid w:val="24877D1C"/>
    <w:rsid w:val="248C197D"/>
    <w:rsid w:val="24E52C95"/>
    <w:rsid w:val="252959AF"/>
    <w:rsid w:val="25C716F0"/>
    <w:rsid w:val="277A6671"/>
    <w:rsid w:val="282E102A"/>
    <w:rsid w:val="299847BF"/>
    <w:rsid w:val="2AA97E9F"/>
    <w:rsid w:val="2B292838"/>
    <w:rsid w:val="2B7B1C5D"/>
    <w:rsid w:val="2BB167F0"/>
    <w:rsid w:val="2D4C1B03"/>
    <w:rsid w:val="2D805EBD"/>
    <w:rsid w:val="2D810751"/>
    <w:rsid w:val="2EA94D33"/>
    <w:rsid w:val="2EC73F19"/>
    <w:rsid w:val="2FBB0329"/>
    <w:rsid w:val="2FDD7BBA"/>
    <w:rsid w:val="3013281E"/>
    <w:rsid w:val="30800330"/>
    <w:rsid w:val="30EE4CEA"/>
    <w:rsid w:val="315E435F"/>
    <w:rsid w:val="33EB6CFF"/>
    <w:rsid w:val="34D67F04"/>
    <w:rsid w:val="35164E5F"/>
    <w:rsid w:val="365370CC"/>
    <w:rsid w:val="37476D6F"/>
    <w:rsid w:val="37B22EAA"/>
    <w:rsid w:val="39C12F31"/>
    <w:rsid w:val="39CE7FD9"/>
    <w:rsid w:val="3B1A75CC"/>
    <w:rsid w:val="3B625C0A"/>
    <w:rsid w:val="3C3B37D6"/>
    <w:rsid w:val="3CB71457"/>
    <w:rsid w:val="3CEE1963"/>
    <w:rsid w:val="3D00164B"/>
    <w:rsid w:val="3DBC2522"/>
    <w:rsid w:val="3E182A2D"/>
    <w:rsid w:val="3E520DC7"/>
    <w:rsid w:val="3EEF4053"/>
    <w:rsid w:val="3FDF3FCF"/>
    <w:rsid w:val="4005089D"/>
    <w:rsid w:val="406E1939"/>
    <w:rsid w:val="41B661A2"/>
    <w:rsid w:val="42557421"/>
    <w:rsid w:val="425D6AAF"/>
    <w:rsid w:val="44F107E0"/>
    <w:rsid w:val="45E8637B"/>
    <w:rsid w:val="464B61B2"/>
    <w:rsid w:val="466003D0"/>
    <w:rsid w:val="46AC58E1"/>
    <w:rsid w:val="46F30DEA"/>
    <w:rsid w:val="46F53289"/>
    <w:rsid w:val="47086269"/>
    <w:rsid w:val="47B67CD2"/>
    <w:rsid w:val="487A3570"/>
    <w:rsid w:val="48C12C43"/>
    <w:rsid w:val="49531994"/>
    <w:rsid w:val="49A0740E"/>
    <w:rsid w:val="49ED04C0"/>
    <w:rsid w:val="4AEE3DA2"/>
    <w:rsid w:val="4B3B5BE2"/>
    <w:rsid w:val="4BF30464"/>
    <w:rsid w:val="4C2F34FF"/>
    <w:rsid w:val="4CEC60BF"/>
    <w:rsid w:val="4D193597"/>
    <w:rsid w:val="4D7506DE"/>
    <w:rsid w:val="4E082C6D"/>
    <w:rsid w:val="4E223D2A"/>
    <w:rsid w:val="4EAC48D7"/>
    <w:rsid w:val="4F086470"/>
    <w:rsid w:val="512260B4"/>
    <w:rsid w:val="51A72608"/>
    <w:rsid w:val="51AA7806"/>
    <w:rsid w:val="52356C98"/>
    <w:rsid w:val="527247C1"/>
    <w:rsid w:val="52CA29FF"/>
    <w:rsid w:val="52FD627C"/>
    <w:rsid w:val="55C302C1"/>
    <w:rsid w:val="55CB6217"/>
    <w:rsid w:val="55ED2DF9"/>
    <w:rsid w:val="56032280"/>
    <w:rsid w:val="56AF0889"/>
    <w:rsid w:val="56E919E2"/>
    <w:rsid w:val="56F24C1A"/>
    <w:rsid w:val="58202992"/>
    <w:rsid w:val="591E6B9A"/>
    <w:rsid w:val="59EA1BD8"/>
    <w:rsid w:val="5B150ED7"/>
    <w:rsid w:val="5B800C1E"/>
    <w:rsid w:val="5B94004E"/>
    <w:rsid w:val="5CC11316"/>
    <w:rsid w:val="5CDD5A24"/>
    <w:rsid w:val="5D4555B4"/>
    <w:rsid w:val="5D62354E"/>
    <w:rsid w:val="5DD24E5D"/>
    <w:rsid w:val="5F29719E"/>
    <w:rsid w:val="63073A94"/>
    <w:rsid w:val="63BD5B39"/>
    <w:rsid w:val="63C41057"/>
    <w:rsid w:val="64E80640"/>
    <w:rsid w:val="651E4D27"/>
    <w:rsid w:val="65FC77A4"/>
    <w:rsid w:val="66975691"/>
    <w:rsid w:val="66A870A3"/>
    <w:rsid w:val="66AF0CE5"/>
    <w:rsid w:val="66F42721"/>
    <w:rsid w:val="67643166"/>
    <w:rsid w:val="67B535BC"/>
    <w:rsid w:val="67F307F2"/>
    <w:rsid w:val="68870D28"/>
    <w:rsid w:val="688D02FE"/>
    <w:rsid w:val="69036813"/>
    <w:rsid w:val="69687B10"/>
    <w:rsid w:val="6A412769"/>
    <w:rsid w:val="6A7D28DC"/>
    <w:rsid w:val="6B6C4B43"/>
    <w:rsid w:val="6B9A725A"/>
    <w:rsid w:val="6E5B14A6"/>
    <w:rsid w:val="6E6B3FD0"/>
    <w:rsid w:val="6EAE7221"/>
    <w:rsid w:val="70CA344A"/>
    <w:rsid w:val="70F07066"/>
    <w:rsid w:val="71CB04C7"/>
    <w:rsid w:val="749C29CB"/>
    <w:rsid w:val="74D310AD"/>
    <w:rsid w:val="75970A0E"/>
    <w:rsid w:val="764A5C0B"/>
    <w:rsid w:val="76CA63C9"/>
    <w:rsid w:val="76D96E05"/>
    <w:rsid w:val="76EB38D7"/>
    <w:rsid w:val="775812D3"/>
    <w:rsid w:val="775B72CF"/>
    <w:rsid w:val="77780F05"/>
    <w:rsid w:val="790D6F0A"/>
    <w:rsid w:val="7BB51E06"/>
    <w:rsid w:val="7C387F7C"/>
    <w:rsid w:val="7D14696D"/>
    <w:rsid w:val="7D262127"/>
    <w:rsid w:val="7DF06F0E"/>
    <w:rsid w:val="7DFA68B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iPriority="39" w:semiHidden="0" w:name="toc 1"/>
    <w:lsdException w:qFormat="1" w:uiPriority="39" w:semiHidden="0" w:name="toc 2"/>
    <w:lsdException w:qFormat="1" w:uiPriority="39" w:semiHidden="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0" w:semiHidden="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iPriority="99" w:semiHidden="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1"/>
    <w:basedOn w:val="1"/>
    <w:next w:val="1"/>
    <w:link w:val="17"/>
    <w:qFormat/>
    <w:uiPriority w:val="0"/>
    <w:pPr>
      <w:keepNext/>
      <w:keepLines/>
      <w:spacing w:before="340" w:after="330" w:line="578" w:lineRule="auto"/>
      <w:outlineLvl w:val="0"/>
    </w:pPr>
    <w:rPr>
      <w:b/>
      <w:bCs/>
      <w:kern w:val="44"/>
      <w:sz w:val="44"/>
      <w:szCs w:val="44"/>
    </w:rPr>
  </w:style>
  <w:style w:type="paragraph" w:styleId="2">
    <w:name w:val="heading 2"/>
    <w:basedOn w:val="1"/>
    <w:next w:val="1"/>
    <w:qFormat/>
    <w:uiPriority w:val="0"/>
    <w:pPr>
      <w:spacing w:before="100" w:beforeAutospacing="1" w:after="100" w:afterAutospacing="1"/>
      <w:outlineLvl w:val="1"/>
    </w:pPr>
    <w:rPr>
      <w:rFonts w:hint="eastAsia" w:ascii="宋体" w:hAnsi="宋体"/>
      <w:sz w:val="36"/>
      <w:szCs w:val="36"/>
    </w:rPr>
  </w:style>
  <w:style w:type="character" w:default="1" w:styleId="13">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ind w:firstLine="420" w:firstLineChars="200"/>
    </w:pPr>
  </w:style>
  <w:style w:type="paragraph" w:styleId="5">
    <w:name w:val="toc 3"/>
    <w:basedOn w:val="1"/>
    <w:next w:val="1"/>
    <w:unhideWhenUsed/>
    <w:qFormat/>
    <w:uiPriority w:val="39"/>
    <w:pPr>
      <w:ind w:left="840" w:leftChars="400"/>
    </w:pPr>
  </w:style>
  <w:style w:type="paragraph" w:styleId="6">
    <w:name w:val="Balloon Text"/>
    <w:basedOn w:val="1"/>
    <w:link w:val="19"/>
    <w:semiHidden/>
    <w:unhideWhenUsed/>
    <w:uiPriority w:val="0"/>
    <w:rPr>
      <w:sz w:val="18"/>
      <w:szCs w:val="18"/>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9">
    <w:name w:val="toc 1"/>
    <w:basedOn w:val="1"/>
    <w:next w:val="1"/>
    <w:unhideWhenUsed/>
    <w:qFormat/>
    <w:uiPriority w:val="39"/>
  </w:style>
  <w:style w:type="paragraph" w:styleId="10">
    <w:name w:val="toc 2"/>
    <w:basedOn w:val="1"/>
    <w:next w:val="1"/>
    <w:unhideWhenUsed/>
    <w:qFormat/>
    <w:uiPriority w:val="39"/>
    <w:pPr>
      <w:ind w:left="420" w:leftChars="200"/>
    </w:pPr>
  </w:style>
  <w:style w:type="paragraph" w:styleId="11">
    <w:name w:val="Title"/>
    <w:basedOn w:val="1"/>
    <w:next w:val="1"/>
    <w:link w:val="15"/>
    <w:qFormat/>
    <w:uiPriority w:val="0"/>
    <w:pPr>
      <w:spacing w:before="240" w:after="60"/>
      <w:jc w:val="center"/>
      <w:outlineLvl w:val="0"/>
    </w:pPr>
    <w:rPr>
      <w:rFonts w:ascii="Cambria" w:hAnsi="Cambria" w:cs="Times New Roman"/>
      <w:b/>
      <w:kern w:val="28"/>
      <w:sz w:val="32"/>
      <w:szCs w:val="20"/>
    </w:rPr>
  </w:style>
  <w:style w:type="character" w:styleId="14">
    <w:name w:val="Hyperlink"/>
    <w:basedOn w:val="13"/>
    <w:unhideWhenUsed/>
    <w:qFormat/>
    <w:uiPriority w:val="99"/>
    <w:rPr>
      <w:color w:val="0000FF" w:themeColor="hyperlink"/>
      <w:u w:val="single"/>
    </w:rPr>
  </w:style>
  <w:style w:type="character" w:customStyle="1" w:styleId="15">
    <w:name w:val="标题 Char"/>
    <w:link w:val="11"/>
    <w:qFormat/>
    <w:locked/>
    <w:uiPriority w:val="0"/>
    <w:rPr>
      <w:rFonts w:ascii="Cambria" w:hAnsi="Cambria"/>
      <w:b/>
      <w:kern w:val="28"/>
      <w:sz w:val="32"/>
    </w:rPr>
  </w:style>
  <w:style w:type="character" w:customStyle="1" w:styleId="16">
    <w:name w:val="标题 字符1"/>
    <w:basedOn w:val="13"/>
    <w:qFormat/>
    <w:uiPriority w:val="0"/>
    <w:rPr>
      <w:rFonts w:asciiTheme="majorHAnsi" w:hAnsiTheme="majorHAnsi" w:eastAsiaTheme="majorEastAsia" w:cstheme="majorBidi"/>
      <w:b/>
      <w:bCs/>
      <w:kern w:val="2"/>
      <w:sz w:val="32"/>
      <w:szCs w:val="32"/>
    </w:rPr>
  </w:style>
  <w:style w:type="character" w:customStyle="1" w:styleId="17">
    <w:name w:val="标题 1 Char"/>
    <w:basedOn w:val="13"/>
    <w:link w:val="3"/>
    <w:qFormat/>
    <w:uiPriority w:val="0"/>
    <w:rPr>
      <w:rFonts w:ascii="Calibri" w:hAnsi="Calibri" w:cs="黑体"/>
      <w:b/>
      <w:bCs/>
      <w:kern w:val="44"/>
      <w:sz w:val="44"/>
      <w:szCs w:val="44"/>
    </w:rPr>
  </w:style>
  <w:style w:type="paragraph" w:customStyle="1" w:styleId="18">
    <w:name w:val="TOC 标题1"/>
    <w:basedOn w:val="3"/>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366091" w:themeColor="accent1" w:themeShade="BF"/>
      <w:kern w:val="0"/>
      <w:sz w:val="32"/>
      <w:szCs w:val="32"/>
    </w:rPr>
  </w:style>
  <w:style w:type="character" w:customStyle="1" w:styleId="19">
    <w:name w:val="批注框文本 Char"/>
    <w:basedOn w:val="13"/>
    <w:link w:val="6"/>
    <w:semiHidden/>
    <w:qFormat/>
    <w:uiPriority w:val="0"/>
    <w:rPr>
      <w:rFonts w:ascii="Calibri" w:hAnsi="Calibri" w:cs="黑体"/>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Lenovo.com</Company>
  <Pages>15</Pages>
  <Words>6043</Words>
  <Characters>6481</Characters>
  <Lines>55</Lines>
  <Paragraphs>15</Paragraphs>
  <TotalTime>288</TotalTime>
  <ScaleCrop>false</ScaleCrop>
  <LinksUpToDate>false</LinksUpToDate>
  <CharactersWithSpaces>6587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2020-05-25T06:21:00Z</dcterms:created>
  <dc:creator>欣欣大人</dc:creator>
  <cp:lastModifiedBy>13323011735</cp:lastModifiedBy>
  <cp:lastPrinted>2023-04-11T02:03:00Z</cp:lastPrinted>
  <dcterms:modified xsi:type="dcterms:W3CDTF">2025-04-02T07:05:49Z</dcterms:modified>
  <dc:title>附件3：</dc:title>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C43014F20FBC40FFAA0DC2A4D7818B74</vt:lpwstr>
  </property>
  <property fmtid="{D5CDD505-2E9C-101B-9397-08002B2CF9AE}" pid="4" name="KSOTemplateDocerSaveRecord">
    <vt:lpwstr>eyJoZGlkIjoiZWFiZDA5ODMyMjczYmM0MDUyYjk1NDhmMzg4ZjdmODkiLCJ1c2VySWQiOiIxNTUwMjQwMDk2In0=</vt:lpwstr>
  </property>
</Properties>
</file>