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平山县人民检察院部门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贯彻落实市委市政府《关于全面落实预算绩效管理的实施意见》（石发﹝2019﹞8号）文件精神，遵循“科学性、规范性、客观性和公正性”的原则，对平山县人民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</w:t>
      </w:r>
      <w:r>
        <w:rPr>
          <w:rFonts w:hint="eastAsia" w:ascii="仿宋" w:hAnsi="仿宋" w:eastAsia="仿宋"/>
          <w:sz w:val="32"/>
          <w:szCs w:val="32"/>
        </w:rPr>
        <w:t>院部门2023年整体支出情况实施了财政支出绩效自评价，形成本评价报告。</w:t>
      </w: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</w:rPr>
        <w:t>根据《平山县人民检察院职能配置、内设机构和人员编制规定》，平山县人民检察院的主要职责是：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依法向县人民代表大会及其常务委员会提出议案。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贯彻落实检察工作方针、总体规划，研究制定检察工作计划并组织实施。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依照法律规定对直接受理的刑事案件行使侦查权。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负责对管辖的各类刑事案件依法审查批准逮捕、决定逮捕、提起公诉。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负责应由本院承办的刑事、民事、行政诉讼活动及刑事、民事、行政判决和裁定等生效法律文书执行的法律监督工作。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负责应由本院承办的提起公益诉讼工作。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依法受理核准追诉案件，审查是否上报。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负责应由本院承办的对看守所、社区矫正等执法活动的法律监督工作。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受理向本院的控告申诉。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组织检察工作中法律政策具体应用问题的研究；组织开展检察理论研究工作。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负责检察人员思想政治教育和业务培训工作；按照权限管理检察官和其他工作人员。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负责本院检务督察工作。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负责本院检务保障以及检察技术、信息化建设工作。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完成其他应当由本院负责的工作。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2.组织机构及人员：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平山县人民检察院单位性质为行政单位；单位规格为副处（县）级；经费保障形式为财政拨款；政法编制42个。2023年年末实有人数106人，其中在职干警38人、退休人员47人、聘用制书记员15人、劳务派遣人员6人。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3.资产情况：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平山县人民检察院2023年年末固定资产金额为1111.32万元，其中土地房屋总计112.12万，车辆价值174.86万（11辆），单价在20万以上的设备480.45万，其他固定资产343.89万。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平山县人民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检察</w:t>
      </w:r>
      <w:r>
        <w:rPr>
          <w:rFonts w:hint="eastAsia" w:ascii="仿宋" w:hAnsi="仿宋" w:eastAsia="仿宋" w:cs="仿宋"/>
          <w:bCs/>
          <w:sz w:val="32"/>
          <w:szCs w:val="32"/>
        </w:rPr>
        <w:t>院2023年年初预算收入1262.22万元，决算收入1240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bCs/>
          <w:sz w:val="32"/>
          <w:szCs w:val="32"/>
        </w:rPr>
        <w:t>4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2"/>
          <w:szCs w:val="32"/>
        </w:rPr>
        <w:t>万元，决算较预算少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21.81</w:t>
      </w:r>
      <w:r>
        <w:rPr>
          <w:rFonts w:hint="eastAsia" w:ascii="仿宋" w:hAnsi="仿宋" w:eastAsia="仿宋" w:cs="仿宋"/>
          <w:bCs/>
          <w:sz w:val="32"/>
          <w:szCs w:val="32"/>
        </w:rPr>
        <w:t>万元，原因是年中预算调整，单位退休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2"/>
          <w:szCs w:val="32"/>
        </w:rPr>
        <w:t>人，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聘用制书记员离职1人</w:t>
      </w:r>
      <w:r>
        <w:rPr>
          <w:rFonts w:hint="eastAsia" w:ascii="仿宋" w:hAnsi="仿宋" w:eastAsia="仿宋" w:cs="仿宋"/>
          <w:bCs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总体绩效目标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是全面贯彻落实党的二十大精神的开局之年,是实施“十四五”规划承前启后的关键之年。县检察院将以习近平新时代中国特色社会主义思想为指导，深入贯彻习近平法治思想和党的二十大精神，突出维护社会稳定、服务发展大局、加强检察监督、转变办案理念、提升办案质效“五个重点”，强化数字检察建设和检察队伍建设“两项保障”，为建设产业振兴、生态宜居、和谐安定、充满活力的新平山提供有力司法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2.分项绩效目标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（1）以更高自觉捍卫“两个确立”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旗帜鲜明讲政治，始终坚持党对检察工作的绝对领导，坚持从政治上看待检察工作，从政治上把握检察履职。坚决做到忠诚捍卫“两个确立”，增强“四个意识”、坚定“四个自信”、做到“两个维护”。自觉用习近平新时代中国特色社会主义思想武装头脑、指导实践、推动工作，不断提高政治判断力、政治领悟力、政治执行力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，凝心聚力推动平山检察工作高质量发展。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</w:t>
      </w:r>
      <w:r>
        <w:rPr>
          <w:rFonts w:hint="eastAsia" w:ascii="仿宋" w:hAnsi="仿宋" w:eastAsia="仿宋"/>
          <w:sz w:val="32"/>
          <w:szCs w:val="32"/>
        </w:rPr>
        <w:t>以更实举措服务中心大局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助力防范化解金融风险，维护经济金融安全。依法平等保护各类市场主体，持续优化法治化营商环境。深化知识产权综合保护，助力经济高质量发展。统筹发展与安全，坚决惩治各类破坏市场经济秩序犯罪。常态化开展扫黑除恶斗争，切实维护社会和谐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</w:t>
      </w:r>
      <w:r>
        <w:rPr>
          <w:rFonts w:hint="eastAsia" w:ascii="仿宋" w:hAnsi="仿宋" w:eastAsia="仿宋"/>
          <w:sz w:val="32"/>
          <w:szCs w:val="32"/>
        </w:rPr>
        <w:t>以更细标准践行为民初心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持续关注老百姓的“钱袋子”“菜篮子”“药瓶子”，守护群众身边的安全。健全公开听证制度，紧盯人民群众反映强烈的执法不严、司法不公的问题，让公平正义可触可信。强化对弱势群体的司法保护，完善专业化监督和社会化协作相结合的保护体系建设，不断提升检察公信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adjustRightInd w:val="0"/>
        <w:snapToGrid w:val="0"/>
        <w:spacing w:line="560" w:lineRule="exact"/>
        <w:ind w:firstLine="627" w:firstLineChars="196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2023年以来，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我部门</w:t>
      </w:r>
      <w:r>
        <w:rPr>
          <w:rFonts w:hint="eastAsia" w:ascii="仿宋" w:hAnsi="仿宋" w:eastAsia="仿宋"/>
          <w:sz w:val="32"/>
          <w:szCs w:val="32"/>
        </w:rPr>
        <w:t>财务制度健全，管理规范，各项制度能有效执行。通过明确项目自评工作相关工作要求，确定应自评的项目、评价的目的、依据、时间及根据年初所制定的目标确定评价的内容。结合年初预算批复的项目绩效指标，部门职责以及项目特点，确定部门项目的绩效自评指标体系，根据设定的指标体系开展部门项目绩效自评工作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据项目建设实际，自评组采取以下评价方式：查看档案资料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_GB2312"/>
          <w:sz w:val="32"/>
          <w:szCs w:val="32"/>
        </w:rPr>
        <w:t>资金拨付情况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收集群众意见等方式</w:t>
      </w:r>
      <w:r>
        <w:rPr>
          <w:rFonts w:hint="eastAsia" w:ascii="仿宋" w:hAnsi="仿宋" w:eastAsia="仿宋" w:cs="仿宋_GB2312"/>
          <w:sz w:val="32"/>
          <w:szCs w:val="32"/>
        </w:rPr>
        <w:t>，确定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仿宋_GB2312"/>
          <w:sz w:val="32"/>
          <w:szCs w:val="32"/>
        </w:rPr>
        <w:t>评价指标体系、评价标准和评价方法，对评价对象的绩效情况进行定量、定性分析和综合评价，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分析</w:t>
      </w:r>
      <w:r>
        <w:rPr>
          <w:rFonts w:hint="eastAsia" w:ascii="仿宋" w:hAnsi="仿宋" w:eastAsia="仿宋" w:cs="仿宋_GB2312"/>
          <w:sz w:val="32"/>
          <w:szCs w:val="32"/>
        </w:rPr>
        <w:t>项目实施中存在的问题，分析原因，提出建议，形成绩效评价报告。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2023年，县检察院在县委和市检察院坚强领导下，在县人大及其常委会有力监督下，在县政府、县政协和社会各界关心支持下，始终坚持以习近平新时代中国特色社会主义思想为指导，坚持为大局服务、为人民司法、为法治担当，全面履行检察职责，综合运用监督手段，各项检察工作都取得新进展、新提升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2023年大要案准备金补助经费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支出</w:t>
      </w:r>
      <w:r>
        <w:rPr>
          <w:rFonts w:hint="eastAsia" w:ascii="仿宋" w:hAnsi="仿宋" w:eastAsia="仿宋"/>
          <w:sz w:val="32"/>
          <w:szCs w:val="32"/>
        </w:rPr>
        <w:t>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分。全年预算数为4万元，执行数为4万元，项目绩效完成情况：优秀。支持检察院大要案案件数4件，有效打击违法犯罪，维护社会稳定。</w:t>
      </w:r>
    </w:p>
    <w:tbl>
      <w:tblPr>
        <w:tblStyle w:val="4"/>
        <w:tblpPr w:leftFromText="180" w:rightFromText="180" w:vertAnchor="text" w:horzAnchor="page" w:tblpX="977" w:tblpY="566"/>
        <w:tblOverlap w:val="never"/>
        <w:tblW w:w="103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816"/>
        <w:gridCol w:w="809"/>
        <w:gridCol w:w="1185"/>
        <w:gridCol w:w="1191"/>
        <w:gridCol w:w="1162"/>
        <w:gridCol w:w="1246"/>
        <w:gridCol w:w="16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103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2023  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2023年大要案准备金补助经费（专项资金）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9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57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4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82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6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gridSpan w:val="3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通过大要案准备金补助经费的使用，有效打击犯罪活动，提升我院检察工作质效。</w:t>
            </w:r>
          </w:p>
        </w:tc>
        <w:tc>
          <w:tcPr>
            <w:tcW w:w="3683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支持检察院大要案案件数4件，有效打击违法犯罪，维护社会稳定。</w:t>
            </w:r>
          </w:p>
        </w:tc>
        <w:tc>
          <w:tcPr>
            <w:tcW w:w="15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83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25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83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办理案件数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≥4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案件审结率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报销及时率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预算控制数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restart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8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检察建议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社会稳定性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5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08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902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>
      <w:pPr>
        <w:spacing w:line="240" w:lineRule="auto"/>
        <w:ind w:firstLine="0" w:firstLineChars="0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240" w:lineRule="auto"/>
        <w:ind w:left="1050" w:leftChars="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</w:rPr>
        <w:t>劳务派遣人员经费支出自评综述：根据年初设定的绩效目标，项目支出自评得分为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/>
          <w:sz w:val="32"/>
          <w:szCs w:val="32"/>
        </w:rPr>
        <w:t>万元，项目绩效完成情况：优秀。按时发放了劳务派遣人员的工资及各项保险的缴纳，人员工作积极性较高，能够高质量完成工作安排。</w:t>
      </w:r>
    </w:p>
    <w:tbl>
      <w:tblPr>
        <w:tblStyle w:val="4"/>
        <w:tblW w:w="98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8"/>
        <w:gridCol w:w="1816"/>
        <w:gridCol w:w="744"/>
        <w:gridCol w:w="1091"/>
        <w:gridCol w:w="1096"/>
        <w:gridCol w:w="1110"/>
        <w:gridCol w:w="1150"/>
        <w:gridCol w:w="16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98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2023  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劳务派遣人员经费（专项资金）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7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12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3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4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2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6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5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5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劳务派遣人员工资及时发放到位，提高人员工作积极性</w:t>
            </w:r>
          </w:p>
        </w:tc>
        <w:tc>
          <w:tcPr>
            <w:tcW w:w="3519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按时发放了劳务派遣人员的工资及各项保险的缴纳，人员工作积极性较高，能够高质量完成工作安排。</w:t>
            </w:r>
          </w:p>
        </w:tc>
        <w:tc>
          <w:tcPr>
            <w:tcW w:w="14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5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1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5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1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办理案件数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≥500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案件审结率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工资发放及时性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预算控制数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3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检察建议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社会稳定性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17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121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62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>
      <w:pPr>
        <w:numPr>
          <w:ilvl w:val="0"/>
          <w:numId w:val="0"/>
        </w:numPr>
        <w:spacing w:line="240" w:lineRule="auto"/>
        <w:jc w:val="left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spacing w:line="240" w:lineRule="auto"/>
        <w:ind w:firstLine="800" w:firstLineChars="25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.聘用制书记员经费支出自评综述：根据年初设定的绩效目标，项目支出自评得分为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114.88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107.1</w:t>
      </w:r>
      <w:r>
        <w:rPr>
          <w:rFonts w:hint="eastAsia" w:ascii="仿宋" w:hAnsi="仿宋" w:eastAsia="仿宋"/>
          <w:sz w:val="32"/>
          <w:szCs w:val="32"/>
        </w:rPr>
        <w:t>万元，项目绩效完成情况：优秀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按时发放了书记员的工资及各项保险的缴纳，人员工作积极性较高，能够高质量完成工作安排。</w:t>
      </w:r>
    </w:p>
    <w:tbl>
      <w:tblPr>
        <w:tblStyle w:val="4"/>
        <w:tblW w:w="96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816"/>
        <w:gridCol w:w="996"/>
        <w:gridCol w:w="855"/>
        <w:gridCol w:w="1118"/>
        <w:gridCol w:w="1045"/>
        <w:gridCol w:w="978"/>
        <w:gridCol w:w="16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9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2023  年度）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聘用制书记员经费（专项资金）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5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114.88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114.88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107.1</w:t>
            </w:r>
          </w:p>
        </w:tc>
        <w:tc>
          <w:tcPr>
            <w:tcW w:w="14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114.88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114.88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107.1</w:t>
            </w: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6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4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0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保障聘用制书记员工资及时发放到位，提高人员工作积极性</w:t>
            </w:r>
          </w:p>
        </w:tc>
        <w:tc>
          <w:tcPr>
            <w:tcW w:w="342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按时发放了书记员的工资及各项保险的缴纳，人员工作积极性较高，能够高质量完成工作安排。</w:t>
            </w:r>
          </w:p>
        </w:tc>
        <w:tc>
          <w:tcPr>
            <w:tcW w:w="14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0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0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办理案件数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≥500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案件审结率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工资发放及时性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预算控制数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114.88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检察建议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社会稳定性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2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11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4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>
      <w:pPr>
        <w:spacing w:line="240" w:lineRule="auto"/>
        <w:ind w:firstLine="800" w:firstLineChars="250"/>
        <w:jc w:val="left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积极履职，通过加强预算收支管理，不断梳理内部管理流程，建立健全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财务管理</w:t>
      </w:r>
      <w:r>
        <w:rPr>
          <w:rFonts w:hint="eastAsia" w:ascii="仿宋" w:hAnsi="仿宋" w:eastAsia="仿宋"/>
          <w:sz w:val="32"/>
          <w:szCs w:val="32"/>
        </w:rPr>
        <w:t>制度，部门整体支出管理水平得到提升。经自评，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个项目自评得分均在90分以上，2023年我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较好的完成了年度工作目标，综合评价等级为“优秀”。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default" w:ascii="楷体" w:hAnsi="楷体" w:eastAsia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部门内部</w:t>
      </w:r>
      <w:r>
        <w:rPr>
          <w:rFonts w:hint="eastAsia" w:ascii="仿宋" w:hAnsi="仿宋" w:eastAsia="仿宋"/>
          <w:sz w:val="32"/>
          <w:szCs w:val="32"/>
        </w:rPr>
        <w:t>预算管理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机制不健全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单位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内部</w:t>
      </w:r>
      <w:r>
        <w:rPr>
          <w:rFonts w:hint="eastAsia" w:ascii="仿宋" w:hAnsi="仿宋" w:eastAsia="仿宋"/>
          <w:sz w:val="32"/>
          <w:szCs w:val="32"/>
        </w:rPr>
        <w:t>缺乏配套的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绩效管理方法</w:t>
      </w:r>
      <w:r>
        <w:rPr>
          <w:rFonts w:hint="eastAsia" w:ascii="仿宋" w:hAnsi="仿宋" w:eastAsia="仿宋"/>
          <w:sz w:val="32"/>
          <w:szCs w:val="32"/>
        </w:rPr>
        <w:t>;财务部门和业务部门相分离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财务人员</w:t>
      </w:r>
      <w:r>
        <w:rPr>
          <w:rFonts w:hint="eastAsia" w:ascii="仿宋" w:hAnsi="仿宋" w:eastAsia="仿宋"/>
          <w:sz w:val="32"/>
          <w:szCs w:val="32"/>
        </w:rPr>
        <w:t>难以深入分析检察业务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中财务管理</w:t>
      </w:r>
      <w:r>
        <w:rPr>
          <w:rFonts w:hint="eastAsia" w:ascii="仿宋" w:hAnsi="仿宋" w:eastAsia="仿宋"/>
          <w:sz w:val="32"/>
          <w:szCs w:val="32"/>
        </w:rPr>
        <w:t>存在的问题和不足，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不能有效提高资金使用质效。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1.提高绩效管理意识。预算部门要牢固树立全员绩效管理意识，加强组织领导，统一部署，压实责任，落实到人。及时建立健全与本部门配套的绩效评价流程制度，明确职责和权限，促进各项工作流程良性循环。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优化绩效目标管理工作。根据项目实际情况设置完善的绩效目标，强化绩效目标的针对性、明确化、细致化、可行性，目标实现依据要充分。建立监控制度，确保绩效目标如期实现。财政部门应在绩效指标设计过程中有效发挥指导和监督作用</w:t>
      </w:r>
    </w:p>
    <w:p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加强人才队伍建设。建议上级部门加强对基层财务人员专业的培训，推动掌握预算绩效管理方面的新制度、新要求、新方法，保证预算绩效评价工作顺利开展。财务人员要加强与单位业务部门的联系，参与业务管理，既要懂财务，又要懂业务，做一个“业财融合”的专业人员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  长：傅建灵 副检察长</w:t>
      </w:r>
    </w:p>
    <w:p>
      <w:pPr>
        <w:spacing w:line="560" w:lineRule="exact"/>
        <w:ind w:firstLine="640" w:firstLineChars="200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副组长：刘云飞 办公室主任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成  员：李  昭 办公室副主任</w:t>
      </w:r>
    </w:p>
    <w:p>
      <w:pPr>
        <w:spacing w:line="560" w:lineRule="exact"/>
        <w:ind w:firstLine="640" w:firstLineChars="200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卢文波 干警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李萍萍 干警</w:t>
      </w:r>
    </w:p>
    <w:p>
      <w:pPr>
        <w:spacing w:line="560" w:lineRule="exact"/>
        <w:ind w:right="160"/>
        <w:jc w:val="right"/>
        <w:rPr>
          <w:rFonts w:hint="eastAsia" w:ascii="仿宋" w:hAnsi="仿宋" w:eastAsia="仿宋"/>
          <w:sz w:val="32"/>
          <w:szCs w:val="32"/>
        </w:rPr>
      </w:pPr>
    </w:p>
    <w:p>
      <w:pPr>
        <w:wordWrap w:val="0"/>
        <w:spacing w:line="560" w:lineRule="exact"/>
        <w:ind w:right="16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平山县人民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</w:t>
      </w:r>
      <w:r>
        <w:rPr>
          <w:rFonts w:hint="eastAsia" w:ascii="仿宋" w:hAnsi="仿宋" w:eastAsia="仿宋"/>
          <w:sz w:val="32"/>
          <w:szCs w:val="32"/>
        </w:rPr>
        <w:t>院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</w:p>
    <w:p>
      <w:pPr>
        <w:wordWrap w:val="0"/>
        <w:spacing w:line="560" w:lineRule="exact"/>
        <w:ind w:right="16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2024年4月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84D4D4"/>
    <w:multiLevelType w:val="singleLevel"/>
    <w:tmpl w:val="9384D4D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D53518E6"/>
    <w:multiLevelType w:val="singleLevel"/>
    <w:tmpl w:val="D53518E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WFmMDA2NmRlNjFmYzUxN2JmOGY0YWU0NDEwZjI5Y2I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1B63B8"/>
    <w:rsid w:val="1AAF0063"/>
    <w:rsid w:val="1BE140DE"/>
    <w:rsid w:val="248C197D"/>
    <w:rsid w:val="252959AF"/>
    <w:rsid w:val="277A6671"/>
    <w:rsid w:val="292D35B7"/>
    <w:rsid w:val="32A520FC"/>
    <w:rsid w:val="32C74CF2"/>
    <w:rsid w:val="33EB6CFF"/>
    <w:rsid w:val="35A12947"/>
    <w:rsid w:val="37387040"/>
    <w:rsid w:val="3B133542"/>
    <w:rsid w:val="3B625C0A"/>
    <w:rsid w:val="3CEE1963"/>
    <w:rsid w:val="436B78D3"/>
    <w:rsid w:val="4C9C27FE"/>
    <w:rsid w:val="5048734B"/>
    <w:rsid w:val="512260B4"/>
    <w:rsid w:val="52BD6ACB"/>
    <w:rsid w:val="55537534"/>
    <w:rsid w:val="561A74F1"/>
    <w:rsid w:val="597244E8"/>
    <w:rsid w:val="5EB71C30"/>
    <w:rsid w:val="61B9080E"/>
    <w:rsid w:val="66AF0CE5"/>
    <w:rsid w:val="6AAF4F5A"/>
    <w:rsid w:val="6AC537CF"/>
    <w:rsid w:val="6E5B14A6"/>
    <w:rsid w:val="711B255E"/>
    <w:rsid w:val="7479472F"/>
    <w:rsid w:val="750979E3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7">
    <w:name w:val="font41"/>
    <w:basedOn w:val="5"/>
    <w:qFormat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8">
    <w:name w:val="font3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4555</Words>
  <Characters>4938</Characters>
  <Lines>4</Lines>
  <Paragraphs>1</Paragraphs>
  <TotalTime>12</TotalTime>
  <ScaleCrop>false</ScaleCrop>
  <LinksUpToDate>false</LinksUpToDate>
  <CharactersWithSpaces>5191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2024-05-30T09:07:30Z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96934721B1514D3FBAA28020338CE855_12</vt:lpwstr>
  </property>
</Properties>
</file>