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40" w:lineRule="exact"/>
        <w:jc w:val="center"/>
        <w:rPr>
          <w:rFonts w:cs="仿宋" w:asciiTheme="majorEastAsia" w:hAnsiTheme="majorEastAsia" w:eastAsiaTheme="majorEastAsia"/>
          <w:b/>
          <w:w w:val="90"/>
          <w:sz w:val="44"/>
          <w:szCs w:val="44"/>
        </w:rPr>
      </w:pPr>
      <w:r>
        <w:rPr>
          <w:rFonts w:hint="eastAsia" w:cs="仿宋" w:asciiTheme="majorEastAsia" w:hAnsiTheme="majorEastAsia" w:eastAsiaTheme="majorEastAsia"/>
          <w:b/>
          <w:w w:val="90"/>
          <w:sz w:val="44"/>
          <w:szCs w:val="44"/>
        </w:rPr>
        <w:t>石家庄人民会堂</w:t>
      </w:r>
    </w:p>
    <w:p>
      <w:pPr>
        <w:snapToGrid w:val="0"/>
        <w:spacing w:line="540" w:lineRule="exact"/>
        <w:jc w:val="center"/>
        <w:rPr>
          <w:rFonts w:cs="仿宋" w:asciiTheme="majorEastAsia" w:hAnsiTheme="majorEastAsia" w:eastAsiaTheme="majorEastAsia"/>
          <w:b/>
          <w:w w:val="90"/>
          <w:sz w:val="44"/>
          <w:szCs w:val="44"/>
        </w:rPr>
      </w:pPr>
      <w:r>
        <w:rPr>
          <w:rFonts w:hint="eastAsia" w:cs="仿宋" w:asciiTheme="majorEastAsia" w:hAnsiTheme="majorEastAsia" w:eastAsiaTheme="majorEastAsia"/>
          <w:b/>
          <w:w w:val="90"/>
          <w:sz w:val="44"/>
          <w:szCs w:val="44"/>
        </w:rPr>
        <w:t>20</w:t>
      </w:r>
      <w:r>
        <w:rPr>
          <w:rFonts w:hint="eastAsia" w:cs="仿宋" w:asciiTheme="majorEastAsia" w:hAnsiTheme="majorEastAsia" w:eastAsiaTheme="majorEastAsia"/>
          <w:b/>
          <w:w w:val="90"/>
          <w:sz w:val="44"/>
          <w:szCs w:val="44"/>
          <w:lang w:val="en-US" w:eastAsia="zh-CN"/>
        </w:rPr>
        <w:t>20</w:t>
      </w:r>
      <w:r>
        <w:rPr>
          <w:rFonts w:hint="eastAsia" w:cs="仿宋" w:asciiTheme="majorEastAsia" w:hAnsiTheme="majorEastAsia" w:eastAsiaTheme="majorEastAsia"/>
          <w:b/>
          <w:w w:val="90"/>
          <w:sz w:val="44"/>
          <w:szCs w:val="44"/>
        </w:rPr>
        <w:t>年度自评工作报告</w:t>
      </w:r>
    </w:p>
    <w:p>
      <w:pPr>
        <w:snapToGrid w:val="0"/>
        <w:spacing w:line="540" w:lineRule="exact"/>
        <w:jc w:val="center"/>
        <w:rPr>
          <w:rFonts w:cs="仿宋" w:asciiTheme="majorEastAsia" w:hAnsiTheme="majorEastAsia" w:eastAsiaTheme="majorEastAsia"/>
          <w:b/>
          <w:w w:val="90"/>
          <w:kern w:val="0"/>
          <w:sz w:val="44"/>
          <w:szCs w:val="44"/>
        </w:rPr>
      </w:pPr>
    </w:p>
    <w:p>
      <w:pPr>
        <w:snapToGrid w:val="0"/>
        <w:spacing w:line="540" w:lineRule="exact"/>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snapToGrid w:val="0"/>
        <w:spacing w:line="540" w:lineRule="exact"/>
        <w:ind w:firstLine="643" w:firstLineChars="200"/>
        <w:rPr>
          <w:rFonts w:ascii="楷体_GB2312" w:hAnsi="仿宋" w:eastAsia="楷体_GB2312" w:cs="仿宋"/>
          <w:b/>
          <w:sz w:val="32"/>
          <w:szCs w:val="32"/>
        </w:rPr>
      </w:pPr>
      <w:r>
        <w:rPr>
          <w:rFonts w:hint="eastAsia" w:ascii="楷体_GB2312" w:hAnsi="仿宋" w:eastAsia="楷体_GB2312" w:cs="仿宋"/>
          <w:b/>
          <w:sz w:val="32"/>
          <w:szCs w:val="32"/>
        </w:rPr>
        <w:t>（一）绩效自评工作的组织情况</w:t>
      </w:r>
    </w:p>
    <w:p>
      <w:pPr>
        <w:spacing w:line="520" w:lineRule="exact"/>
        <w:ind w:right="-2"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为做好20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年度绩效自评工作，在人民会堂内控监督联合工作小组框架内组成了绩效自评工作小组。组长由</w:t>
      </w:r>
      <w:r>
        <w:rPr>
          <w:rFonts w:hint="eastAsia" w:ascii="仿宋_GB2312" w:hAnsi="仿宋_GB2312" w:eastAsia="仿宋_GB2312" w:cs="仿宋_GB2312"/>
          <w:sz w:val="32"/>
          <w:szCs w:val="32"/>
          <w:lang w:eastAsia="zh-CN"/>
        </w:rPr>
        <w:t>人民会堂</w:t>
      </w:r>
      <w:r>
        <w:rPr>
          <w:rFonts w:hint="eastAsia" w:ascii="仿宋_GB2312" w:hAnsi="仿宋_GB2312" w:eastAsia="仿宋_GB2312" w:cs="仿宋_GB2312"/>
          <w:sz w:val="32"/>
          <w:szCs w:val="32"/>
        </w:rPr>
        <w:t>副主任梁志洪担任，副组长由副主任魏永红担任，成员由财务处、办公室、业务部门负责人和相关人员组成，按照市财政局通知要求，开展自评相关工作。</w:t>
      </w:r>
    </w:p>
    <w:p>
      <w:pPr>
        <w:snapToGrid w:val="0"/>
        <w:spacing w:line="540" w:lineRule="exact"/>
        <w:ind w:firstLine="643" w:firstLineChars="200"/>
        <w:rPr>
          <w:rFonts w:ascii="楷体_GB2312" w:hAnsi="仿宋" w:eastAsia="楷体_GB2312" w:cs="仿宋"/>
          <w:b/>
          <w:sz w:val="32"/>
          <w:szCs w:val="32"/>
        </w:rPr>
      </w:pPr>
      <w:r>
        <w:rPr>
          <w:rFonts w:hint="eastAsia" w:ascii="楷体_GB2312" w:hAnsi="仿宋" w:eastAsia="楷体_GB2312" w:cs="仿宋"/>
          <w:b/>
          <w:sz w:val="32"/>
          <w:szCs w:val="32"/>
        </w:rPr>
        <w:t>（二）绩效自评工作的实施过程</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 自评工作小组成立后，首先认真学习了市财政局关于专项资金绩效评价的文件精神，明确自评的目的、内容、方法和要求。</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 根据自评需要，学习了国家有关资金使用和工程项目实施规范的法律法规，《石家庄人民会堂内控工作手册》内部专项管理制度，为绩效评价提供法律政策和制度依据。</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 按照人民会堂市财政补助资金，包括基本支出和</w:t>
      </w:r>
      <w:r>
        <w:rPr>
          <w:rFonts w:hint="eastAsia" w:ascii="仿宋_GB2312" w:eastAsia="仿宋_GB2312"/>
          <w:sz w:val="32"/>
          <w:szCs w:val="32"/>
          <w:lang w:eastAsia="zh-CN"/>
        </w:rPr>
        <w:t>项目支出</w:t>
      </w:r>
      <w:r>
        <w:rPr>
          <w:rFonts w:hint="eastAsia" w:ascii="仿宋_GB2312" w:eastAsia="仿宋_GB2312"/>
          <w:sz w:val="32"/>
          <w:szCs w:val="32"/>
        </w:rPr>
        <w:t>两个部分，我们分别组织开展自评工作。其中：</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升级改造项目补助资金查阅了人民会堂项目实施工程形成的文件资料，包括；人民会堂向上级呈报有关项目的请示、申请、报告和上级有关项目的指示、通知和批复文件；项目实施期间的会议记录、会议纪要、招投标文书、合同书、</w:t>
      </w:r>
      <w:bookmarkStart w:id="0" w:name="_GoBack"/>
      <w:bookmarkEnd w:id="0"/>
      <w:r>
        <w:rPr>
          <w:rFonts w:hint="eastAsia" w:ascii="仿宋_GB2312" w:eastAsia="仿宋_GB2312"/>
          <w:sz w:val="32"/>
          <w:szCs w:val="32"/>
          <w:lang w:eastAsia="zh-CN"/>
        </w:rPr>
        <w:t>竣</w:t>
      </w:r>
      <w:r>
        <w:rPr>
          <w:rFonts w:hint="eastAsia" w:ascii="仿宋_GB2312" w:eastAsia="仿宋_GB2312"/>
          <w:sz w:val="32"/>
          <w:szCs w:val="32"/>
        </w:rPr>
        <w:t>工验收报告、财务报表、审计报告等，为绩效评价提供了充分的评价依据。依据法律政策制度和项目实施过程的资料信息，从项目程序、工程质量、工期进度、资金控制四个方面和绩效评价指标体系各项指标进行了据实绩效评价。</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基本开支部分查阅了预算收入情况，基本支出经费的支出情况，相关的表单、票据、审批手续，各级财务、审计检查报告，以及年初设置绩效目标的实现情况等，进行年度据实绩效评价。</w:t>
      </w:r>
    </w:p>
    <w:p>
      <w:pPr>
        <w:pStyle w:val="9"/>
        <w:spacing w:line="540" w:lineRule="exact"/>
        <w:ind w:firstLine="643" w:firstLineChars="200"/>
        <w:rPr>
          <w:rFonts w:ascii="楷体_GB2312" w:hAnsi="仿宋" w:eastAsia="楷体_GB2312" w:cs="仿宋"/>
          <w:b/>
          <w:sz w:val="32"/>
          <w:szCs w:val="32"/>
        </w:rPr>
      </w:pPr>
      <w:r>
        <w:rPr>
          <w:rFonts w:hint="eastAsia" w:ascii="楷体_GB2312" w:hAnsi="仿宋" w:eastAsia="楷体_GB2312" w:cs="仿宋"/>
          <w:b/>
          <w:sz w:val="32"/>
          <w:szCs w:val="32"/>
        </w:rPr>
        <w:t>（三）财政补助预算安排及资金分配拨付情况</w:t>
      </w:r>
    </w:p>
    <w:p>
      <w:pPr>
        <w:pStyle w:val="9"/>
        <w:spacing w:line="540" w:lineRule="exact"/>
        <w:ind w:firstLine="640" w:firstLineChars="200"/>
        <w:rPr>
          <w:rFonts w:ascii="仿宋_GB2312" w:hAnsi="Times New Roman" w:eastAsia="仿宋_GB2312" w:cs="Times New Roman"/>
          <w:color w:val="auto"/>
          <w:kern w:val="2"/>
          <w:sz w:val="32"/>
          <w:szCs w:val="32"/>
        </w:rPr>
      </w:pPr>
      <w:r>
        <w:rPr>
          <w:rFonts w:ascii="仿宋_GB2312" w:hAnsi="Times New Roman" w:eastAsia="仿宋_GB2312" w:cs="Times New Roman"/>
          <w:color w:val="auto"/>
          <w:kern w:val="2"/>
          <w:sz w:val="32"/>
          <w:szCs w:val="32"/>
        </w:rPr>
        <w:t>20</w:t>
      </w:r>
      <w:r>
        <w:rPr>
          <w:rFonts w:hint="eastAsia" w:ascii="仿宋_GB2312" w:hAnsi="Times New Roman" w:eastAsia="仿宋_GB2312" w:cs="Times New Roman"/>
          <w:color w:val="auto"/>
          <w:kern w:val="2"/>
          <w:sz w:val="32"/>
          <w:szCs w:val="32"/>
          <w:lang w:val="en-US" w:eastAsia="zh-CN"/>
        </w:rPr>
        <w:t>20</w:t>
      </w:r>
      <w:r>
        <w:rPr>
          <w:rFonts w:ascii="仿宋_GB2312" w:hAnsi="Times New Roman" w:eastAsia="仿宋_GB2312" w:cs="Times New Roman"/>
          <w:color w:val="auto"/>
          <w:kern w:val="2"/>
          <w:sz w:val="32"/>
          <w:szCs w:val="32"/>
        </w:rPr>
        <w:t>年预算收入</w:t>
      </w:r>
      <w:r>
        <w:rPr>
          <w:rFonts w:hint="eastAsia" w:ascii="仿宋_GB2312" w:hAnsi="Times New Roman" w:eastAsia="仿宋_GB2312" w:cs="Times New Roman"/>
          <w:color w:val="auto"/>
          <w:kern w:val="2"/>
          <w:sz w:val="32"/>
          <w:szCs w:val="32"/>
          <w:lang w:val="en-US" w:eastAsia="zh-CN"/>
        </w:rPr>
        <w:t>2284.12</w:t>
      </w:r>
      <w:r>
        <w:rPr>
          <w:rFonts w:ascii="仿宋_GB2312" w:hAnsi="Times New Roman" w:eastAsia="仿宋_GB2312" w:cs="Times New Roman"/>
          <w:color w:val="auto"/>
          <w:kern w:val="2"/>
          <w:sz w:val="32"/>
          <w:szCs w:val="32"/>
        </w:rPr>
        <w:t>万元</w:t>
      </w:r>
      <w:r>
        <w:rPr>
          <w:rFonts w:hint="eastAsia" w:ascii="仿宋_GB2312" w:hAnsi="Times New Roman" w:eastAsia="仿宋_GB2312" w:cs="Times New Roman"/>
          <w:color w:val="auto"/>
          <w:kern w:val="2"/>
          <w:sz w:val="32"/>
          <w:szCs w:val="32"/>
        </w:rPr>
        <w:t>。</w:t>
      </w:r>
      <w:r>
        <w:rPr>
          <w:rFonts w:ascii="仿宋_GB2312" w:hAnsi="Times New Roman" w:eastAsia="仿宋_GB2312" w:cs="Times New Roman"/>
          <w:color w:val="auto"/>
          <w:kern w:val="2"/>
          <w:sz w:val="32"/>
          <w:szCs w:val="32"/>
        </w:rPr>
        <w:t>其中：</w:t>
      </w:r>
    </w:p>
    <w:p>
      <w:pPr>
        <w:pStyle w:val="9"/>
        <w:spacing w:line="540" w:lineRule="exact"/>
        <w:ind w:firstLine="640" w:firstLineChars="200"/>
        <w:rPr>
          <w:rFonts w:ascii="仿宋_GB2312" w:hAnsi="Times New Roman" w:eastAsia="仿宋_GB2312" w:cs="Times New Roman"/>
          <w:color w:val="auto"/>
          <w:kern w:val="2"/>
          <w:sz w:val="32"/>
          <w:szCs w:val="32"/>
        </w:rPr>
      </w:pPr>
      <w:r>
        <w:rPr>
          <w:rFonts w:hint="eastAsia" w:ascii="仿宋_GB2312" w:hAnsi="Times New Roman" w:eastAsia="仿宋_GB2312" w:cs="Times New Roman"/>
          <w:color w:val="auto"/>
          <w:kern w:val="2"/>
          <w:sz w:val="32"/>
          <w:szCs w:val="32"/>
        </w:rPr>
        <w:t>基本支出预算</w:t>
      </w:r>
      <w:r>
        <w:rPr>
          <w:rFonts w:hint="eastAsia" w:ascii="仿宋_GB2312" w:hAnsi="Times New Roman" w:eastAsia="仿宋_GB2312" w:cs="Times New Roman"/>
          <w:color w:val="auto"/>
          <w:kern w:val="2"/>
          <w:sz w:val="32"/>
          <w:szCs w:val="32"/>
          <w:lang w:val="en-US" w:eastAsia="zh-CN"/>
        </w:rPr>
        <w:t>1674.45</w:t>
      </w:r>
      <w:r>
        <w:rPr>
          <w:rFonts w:hint="eastAsia" w:ascii="仿宋_GB2312" w:hAnsi="Times New Roman" w:eastAsia="仿宋_GB2312" w:cs="Times New Roman"/>
          <w:color w:val="auto"/>
          <w:kern w:val="2"/>
          <w:sz w:val="32"/>
          <w:szCs w:val="32"/>
        </w:rPr>
        <w:t>万元，包括人员经费</w:t>
      </w:r>
      <w:r>
        <w:rPr>
          <w:rFonts w:hint="eastAsia" w:ascii="仿宋_GB2312" w:hAnsi="Times New Roman" w:eastAsia="仿宋_GB2312" w:cs="Times New Roman"/>
          <w:color w:val="auto"/>
          <w:kern w:val="2"/>
          <w:sz w:val="32"/>
          <w:szCs w:val="32"/>
          <w:lang w:val="en-US" w:eastAsia="zh-CN"/>
        </w:rPr>
        <w:t>1641.03</w:t>
      </w:r>
      <w:r>
        <w:rPr>
          <w:rFonts w:hint="eastAsia" w:ascii="仿宋_GB2312" w:hAnsi="Times New Roman" w:eastAsia="仿宋_GB2312" w:cs="Times New Roman"/>
          <w:color w:val="auto"/>
          <w:kern w:val="2"/>
          <w:sz w:val="32"/>
          <w:szCs w:val="32"/>
        </w:rPr>
        <w:t>万元；公用经费</w:t>
      </w:r>
      <w:r>
        <w:rPr>
          <w:rFonts w:hint="eastAsia" w:ascii="仿宋_GB2312" w:hAnsi="Times New Roman" w:eastAsia="仿宋_GB2312" w:cs="Times New Roman"/>
          <w:color w:val="auto"/>
          <w:kern w:val="2"/>
          <w:sz w:val="32"/>
          <w:szCs w:val="32"/>
          <w:lang w:val="en-US" w:eastAsia="zh-CN"/>
        </w:rPr>
        <w:t>33.42</w:t>
      </w:r>
      <w:r>
        <w:rPr>
          <w:rFonts w:hint="eastAsia" w:ascii="仿宋_GB2312" w:hAnsi="Times New Roman" w:eastAsia="仿宋_GB2312" w:cs="Times New Roman"/>
          <w:color w:val="auto"/>
          <w:kern w:val="2"/>
          <w:sz w:val="32"/>
          <w:szCs w:val="32"/>
        </w:rPr>
        <w:t>万元。基本支出费用</w:t>
      </w:r>
      <w:r>
        <w:rPr>
          <w:rFonts w:hint="eastAsia" w:ascii="仿宋_GB2312" w:hAnsi="Times New Roman" w:eastAsia="仿宋_GB2312" w:cs="Times New Roman"/>
          <w:color w:val="auto"/>
          <w:kern w:val="2"/>
          <w:sz w:val="32"/>
          <w:szCs w:val="32"/>
          <w:lang w:eastAsia="zh-CN"/>
        </w:rPr>
        <w:t>由</w:t>
      </w:r>
      <w:r>
        <w:rPr>
          <w:rFonts w:hint="eastAsia" w:ascii="仿宋_GB2312" w:hAnsi="Times New Roman" w:eastAsia="仿宋_GB2312" w:cs="Times New Roman"/>
          <w:color w:val="auto"/>
          <w:kern w:val="2"/>
          <w:sz w:val="32"/>
          <w:szCs w:val="32"/>
        </w:rPr>
        <w:t>市财政均衡拨付。</w:t>
      </w:r>
    </w:p>
    <w:p>
      <w:pPr>
        <w:pStyle w:val="9"/>
        <w:spacing w:line="540" w:lineRule="exact"/>
        <w:ind w:firstLine="640" w:firstLineChars="200"/>
        <w:rPr>
          <w:rFonts w:ascii="仿宋_GB2312" w:hAnsi="仿宋_GB2312" w:eastAsia="仿宋_GB2312" w:cs="仿宋_GB2312"/>
          <w:color w:val="000000" w:themeColor="text1"/>
          <w:sz w:val="32"/>
          <w:szCs w:val="32"/>
        </w:rPr>
      </w:pPr>
      <w:r>
        <w:rPr>
          <w:rFonts w:hint="eastAsia" w:ascii="仿宋_GB2312" w:hAnsi="Times New Roman" w:eastAsia="仿宋_GB2312" w:cs="Times New Roman"/>
          <w:color w:val="auto"/>
          <w:kern w:val="2"/>
          <w:sz w:val="32"/>
          <w:szCs w:val="32"/>
        </w:rPr>
        <w:t>专项支出预算</w:t>
      </w:r>
      <w:r>
        <w:rPr>
          <w:rFonts w:hint="eastAsia" w:ascii="仿宋_GB2312" w:hAnsi="Times New Roman" w:eastAsia="仿宋_GB2312" w:cs="Times New Roman"/>
          <w:color w:val="auto"/>
          <w:kern w:val="2"/>
          <w:sz w:val="32"/>
          <w:szCs w:val="32"/>
          <w:lang w:val="en-US" w:eastAsia="zh-CN"/>
        </w:rPr>
        <w:t>609.67</w:t>
      </w:r>
      <w:r>
        <w:rPr>
          <w:rFonts w:hint="eastAsia" w:ascii="仿宋_GB2312" w:hAnsi="Times New Roman" w:eastAsia="仿宋_GB2312" w:cs="Times New Roman"/>
          <w:color w:val="auto"/>
          <w:kern w:val="2"/>
          <w:sz w:val="32"/>
          <w:szCs w:val="32"/>
        </w:rPr>
        <w:t>万元，</w:t>
      </w:r>
      <w:r>
        <w:rPr>
          <w:rFonts w:ascii="仿宋_GB2312" w:hAnsi="Times New Roman" w:eastAsia="仿宋_GB2312" w:cs="Times New Roman"/>
          <w:color w:val="auto"/>
          <w:kern w:val="2"/>
          <w:sz w:val="32"/>
          <w:szCs w:val="32"/>
        </w:rPr>
        <w:t>主要是</w:t>
      </w:r>
      <w:r>
        <w:rPr>
          <w:rFonts w:hint="eastAsia" w:ascii="仿宋_GB2312" w:hAnsi="Times New Roman" w:eastAsia="仿宋_GB2312" w:cs="Times New Roman"/>
          <w:color w:val="auto"/>
          <w:kern w:val="2"/>
          <w:sz w:val="32"/>
          <w:szCs w:val="32"/>
          <w:lang w:eastAsia="zh-CN"/>
        </w:rPr>
        <w:t>石家庄人民会堂升级改造项目支出</w:t>
      </w:r>
      <w:r>
        <w:rPr>
          <w:rFonts w:ascii="仿宋_GB2312" w:hAnsi="Times New Roman" w:eastAsia="仿宋_GB2312" w:cs="Times New Roman"/>
          <w:color w:val="auto"/>
          <w:kern w:val="2"/>
          <w:sz w:val="32"/>
          <w:szCs w:val="32"/>
        </w:rPr>
        <w:t>和党组织活动经</w:t>
      </w:r>
      <w:r>
        <w:rPr>
          <w:rFonts w:hint="eastAsia" w:ascii="仿宋_GB2312" w:hAnsi="Times New Roman" w:eastAsia="仿宋_GB2312" w:cs="Times New Roman"/>
          <w:color w:val="auto"/>
          <w:kern w:val="2"/>
          <w:sz w:val="32"/>
          <w:szCs w:val="32"/>
        </w:rPr>
        <w:t>费。</w:t>
      </w:r>
      <w:r>
        <w:rPr>
          <w:rFonts w:hint="eastAsia" w:ascii="仿宋_GB2312" w:hAnsi="仿宋_GB2312" w:eastAsia="仿宋_GB2312" w:cs="仿宋_GB2312"/>
          <w:color w:val="000000" w:themeColor="text1"/>
          <w:sz w:val="32"/>
          <w:szCs w:val="32"/>
        </w:rPr>
        <w:t>专项支出预算资金按照规定履行了预算批复、概算评审、标底评审、决算评审等规范程序。</w:t>
      </w:r>
    </w:p>
    <w:p>
      <w:pPr>
        <w:snapToGrid w:val="0"/>
        <w:spacing w:line="540" w:lineRule="exact"/>
        <w:ind w:firstLine="643" w:firstLineChars="200"/>
        <w:rPr>
          <w:rFonts w:ascii="楷体_GB2312" w:hAnsi="仿宋" w:eastAsia="楷体_GB2312" w:cs="仿宋"/>
          <w:b/>
          <w:sz w:val="32"/>
          <w:szCs w:val="32"/>
        </w:rPr>
      </w:pPr>
      <w:r>
        <w:rPr>
          <w:rFonts w:hint="eastAsia" w:ascii="楷体_GB2312" w:hAnsi="仿宋" w:eastAsia="楷体_GB2312" w:cs="仿宋"/>
          <w:b/>
          <w:sz w:val="32"/>
          <w:szCs w:val="32"/>
        </w:rPr>
        <w:t>（四）日常财务管理情况</w:t>
      </w:r>
    </w:p>
    <w:p>
      <w:pPr>
        <w:pStyle w:val="9"/>
        <w:spacing w:line="540" w:lineRule="exact"/>
        <w:ind w:firstLine="640" w:firstLineChars="200"/>
        <w:rPr>
          <w:rFonts w:ascii="仿宋_GB2312" w:hAnsi="Times New Roman" w:eastAsia="仿宋_GB2312" w:cs="Times New Roman"/>
          <w:color w:val="auto"/>
          <w:kern w:val="2"/>
          <w:sz w:val="32"/>
          <w:szCs w:val="32"/>
        </w:rPr>
      </w:pPr>
      <w:r>
        <w:rPr>
          <w:rFonts w:hint="eastAsia" w:ascii="仿宋_GB2312" w:hAnsi="Times New Roman" w:eastAsia="仿宋_GB2312" w:cs="Times New Roman"/>
          <w:color w:val="auto"/>
          <w:kern w:val="2"/>
          <w:sz w:val="32"/>
          <w:szCs w:val="32"/>
        </w:rPr>
        <w:t>基本支出资金严格按照内控规范的《预算业务内部管理制度》和《收支业务管理规定》办理，对应发放个人的人员支出做到足额按时发放，对应上缴的人员费用做到足额按时上缴，日常公用经费做到合理安排使用。</w:t>
      </w:r>
    </w:p>
    <w:p>
      <w:pPr>
        <w:tabs>
          <w:tab w:val="left" w:pos="540"/>
        </w:tabs>
        <w:spacing w:line="520" w:lineRule="exact"/>
        <w:ind w:firstLine="640" w:firstLineChars="200"/>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会堂维修改造升级资金做到专款专用、封闭运行，实行了单独核算、专人管理、专款专用，无滞留、截留、挪用，无规定范围外使用。做到按规定提取和使用，按规定办理报账手续。</w:t>
      </w:r>
    </w:p>
    <w:p>
      <w:pPr>
        <w:snapToGrid w:val="0"/>
        <w:spacing w:line="540" w:lineRule="exact"/>
        <w:ind w:firstLine="643" w:firstLineChars="200"/>
        <w:rPr>
          <w:rFonts w:ascii="楷体_GB2312" w:hAnsi="仿宋" w:eastAsia="楷体_GB2312" w:cs="仿宋"/>
          <w:b/>
          <w:sz w:val="32"/>
          <w:szCs w:val="32"/>
        </w:rPr>
      </w:pPr>
      <w:r>
        <w:rPr>
          <w:rFonts w:hint="eastAsia" w:ascii="楷体_GB2312" w:hAnsi="仿宋" w:eastAsia="楷体_GB2312" w:cs="仿宋"/>
          <w:b/>
          <w:sz w:val="32"/>
          <w:szCs w:val="32"/>
        </w:rPr>
        <w:t>（五）专项监督检查及审计部门审查意见等情况</w:t>
      </w:r>
    </w:p>
    <w:p>
      <w:pPr>
        <w:snapToGrid w:val="0"/>
        <w:spacing w:line="540" w:lineRule="exact"/>
        <w:ind w:firstLine="640" w:firstLineChars="200"/>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20</w:t>
      </w:r>
      <w:r>
        <w:rPr>
          <w:rFonts w:hint="eastAsia" w:ascii="仿宋_GB2312" w:hAnsi="仿宋_GB2312" w:eastAsia="仿宋_GB2312" w:cs="仿宋_GB2312"/>
          <w:color w:val="000000" w:themeColor="text1"/>
          <w:sz w:val="32"/>
          <w:szCs w:val="32"/>
          <w:lang w:val="en-US" w:eastAsia="zh-CN"/>
        </w:rPr>
        <w:t>20</w:t>
      </w:r>
      <w:r>
        <w:rPr>
          <w:rFonts w:hint="eastAsia" w:ascii="仿宋_GB2312" w:hAnsi="仿宋_GB2312" w:eastAsia="仿宋_GB2312" w:cs="仿宋_GB2312"/>
          <w:color w:val="000000" w:themeColor="text1"/>
          <w:sz w:val="32"/>
          <w:szCs w:val="32"/>
        </w:rPr>
        <w:t>年</w:t>
      </w:r>
      <w:r>
        <w:rPr>
          <w:rFonts w:hint="eastAsia" w:ascii="仿宋_GB2312" w:eastAsia="仿宋_GB2312"/>
          <w:sz w:val="32"/>
          <w:szCs w:val="32"/>
        </w:rPr>
        <w:t>，经市总工会财务处、经审办、市财政局和审计部门对人民会堂进行财务检查和审计，未发现违法违纪违规问题</w:t>
      </w:r>
      <w:r>
        <w:rPr>
          <w:rFonts w:hint="eastAsia" w:ascii="仿宋_GB2312" w:hAnsi="仿宋_GB2312" w:eastAsia="仿宋_GB2312" w:cs="仿宋_GB2312"/>
          <w:color w:val="000000" w:themeColor="text1"/>
          <w:sz w:val="32"/>
          <w:szCs w:val="32"/>
        </w:rPr>
        <w:t>，对会堂财务管理工作给予了充分的肯定和较高的评价。</w:t>
      </w:r>
    </w:p>
    <w:p>
      <w:pPr>
        <w:snapToGrid w:val="0"/>
        <w:spacing w:line="540" w:lineRule="exact"/>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pPr>
        <w:snapToGrid w:val="0"/>
        <w:spacing w:line="540" w:lineRule="exact"/>
        <w:ind w:firstLine="643" w:firstLineChars="200"/>
        <w:rPr>
          <w:rFonts w:ascii="楷体_GB2312" w:hAnsi="仿宋" w:eastAsia="楷体_GB2312" w:cs="仿宋"/>
          <w:b/>
          <w:sz w:val="32"/>
          <w:szCs w:val="32"/>
        </w:rPr>
      </w:pPr>
      <w:r>
        <w:rPr>
          <w:rFonts w:hint="eastAsia" w:ascii="楷体_GB2312" w:hAnsi="仿宋" w:eastAsia="楷体_GB2312" w:cs="仿宋"/>
          <w:b/>
          <w:sz w:val="32"/>
          <w:szCs w:val="32"/>
        </w:rPr>
        <w:t>（一）人民会堂20</w:t>
      </w:r>
      <w:r>
        <w:rPr>
          <w:rFonts w:hint="eastAsia" w:ascii="楷体_GB2312" w:hAnsi="仿宋" w:eastAsia="楷体_GB2312" w:cs="仿宋"/>
          <w:b/>
          <w:sz w:val="32"/>
          <w:szCs w:val="32"/>
          <w:lang w:val="en-US" w:eastAsia="zh-CN"/>
        </w:rPr>
        <w:t>20</w:t>
      </w:r>
      <w:r>
        <w:rPr>
          <w:rFonts w:hint="eastAsia" w:ascii="楷体_GB2312" w:hAnsi="仿宋" w:eastAsia="楷体_GB2312" w:cs="仿宋"/>
          <w:b/>
          <w:sz w:val="32"/>
          <w:szCs w:val="32"/>
        </w:rPr>
        <w:t>年总体工作开展情况</w:t>
      </w:r>
    </w:p>
    <w:p>
      <w:pPr>
        <w:snapToGrid w:val="0"/>
        <w:spacing w:line="540" w:lineRule="exact"/>
        <w:ind w:firstLine="640" w:firstLineChars="200"/>
        <w:rPr>
          <w:rFonts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年，人民会堂紧紧围绕三大功能，主要开展了以下工作：</w:t>
      </w:r>
    </w:p>
    <w:p>
      <w:pPr>
        <w:snapToGrid w:val="0"/>
        <w:spacing w:line="540" w:lineRule="exact"/>
        <w:ind w:firstLine="640" w:firstLineChars="200"/>
        <w:rPr>
          <w:rFonts w:ascii="仿宋_GB2312" w:eastAsia="仿宋_GB2312"/>
          <w:sz w:val="32"/>
          <w:szCs w:val="32"/>
        </w:rPr>
      </w:pPr>
      <w:r>
        <w:rPr>
          <w:rFonts w:hint="eastAsia" w:ascii="仿宋_GB2312" w:eastAsia="仿宋_GB2312"/>
          <w:sz w:val="32"/>
          <w:szCs w:val="32"/>
        </w:rPr>
        <w:t>1. 高站位，高标准，完成重大政治任务。20</w:t>
      </w:r>
      <w:r>
        <w:rPr>
          <w:rFonts w:hint="eastAsia" w:ascii="仿宋_GB2312" w:eastAsia="仿宋_GB2312"/>
          <w:sz w:val="32"/>
          <w:szCs w:val="32"/>
          <w:lang w:val="en-US" w:eastAsia="zh-CN"/>
        </w:rPr>
        <w:t>20</w:t>
      </w:r>
      <w:r>
        <w:rPr>
          <w:rFonts w:hint="eastAsia" w:ascii="仿宋_GB2312" w:eastAsia="仿宋_GB2312"/>
          <w:sz w:val="32"/>
          <w:szCs w:val="32"/>
        </w:rPr>
        <w:t>年，人民会堂接待全市性重大活动20多场次，圆满完成了市人大政协两会两会的服务保障任务，</w:t>
      </w:r>
    </w:p>
    <w:p>
      <w:pPr>
        <w:spacing w:line="540" w:lineRule="exact"/>
        <w:ind w:firstLine="640" w:firstLineChars="200"/>
        <w:jc w:val="left"/>
        <w:rPr>
          <w:rFonts w:ascii="仿宋_GB2312" w:eastAsia="仿宋_GB2312"/>
          <w:sz w:val="32"/>
          <w:szCs w:val="32"/>
        </w:rPr>
      </w:pPr>
      <w:r>
        <w:rPr>
          <w:rFonts w:hint="eastAsia" w:ascii="仿宋_GB2312" w:eastAsia="仿宋_GB2312"/>
          <w:sz w:val="32"/>
          <w:szCs w:val="32"/>
        </w:rPr>
        <w:t>2. 遵规纪，严内控，确保经济活动合法合规。20</w:t>
      </w:r>
      <w:r>
        <w:rPr>
          <w:rFonts w:hint="eastAsia" w:ascii="仿宋_GB2312" w:eastAsia="仿宋_GB2312"/>
          <w:sz w:val="32"/>
          <w:szCs w:val="32"/>
          <w:lang w:val="en-US" w:eastAsia="zh-CN"/>
        </w:rPr>
        <w:t>20</w:t>
      </w:r>
      <w:r>
        <w:rPr>
          <w:rFonts w:hint="eastAsia" w:ascii="仿宋_GB2312" w:eastAsia="仿宋_GB2312"/>
          <w:sz w:val="32"/>
          <w:szCs w:val="32"/>
        </w:rPr>
        <w:t>年，人民会堂继续把加强内控规范作为重要内部管理内容着力推进，强化内部流程控制，内控机制得到进一步完善。</w:t>
      </w:r>
    </w:p>
    <w:p>
      <w:pPr>
        <w:spacing w:line="540" w:lineRule="exact"/>
        <w:ind w:firstLine="640" w:firstLineChars="200"/>
        <w:jc w:val="left"/>
        <w:rPr>
          <w:rFonts w:ascii="仿宋_GB2312" w:eastAsia="仿宋_GB2312"/>
          <w:sz w:val="32"/>
          <w:szCs w:val="32"/>
        </w:rPr>
      </w:pPr>
      <w:r>
        <w:rPr>
          <w:rFonts w:hint="eastAsia" w:ascii="仿宋_GB2312" w:eastAsia="仿宋_GB2312"/>
          <w:sz w:val="32"/>
          <w:szCs w:val="32"/>
        </w:rPr>
        <w:t>3. 解难题，抓完善，跨越两个年度的升级改造工程圆满终结。人民会堂硬件设施进一步提升完善。</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4. 迎挑战，闯难关，努力化解经营难关。努力化解升级改造造成的客户流失和经营困难，恢复和拓展新的经营项目，经营业务逐渐恢复到正常年份水平。</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 xml:space="preserve">5. </w:t>
      </w:r>
      <w:r>
        <w:rPr>
          <w:rFonts w:hint="eastAsia" w:ascii="仿宋_GB2312" w:hAnsi="仿宋" w:eastAsia="仿宋_GB2312" w:cs="仿宋"/>
          <w:sz w:val="32"/>
          <w:szCs w:val="32"/>
        </w:rPr>
        <w:t>高品位、精细化，做好外部活动的接待服务任务，根据宾客特点实行标准化服务和个性化服务，达到安全无事故，服务无差错，宾客无投诉。</w:t>
      </w:r>
    </w:p>
    <w:p>
      <w:pPr>
        <w:spacing w:line="540" w:lineRule="exact"/>
        <w:ind w:firstLine="640" w:firstLineChars="200"/>
        <w:rPr>
          <w:rFonts w:ascii="仿宋_GB2312" w:eastAsia="仿宋_GB2312"/>
          <w:sz w:val="32"/>
          <w:szCs w:val="32"/>
        </w:rPr>
      </w:pPr>
      <w:r>
        <w:rPr>
          <w:rFonts w:hint="eastAsia" w:ascii="仿宋_GB2312" w:hAnsi="仿宋" w:eastAsia="仿宋_GB2312" w:cs="仿宋"/>
          <w:sz w:val="32"/>
          <w:szCs w:val="32"/>
        </w:rPr>
        <w:t>6. 确保设施设备状态完好，为各类活动安全有效运行提供场地、设备、动力等方面全程保障。</w:t>
      </w:r>
    </w:p>
    <w:p>
      <w:pPr>
        <w:spacing w:line="540" w:lineRule="exact"/>
        <w:ind w:firstLine="643" w:firstLineChars="200"/>
        <w:jc w:val="left"/>
        <w:rPr>
          <w:rFonts w:ascii="楷体_GB2312" w:hAnsi="仿宋" w:eastAsia="楷体_GB2312" w:cs="仿宋"/>
          <w:b/>
          <w:sz w:val="32"/>
          <w:szCs w:val="32"/>
        </w:rPr>
      </w:pPr>
      <w:r>
        <w:rPr>
          <w:rFonts w:hint="eastAsia" w:ascii="楷体_GB2312" w:hAnsi="仿宋" w:eastAsia="楷体_GB2312" w:cs="仿宋"/>
          <w:b/>
          <w:sz w:val="32"/>
          <w:szCs w:val="32"/>
        </w:rPr>
        <w:t>（二）专项资金和具体预算支出项目的预期绩效目标完成情况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专项资金主要用于</w:t>
      </w:r>
      <w:r>
        <w:rPr>
          <w:rFonts w:ascii="仿宋_GB2312" w:eastAsia="仿宋_GB2312"/>
          <w:sz w:val="32"/>
          <w:szCs w:val="32"/>
        </w:rPr>
        <w:t>会堂消防</w:t>
      </w:r>
      <w:r>
        <w:rPr>
          <w:rFonts w:hint="eastAsia" w:ascii="仿宋_GB2312" w:eastAsia="仿宋_GB2312"/>
          <w:sz w:val="32"/>
          <w:szCs w:val="32"/>
        </w:rPr>
        <w:t>、</w:t>
      </w:r>
      <w:r>
        <w:rPr>
          <w:rFonts w:ascii="仿宋_GB2312" w:eastAsia="仿宋_GB2312"/>
          <w:sz w:val="32"/>
          <w:szCs w:val="32"/>
        </w:rPr>
        <w:t>电气</w:t>
      </w:r>
      <w:r>
        <w:rPr>
          <w:rFonts w:hint="eastAsia" w:ascii="仿宋_GB2312" w:eastAsia="仿宋_GB2312"/>
          <w:sz w:val="32"/>
          <w:szCs w:val="32"/>
        </w:rPr>
        <w:t>、</w:t>
      </w:r>
      <w:r>
        <w:rPr>
          <w:rFonts w:ascii="仿宋_GB2312" w:eastAsia="仿宋_GB2312"/>
          <w:sz w:val="32"/>
          <w:szCs w:val="32"/>
        </w:rPr>
        <w:t>中央空调</w:t>
      </w:r>
      <w:r>
        <w:rPr>
          <w:rFonts w:hint="eastAsia" w:ascii="仿宋_GB2312" w:eastAsia="仿宋_GB2312"/>
          <w:sz w:val="32"/>
          <w:szCs w:val="32"/>
        </w:rPr>
        <w:t>三个系统的升级</w:t>
      </w:r>
      <w:r>
        <w:rPr>
          <w:rFonts w:ascii="仿宋_GB2312" w:eastAsia="仿宋_GB2312"/>
          <w:sz w:val="32"/>
          <w:szCs w:val="32"/>
        </w:rPr>
        <w:t>改造项目</w:t>
      </w:r>
      <w:r>
        <w:rPr>
          <w:rFonts w:hint="eastAsia" w:ascii="仿宋_GB2312" w:eastAsia="仿宋_GB2312"/>
          <w:sz w:val="32"/>
          <w:szCs w:val="32"/>
        </w:rPr>
        <w:t>工程。升级改造项目实施后，设施功效提升达到了预期绩效目标：如配电设备改造后，增加了用电负荷，满足了会堂用电量增加的需求；消防系统报警系统维修调试完成后，会堂不同区域改造工程涉及的消防报警设施达到了兼容；大礼堂舞台机械控制系统改造提升了大礼堂舞台机械功能，满足了更大范围的使用需要，在设施功效提升的同时消除了安全隐患，保证了各项社会政治文化活动安全无虞。</w:t>
      </w:r>
    </w:p>
    <w:p>
      <w:pPr>
        <w:spacing w:line="540" w:lineRule="exact"/>
        <w:ind w:firstLine="640" w:firstLineChars="200"/>
        <w:jc w:val="left"/>
        <w:rPr>
          <w:rFonts w:ascii="仿宋_GB2312" w:eastAsia="仿宋_GB2312"/>
          <w:sz w:val="32"/>
          <w:szCs w:val="32"/>
        </w:rPr>
      </w:pPr>
      <w:r>
        <w:rPr>
          <w:rFonts w:hint="eastAsia" w:ascii="仿宋_GB2312" w:eastAsia="仿宋_GB2312"/>
          <w:sz w:val="32"/>
          <w:szCs w:val="32"/>
        </w:rPr>
        <w:t>项目整体实施后，人民会堂场地、设施的综合利用率和服务功能大幅度提升，基本达到了预期目标，将在今后较长时间发挥作用。</w:t>
      </w:r>
    </w:p>
    <w:p>
      <w:pPr>
        <w:snapToGrid w:val="0"/>
        <w:spacing w:line="540" w:lineRule="exact"/>
        <w:ind w:firstLine="643" w:firstLineChars="200"/>
        <w:rPr>
          <w:rFonts w:ascii="仿宋" w:hAnsi="仿宋" w:eastAsia="仿宋" w:cs="仿宋"/>
          <w:sz w:val="32"/>
          <w:szCs w:val="32"/>
        </w:rPr>
      </w:pPr>
      <w:r>
        <w:rPr>
          <w:rFonts w:hint="eastAsia" w:ascii="楷体_GB2312" w:hAnsi="仿宋" w:eastAsia="楷体_GB2312" w:cs="仿宋"/>
          <w:b/>
          <w:sz w:val="32"/>
          <w:szCs w:val="32"/>
        </w:rPr>
        <w:t>（三）存在问题及评价结论，</w:t>
      </w:r>
    </w:p>
    <w:p>
      <w:pPr>
        <w:snapToGrid w:val="0"/>
        <w:spacing w:line="540" w:lineRule="exact"/>
        <w:ind w:firstLine="640" w:firstLineChars="200"/>
        <w:rPr>
          <w:rFonts w:ascii="仿宋_GB2312" w:eastAsia="仿宋_GB2312"/>
          <w:sz w:val="32"/>
          <w:szCs w:val="32"/>
        </w:rPr>
      </w:pPr>
      <w:r>
        <w:rPr>
          <w:rFonts w:hint="eastAsia" w:ascii="仿宋_GB2312" w:eastAsia="仿宋_GB2312"/>
          <w:sz w:val="32"/>
          <w:szCs w:val="32"/>
        </w:rPr>
        <w:t>人民会堂按照绩效目标开展各项工作，组织各专项工程的实施，没有出现大的问题，在2</w:t>
      </w:r>
      <w:r>
        <w:rPr>
          <w:rFonts w:hint="eastAsia" w:ascii="仿宋_GB2312" w:eastAsia="仿宋_GB2312"/>
          <w:sz w:val="32"/>
          <w:szCs w:val="32"/>
          <w:lang w:val="en-US" w:eastAsia="zh-CN"/>
        </w:rPr>
        <w:t>020</w:t>
      </w:r>
      <w:r>
        <w:rPr>
          <w:rFonts w:hint="eastAsia" w:ascii="仿宋_GB2312" w:eastAsia="仿宋_GB2312"/>
          <w:sz w:val="32"/>
          <w:szCs w:val="32"/>
        </w:rPr>
        <w:t>年度上级各项检查中都给予较高评价。主要问题是在一些细节问题上有时重视不够，需要进一步改进和完善。经人民会堂</w:t>
      </w:r>
      <w:r>
        <w:rPr>
          <w:rFonts w:hint="eastAsia" w:ascii="仿宋_GB2312" w:hAnsi="仿宋_GB2312" w:eastAsia="仿宋_GB2312" w:cs="仿宋_GB2312"/>
          <w:sz w:val="32"/>
          <w:szCs w:val="32"/>
        </w:rPr>
        <w:t>绩效自评工作小组集体议定，绩效自评评价为优秀。</w:t>
      </w:r>
    </w:p>
    <w:p>
      <w:pPr>
        <w:snapToGrid w:val="0"/>
        <w:spacing w:line="540" w:lineRule="exact"/>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spacing w:line="540" w:lineRule="exact"/>
        <w:ind w:firstLine="643" w:firstLineChars="200"/>
        <w:rPr>
          <w:rFonts w:ascii="楷体_GB2312" w:eastAsia="楷体_GB2312"/>
          <w:b/>
          <w:sz w:val="32"/>
          <w:szCs w:val="32"/>
        </w:rPr>
      </w:pPr>
      <w:r>
        <w:rPr>
          <w:rFonts w:hint="eastAsia" w:ascii="楷体_GB2312" w:eastAsia="楷体_GB2312"/>
          <w:b/>
          <w:sz w:val="32"/>
          <w:szCs w:val="32"/>
        </w:rPr>
        <w:t>（一）绩效目标设定情况</w:t>
      </w:r>
    </w:p>
    <w:p>
      <w:pPr>
        <w:spacing w:line="540" w:lineRule="exact"/>
        <w:ind w:firstLine="640" w:firstLineChars="200"/>
        <w:rPr>
          <w:rFonts w:ascii="仿宋_GB2312" w:hAnsi="仿宋" w:eastAsia="仿宋_GB2312" w:cs="仿宋"/>
          <w:sz w:val="32"/>
          <w:szCs w:val="32"/>
        </w:rPr>
      </w:pPr>
      <w:r>
        <w:rPr>
          <w:rFonts w:hint="eastAsia" w:ascii="仿宋_GB2312" w:eastAsia="仿宋_GB2312"/>
          <w:sz w:val="32"/>
          <w:szCs w:val="32"/>
        </w:rPr>
        <w:t>在绩效自评中，我们对比倒查了20</w:t>
      </w:r>
      <w:r>
        <w:rPr>
          <w:rFonts w:hint="eastAsia" w:ascii="仿宋_GB2312" w:eastAsia="仿宋_GB2312"/>
          <w:sz w:val="32"/>
          <w:szCs w:val="32"/>
          <w:lang w:val="en-US" w:eastAsia="zh-CN"/>
        </w:rPr>
        <w:t>20</w:t>
      </w:r>
      <w:r>
        <w:rPr>
          <w:rFonts w:hint="eastAsia" w:ascii="仿宋_GB2312" w:eastAsia="仿宋_GB2312"/>
          <w:sz w:val="32"/>
          <w:szCs w:val="32"/>
        </w:rPr>
        <w:t>年初绩效目标设定质量情况。20</w:t>
      </w:r>
      <w:r>
        <w:rPr>
          <w:rFonts w:hint="eastAsia" w:ascii="仿宋_GB2312" w:eastAsia="仿宋_GB2312"/>
          <w:sz w:val="32"/>
          <w:szCs w:val="32"/>
          <w:lang w:val="en-US" w:eastAsia="zh-CN"/>
        </w:rPr>
        <w:t>20</w:t>
      </w:r>
      <w:r>
        <w:rPr>
          <w:rFonts w:hint="eastAsia" w:ascii="仿宋_GB2312" w:eastAsia="仿宋_GB2312"/>
          <w:sz w:val="32"/>
          <w:szCs w:val="32"/>
        </w:rPr>
        <w:t>年设定了</w:t>
      </w:r>
      <w:r>
        <w:rPr>
          <w:rFonts w:hint="eastAsia" w:ascii="仿宋_GB2312" w:hAnsi="仿宋" w:eastAsia="仿宋_GB2312" w:cs="仿宋"/>
          <w:sz w:val="32"/>
          <w:szCs w:val="32"/>
        </w:rPr>
        <w:t>全程服务保障、精细化服务、场地利用率、扩大公益性经营服务项目、降低能源物料消耗和单位成本等5项职责分类绩效目标；设定了完成重大政治任务、安全维稳、加强内控管理、创建工作、经营工作、经营效益、职工文化阵地建设、维修改造工程、提高员工整体素质等9项分项绩效目标；设定了“解放思想，创新思维，贯彻学、改、调、优、转、提、节、本八字方针，实施‘2+2双提工程</w:t>
      </w:r>
      <w:r>
        <w:rPr>
          <w:rFonts w:ascii="仿宋_GB2312" w:hAnsi="仿宋" w:eastAsia="仿宋_GB2312" w:cs="仿宋"/>
          <w:sz w:val="32"/>
          <w:szCs w:val="32"/>
        </w:rPr>
        <w:t>’</w:t>
      </w:r>
      <w:r>
        <w:rPr>
          <w:rFonts w:hint="eastAsia" w:ascii="仿宋_GB2312" w:hAnsi="仿宋" w:eastAsia="仿宋_GB2312" w:cs="仿宋"/>
          <w:sz w:val="32"/>
          <w:szCs w:val="32"/>
        </w:rPr>
        <w:t>（即提升整体素质和提升服务品质，提高社会效益和提高经济效益）”</w:t>
      </w:r>
      <w:r>
        <w:rPr>
          <w:rFonts w:ascii="仿宋_GB2312" w:hAnsi="仿宋" w:eastAsia="仿宋_GB2312" w:cs="仿宋"/>
          <w:sz w:val="32"/>
          <w:szCs w:val="32"/>
        </w:rPr>
        <w:t>保障措施</w:t>
      </w:r>
      <w:r>
        <w:rPr>
          <w:rFonts w:hint="eastAsia" w:ascii="仿宋_GB2312" w:hAnsi="仿宋" w:eastAsia="仿宋_GB2312" w:cs="仿宋"/>
          <w:sz w:val="32"/>
          <w:szCs w:val="32"/>
        </w:rPr>
        <w:t>。</w:t>
      </w:r>
    </w:p>
    <w:p>
      <w:pPr>
        <w:spacing w:line="540" w:lineRule="exact"/>
        <w:ind w:firstLine="640" w:firstLineChars="200"/>
        <w:rPr>
          <w:rFonts w:ascii="楷体_GB2312" w:eastAsia="楷体_GB2312"/>
          <w:b/>
          <w:sz w:val="32"/>
          <w:szCs w:val="32"/>
        </w:rPr>
      </w:pPr>
      <w:r>
        <w:rPr>
          <w:rFonts w:hint="eastAsia" w:ascii="仿宋_GB2312" w:hAnsi="仿宋" w:eastAsia="仿宋_GB2312" w:cs="仿宋"/>
          <w:sz w:val="32"/>
          <w:szCs w:val="32"/>
        </w:rPr>
        <w:t>（二）</w:t>
      </w:r>
      <w:r>
        <w:rPr>
          <w:rFonts w:hint="eastAsia" w:ascii="楷体_GB2312" w:eastAsia="楷体_GB2312"/>
          <w:b/>
          <w:sz w:val="32"/>
          <w:szCs w:val="32"/>
        </w:rPr>
        <w:t>绩效目标设定质量情况</w:t>
      </w:r>
    </w:p>
    <w:p>
      <w:pPr>
        <w:spacing w:line="54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经倒查，我们认为从总体看，目标设定清晰准确，绩效指标全面完整、科学合理，绩效标准基本恰当适宜、易于评价。总之，绩效目标设定质量优良。</w:t>
      </w:r>
    </w:p>
    <w:p>
      <w:pPr>
        <w:spacing w:line="540" w:lineRule="exact"/>
        <w:ind w:firstLine="643" w:firstLineChars="200"/>
        <w:rPr>
          <w:rFonts w:ascii="仿宋_GB2312" w:hAnsi="仿宋" w:eastAsia="仿宋_GB2312" w:cs="仿宋"/>
          <w:b/>
          <w:sz w:val="32"/>
          <w:szCs w:val="32"/>
        </w:rPr>
      </w:pPr>
      <w:r>
        <w:rPr>
          <w:rFonts w:hint="eastAsia" w:ascii="仿宋_GB2312" w:hAnsi="仿宋" w:eastAsia="仿宋_GB2312" w:cs="仿宋"/>
          <w:b/>
          <w:sz w:val="32"/>
          <w:szCs w:val="32"/>
        </w:rPr>
        <w:t>（三）存在主要问题</w:t>
      </w:r>
    </w:p>
    <w:p>
      <w:pPr>
        <w:spacing w:line="54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w:t>
      </w:r>
      <w:r>
        <w:rPr>
          <w:rFonts w:hint="eastAsia" w:ascii="仿宋_GB2312" w:hAnsi="仿宋" w:eastAsia="仿宋_GB2312" w:cs="仿宋"/>
          <w:sz w:val="32"/>
          <w:szCs w:val="32"/>
          <w:lang w:eastAsia="zh-CN"/>
        </w:rPr>
        <w:t>由于疫情的影响，场馆改造后的客观原因，</w:t>
      </w:r>
      <w:r>
        <w:rPr>
          <w:rFonts w:hint="eastAsia" w:ascii="仿宋_GB2312" w:hAnsi="仿宋" w:eastAsia="仿宋_GB2312" w:cs="仿宋"/>
          <w:sz w:val="32"/>
          <w:szCs w:val="32"/>
        </w:rPr>
        <w:t>经营工作、经营效益、职工文化阵地建设等涉及外部条件的目标设定对可能出现的变化情况预设不足，增加了实现</w:t>
      </w:r>
      <w:r>
        <w:rPr>
          <w:rFonts w:hint="eastAsia" w:ascii="仿宋_GB2312" w:hAnsi="仿宋" w:eastAsia="仿宋_GB2312" w:cs="仿宋"/>
          <w:sz w:val="32"/>
          <w:szCs w:val="32"/>
          <w:lang w:eastAsia="zh-CN"/>
        </w:rPr>
        <w:t>绩效</w:t>
      </w:r>
      <w:r>
        <w:rPr>
          <w:rFonts w:hint="eastAsia" w:ascii="仿宋_GB2312" w:hAnsi="仿宋" w:eastAsia="仿宋_GB2312" w:cs="仿宋"/>
          <w:sz w:val="32"/>
          <w:szCs w:val="32"/>
        </w:rPr>
        <w:t>目标的难度。</w:t>
      </w:r>
    </w:p>
    <w:p>
      <w:pPr>
        <w:spacing w:line="54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2.在注重细节</w:t>
      </w:r>
      <w:r>
        <w:rPr>
          <w:rFonts w:hint="eastAsia" w:ascii="仿宋_GB2312" w:hAnsi="仿宋" w:eastAsia="仿宋_GB2312" w:cs="仿宋"/>
          <w:sz w:val="32"/>
          <w:szCs w:val="32"/>
          <w:lang w:eastAsia="zh-CN"/>
        </w:rPr>
        <w:t>、业务拓展</w:t>
      </w:r>
      <w:r>
        <w:rPr>
          <w:rFonts w:hint="eastAsia" w:ascii="仿宋_GB2312" w:hAnsi="仿宋" w:eastAsia="仿宋_GB2312" w:cs="仿宋"/>
          <w:sz w:val="32"/>
          <w:szCs w:val="32"/>
        </w:rPr>
        <w:t>和优化管理流程上还需要进一步改进和完善。</w:t>
      </w:r>
    </w:p>
    <w:p>
      <w:pPr>
        <w:snapToGrid w:val="0"/>
        <w:spacing w:line="540" w:lineRule="exact"/>
        <w:ind w:firstLine="640" w:firstLineChars="200"/>
        <w:rPr>
          <w:rFonts w:ascii="黑体" w:hAnsi="黑体" w:eastAsia="黑体" w:cs="黑体"/>
          <w:sz w:val="32"/>
          <w:szCs w:val="32"/>
        </w:rPr>
      </w:pPr>
      <w:r>
        <w:rPr>
          <w:rFonts w:hint="eastAsia" w:ascii="黑体" w:hAnsi="黑体" w:eastAsia="黑体" w:cs="黑体"/>
          <w:sz w:val="32"/>
          <w:szCs w:val="32"/>
        </w:rPr>
        <w:t>四、整改措施</w:t>
      </w:r>
    </w:p>
    <w:p>
      <w:pPr>
        <w:snapToGrid w:val="0"/>
        <w:spacing w:line="54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 今后在绩效目标设定中要更加积极而审慎地研判内外部各方面的情况和条件，增强科学性、预见性和可行性，使绩效目标的设定积极而又留有余地。</w:t>
      </w:r>
    </w:p>
    <w:p>
      <w:pPr>
        <w:snapToGrid w:val="0"/>
        <w:spacing w:line="54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 进一步完善内控规范，完成有关决策、授权、预算、资产管理、工程管理、合同管理、评价监督等方面14个专项制度的修订完善。</w:t>
      </w:r>
    </w:p>
    <w:p>
      <w:pPr>
        <w:snapToGrid w:val="0"/>
        <w:spacing w:line="540" w:lineRule="exact"/>
        <w:ind w:firstLine="640" w:firstLineChars="200"/>
        <w:jc w:val="right"/>
        <w:rPr>
          <w:rFonts w:hint="eastAsia" w:ascii="华文仿宋" w:hAnsi="华文仿宋" w:eastAsia="华文仿宋"/>
          <w:sz w:val="32"/>
          <w:szCs w:val="32"/>
        </w:rPr>
      </w:pPr>
      <w:r>
        <w:rPr>
          <w:rFonts w:hint="eastAsia" w:ascii="仿宋_GB2312" w:hAnsi="仿宋" w:eastAsia="仿宋_GB2312" w:cs="仿宋"/>
          <w:sz w:val="32"/>
          <w:szCs w:val="32"/>
        </w:rPr>
        <w:t>3.</w:t>
      </w:r>
      <w:r>
        <w:rPr>
          <w:rFonts w:hint="eastAsia" w:ascii="华文仿宋" w:hAnsi="华文仿宋" w:eastAsia="华文仿宋"/>
          <w:sz w:val="32"/>
          <w:szCs w:val="32"/>
        </w:rPr>
        <w:t>以改革创新精神</w:t>
      </w:r>
      <w:r>
        <w:rPr>
          <w:rFonts w:hint="eastAsia" w:ascii="仿宋_GB2312" w:hAnsi="仿宋" w:eastAsia="仿宋_GB2312" w:cs="仿宋"/>
          <w:sz w:val="32"/>
          <w:szCs w:val="32"/>
        </w:rPr>
        <w:t>改进管理、优化流程，</w:t>
      </w:r>
      <w:r>
        <w:rPr>
          <w:rFonts w:hint="eastAsia" w:ascii="仿宋_GB2312" w:eastAsia="仿宋_GB2312"/>
          <w:sz w:val="32"/>
          <w:szCs w:val="32"/>
        </w:rPr>
        <w:t>开展业务管理流程再造的探索和实践，力求管理工作集约、严密、顺畅、高效，不断</w:t>
      </w:r>
      <w:r>
        <w:rPr>
          <w:rFonts w:hint="eastAsia" w:ascii="华文仿宋" w:hAnsi="华文仿宋" w:eastAsia="华文仿宋"/>
          <w:sz w:val="32"/>
          <w:szCs w:val="32"/>
        </w:rPr>
        <w:t xml:space="preserve">改进和提升管理、服务工作的质量、效能和水平。    </w:t>
      </w:r>
    </w:p>
    <w:p>
      <w:pPr>
        <w:snapToGrid w:val="0"/>
        <w:spacing w:line="540" w:lineRule="exact"/>
        <w:jc w:val="right"/>
        <w:rPr>
          <w:rFonts w:hint="eastAsia" w:ascii="华文仿宋" w:hAnsi="华文仿宋" w:eastAsia="华文仿宋"/>
          <w:sz w:val="32"/>
          <w:szCs w:val="32"/>
        </w:rPr>
      </w:pPr>
    </w:p>
    <w:p>
      <w:pPr>
        <w:snapToGrid w:val="0"/>
        <w:spacing w:line="540" w:lineRule="exact"/>
        <w:jc w:val="right"/>
        <w:rPr>
          <w:rFonts w:hint="default" w:ascii="Times New Roman" w:hAnsi="Times New Roman" w:eastAsia="宋体" w:cs="Times New Roman"/>
          <w:kern w:val="2"/>
          <w:sz w:val="21"/>
          <w:szCs w:val="24"/>
          <w:lang w:val="en-US" w:eastAsia="zh-CN" w:bidi="ar-SA"/>
        </w:rPr>
      </w:pPr>
      <w:r>
        <w:rPr>
          <w:rFonts w:hint="eastAsia" w:ascii="华文仿宋" w:hAnsi="华文仿宋" w:eastAsia="华文仿宋"/>
          <w:sz w:val="32"/>
          <w:szCs w:val="32"/>
        </w:rPr>
        <w:t>202</w:t>
      </w:r>
      <w:r>
        <w:rPr>
          <w:rFonts w:hint="eastAsia" w:ascii="华文仿宋" w:hAnsi="华文仿宋" w:eastAsia="华文仿宋"/>
          <w:sz w:val="32"/>
          <w:szCs w:val="32"/>
          <w:lang w:val="en-US" w:eastAsia="zh-CN"/>
        </w:rPr>
        <w:t>1</w:t>
      </w:r>
      <w:r>
        <w:rPr>
          <w:rFonts w:hint="eastAsia" w:ascii="华文仿宋" w:hAnsi="华文仿宋" w:eastAsia="华文仿宋"/>
          <w:sz w:val="32"/>
          <w:szCs w:val="32"/>
        </w:rPr>
        <w:t>年</w:t>
      </w:r>
      <w:r>
        <w:rPr>
          <w:rFonts w:hint="eastAsia" w:ascii="华文仿宋" w:hAnsi="华文仿宋" w:eastAsia="华文仿宋"/>
          <w:sz w:val="32"/>
          <w:szCs w:val="32"/>
          <w:lang w:val="en-US" w:eastAsia="zh-CN"/>
        </w:rPr>
        <w:t>3</w:t>
      </w:r>
      <w:r>
        <w:rPr>
          <w:rFonts w:hint="eastAsia" w:ascii="华文仿宋" w:hAnsi="华文仿宋" w:eastAsia="华文仿宋"/>
          <w:sz w:val="32"/>
          <w:szCs w:val="32"/>
        </w:rPr>
        <w:t>月</w:t>
      </w:r>
      <w:r>
        <w:rPr>
          <w:rFonts w:hint="eastAsia" w:ascii="华文仿宋" w:hAnsi="华文仿宋" w:eastAsia="华文仿宋"/>
          <w:sz w:val="32"/>
          <w:szCs w:val="32"/>
          <w:lang w:val="en-US" w:eastAsia="zh-CN"/>
        </w:rPr>
        <w:t>30日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007376"/>
      <w:docPartObj>
        <w:docPartGallery w:val="autotext"/>
      </w:docPartObj>
    </w:sdtPr>
    <w:sdtContent>
      <w:p>
        <w:pPr>
          <w:pStyle w:val="2"/>
          <w:jc w:val="center"/>
        </w:pPr>
        <w:r>
          <w:fldChar w:fldCharType="begin"/>
        </w:r>
        <w:r>
          <w:instrText xml:space="preserve"> PAGE   \* MERGEFORMAT </w:instrText>
        </w:r>
        <w:r>
          <w:fldChar w:fldCharType="separate"/>
        </w:r>
        <w:r>
          <w:rPr>
            <w:lang w:val="zh-CN"/>
          </w:rPr>
          <w:t>5</w:t>
        </w:r>
        <w:r>
          <w:rPr>
            <w:lang w:val="zh-CN"/>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0N2Y0ODdmMzEyZjRiZDVkODQwYzIzOTg2NThjN2MifQ=="/>
  </w:docVars>
  <w:rsids>
    <w:rsidRoot w:val="00A87953"/>
    <w:rsid w:val="00013CB1"/>
    <w:rsid w:val="000618FB"/>
    <w:rsid w:val="00086F22"/>
    <w:rsid w:val="00092405"/>
    <w:rsid w:val="001074A7"/>
    <w:rsid w:val="00136692"/>
    <w:rsid w:val="00181B2D"/>
    <w:rsid w:val="001F258D"/>
    <w:rsid w:val="00222254"/>
    <w:rsid w:val="00261A27"/>
    <w:rsid w:val="002932C0"/>
    <w:rsid w:val="002A31ED"/>
    <w:rsid w:val="002B60BC"/>
    <w:rsid w:val="003C3B7B"/>
    <w:rsid w:val="003E6156"/>
    <w:rsid w:val="00400CBB"/>
    <w:rsid w:val="00441525"/>
    <w:rsid w:val="004E4E3B"/>
    <w:rsid w:val="005C2F48"/>
    <w:rsid w:val="005F49B8"/>
    <w:rsid w:val="005F6260"/>
    <w:rsid w:val="00647487"/>
    <w:rsid w:val="00680F35"/>
    <w:rsid w:val="00686707"/>
    <w:rsid w:val="00733DBF"/>
    <w:rsid w:val="00741E3D"/>
    <w:rsid w:val="007712DB"/>
    <w:rsid w:val="007934ED"/>
    <w:rsid w:val="00824413"/>
    <w:rsid w:val="00896E54"/>
    <w:rsid w:val="008E4AC1"/>
    <w:rsid w:val="0091012D"/>
    <w:rsid w:val="00910E1E"/>
    <w:rsid w:val="0091476C"/>
    <w:rsid w:val="00960284"/>
    <w:rsid w:val="00973AD1"/>
    <w:rsid w:val="009B486D"/>
    <w:rsid w:val="00A82DFB"/>
    <w:rsid w:val="00A87953"/>
    <w:rsid w:val="00AC3CBF"/>
    <w:rsid w:val="00B55CFF"/>
    <w:rsid w:val="00BC29D4"/>
    <w:rsid w:val="00BD1857"/>
    <w:rsid w:val="00BD47C2"/>
    <w:rsid w:val="00CC0D5B"/>
    <w:rsid w:val="00CE4E04"/>
    <w:rsid w:val="00D103A0"/>
    <w:rsid w:val="00D25810"/>
    <w:rsid w:val="00D30BB1"/>
    <w:rsid w:val="00DE41D4"/>
    <w:rsid w:val="00DE5879"/>
    <w:rsid w:val="00E277E8"/>
    <w:rsid w:val="00EA4E86"/>
    <w:rsid w:val="00FC5A01"/>
    <w:rsid w:val="0DD61977"/>
    <w:rsid w:val="1AC606FB"/>
    <w:rsid w:val="35862710"/>
    <w:rsid w:val="37247C50"/>
    <w:rsid w:val="44933C07"/>
    <w:rsid w:val="4FE246EA"/>
    <w:rsid w:val="53C8633C"/>
    <w:rsid w:val="62DF4ABB"/>
    <w:rsid w:val="70FF513D"/>
    <w:rsid w:val="75200AA6"/>
    <w:rsid w:val="75B667F4"/>
    <w:rsid w:val="7A471069"/>
    <w:rsid w:val="7B8D2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customStyle="1" w:styleId="8">
    <w:name w:val="默认段落字体 Para Char Char Char Char Char Char Char"/>
    <w:basedOn w:val="1"/>
    <w:qFormat/>
    <w:uiPriority w:val="0"/>
  </w:style>
  <w:style w:type="paragraph" w:customStyle="1" w:styleId="9">
    <w:name w:val="Default"/>
    <w:qFormat/>
    <w:uiPriority w:val="0"/>
    <w:pPr>
      <w:widowControl w:val="0"/>
      <w:autoSpaceDE w:val="0"/>
      <w:autoSpaceDN w:val="0"/>
      <w:adjustRightInd w:val="0"/>
    </w:pPr>
    <w:rPr>
      <w:rFonts w:ascii="黑体" w:hAnsi="黑体" w:cs="黑体" w:eastAsiaTheme="minorEastAsia"/>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5</Pages>
  <Words>2569</Words>
  <Characters>2651</Characters>
  <Lines>21</Lines>
  <Paragraphs>6</Paragraphs>
  <TotalTime>565</TotalTime>
  <ScaleCrop>false</ScaleCrop>
  <LinksUpToDate>false</LinksUpToDate>
  <CharactersWithSpaces>2666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2020-05-15T00:28:00Z</dcterms:created>
  <dc:creator>微软用户</dc:creator>
  <cp:lastModifiedBy>Administrator</cp:lastModifiedBy>
  <dcterms:modified xsi:type="dcterms:W3CDTF">2024-05-30T09:36:00Z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699EB395DAB14D5CA81A8909CEECCFE2_13</vt:lpwstr>
  </property>
</Properties>
</file>