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石家庄市民兵训练基地</w:t>
      </w:r>
      <w:r>
        <w:rPr>
          <w:rFonts w:hint="eastAsia" w:ascii="宋体" w:hAnsi="宋体" w:cs="宋体"/>
          <w:b/>
          <w:bCs/>
          <w:sz w:val="44"/>
          <w:szCs w:val="44"/>
        </w:rPr>
        <w:t>部门</w:t>
      </w:r>
    </w:p>
    <w:p>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石家庄市民兵训练基地</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担负民兵分队集中轮训备勤和综合演练、全市专武干部培训、民兵干部骨干和教练员培训、地方应急力量训练、预定新兵役前教育训练、国防教育、警备区首长机关集训考核、地方党政机关和动员对象教育培训以及党政机关、企事业单位、院校红色文化教育等保障任务。</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组织机构</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基地为副县级事业单位，经费形式为财政性资金基本保证经费，内设机构办公室、教育训练科、后勤科。</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3.人员情况</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我单位2023年编制23人。2023年末实有在职人数23人，人员无变化。</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4.资产等基本情况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截止到2023年12月31日止，固定资产原值固定资产原值18.5万元，固定资产净值18.11万元，无形资产原值1.10万元，无形资产净值1.08万元，流动资产0.35万元，负债-3.37万元，2023年末，净资产合计22.92万元。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2023年初财政预算收支648.95万元，决算收支679.70万元，支出占比达104.80%。本年一般预算财政拨款收入648.95万元，其中人员经费334.44万元，占财政拨款收入的51.54%；日常公用经费196.81万元，占财政拨款收入的30.33%；专项经费117.70万元，占财政拨款收入的18.14%。</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2023年度一般预算财政拨款决算支出691.60万元，其中基本支出591.50万元，支出占比的85.53%（人员经费支出394.70万元、日常公用经费支出196.80万元），专项经费支出100.13万元，占总支出的14.50%。</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财政拨款中，人员经费所占比重较大，主要用于发放在职人员和离休人员工资。</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市民兵训练基地主要担负民兵分队集中轮训备勤和综合演练、全市专武干部培训、民兵干部骨干和教练员培训、地方应急力量训练、预定新兵役前教育训练、国防教育、警备区首长机关集训考核、地方党政机关和动员对象教育培训以及党政机关、企事业单位、院校红色文化教育等保障任务。市民兵训练基地始终坚持把加强国防后备力量建设与服务地方经济建设有机融为一体，加持服务练兵备战为首要，高标准做好各项保障任务。</w:t>
      </w:r>
    </w:p>
    <w:p>
      <w:pPr>
        <w:adjustRightInd w:val="0"/>
        <w:snapToGrid w:val="0"/>
        <w:spacing w:line="560" w:lineRule="exact"/>
        <w:ind w:firstLine="640" w:firstLineChars="200"/>
        <w:rPr>
          <w:rFonts w:hint="eastAsia" w:ascii="仿宋" w:hAnsi="仿宋" w:eastAsia="仿宋"/>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eastAsia="zh-CN"/>
        </w:rPr>
        <w:t>按照《石家庄市财政局关于开展</w:t>
      </w:r>
      <w:r>
        <w:rPr>
          <w:rFonts w:hint="eastAsia" w:ascii="仿宋" w:hAnsi="仿宋" w:eastAsia="仿宋"/>
          <w:sz w:val="32"/>
          <w:szCs w:val="32"/>
          <w:lang w:val="en-US" w:eastAsia="zh-CN"/>
        </w:rPr>
        <w:t>2023年度专项资金绩效自评工作的通知</w:t>
      </w:r>
      <w:r>
        <w:rPr>
          <w:rFonts w:hint="eastAsia" w:ascii="仿宋" w:hAnsi="仿宋" w:eastAsia="仿宋"/>
          <w:sz w:val="32"/>
          <w:szCs w:val="32"/>
          <w:lang w:eastAsia="zh-CN"/>
        </w:rPr>
        <w:t>》要求，市基地高度重视绩效自评工作，成立由基地主任任组长、基地副主任任副组长，办公室、教</w:t>
      </w:r>
      <w:r>
        <w:rPr>
          <w:rFonts w:hint="eastAsia" w:ascii="仿宋" w:hAnsi="仿宋" w:eastAsia="仿宋"/>
          <w:sz w:val="32"/>
          <w:szCs w:val="32"/>
          <w:lang w:val="en-US" w:eastAsia="zh-CN"/>
        </w:rPr>
        <w:t>育</w:t>
      </w:r>
      <w:r>
        <w:rPr>
          <w:rFonts w:hint="eastAsia" w:ascii="仿宋" w:hAnsi="仿宋" w:eastAsia="仿宋"/>
          <w:sz w:val="32"/>
          <w:szCs w:val="32"/>
          <w:lang w:eastAsia="zh-CN"/>
        </w:rPr>
        <w:t>训练科、后勤科</w:t>
      </w:r>
      <w:r>
        <w:rPr>
          <w:rFonts w:hint="eastAsia" w:ascii="仿宋" w:hAnsi="仿宋" w:eastAsia="仿宋"/>
          <w:sz w:val="32"/>
          <w:szCs w:val="32"/>
          <w:lang w:val="en-US" w:eastAsia="zh-CN"/>
        </w:rPr>
        <w:t>及财务</w:t>
      </w:r>
      <w:r>
        <w:rPr>
          <w:rFonts w:hint="eastAsia" w:ascii="仿宋" w:hAnsi="仿宋" w:eastAsia="仿宋"/>
          <w:sz w:val="32"/>
          <w:szCs w:val="32"/>
          <w:lang w:eastAsia="zh-CN"/>
        </w:rPr>
        <w:t>负责人为成员的工作小组，学习领会通知精神，明确分工、落实责任，认真对</w:t>
      </w:r>
      <w:r>
        <w:rPr>
          <w:rFonts w:hint="eastAsia" w:ascii="仿宋" w:hAnsi="仿宋" w:eastAsia="仿宋"/>
          <w:sz w:val="32"/>
          <w:szCs w:val="32"/>
          <w:lang w:val="en-US" w:eastAsia="zh-CN"/>
        </w:rPr>
        <w:t>2023</w:t>
      </w:r>
      <w:r>
        <w:rPr>
          <w:rFonts w:hint="eastAsia" w:ascii="仿宋" w:hAnsi="仿宋" w:eastAsia="仿宋"/>
          <w:sz w:val="32"/>
          <w:szCs w:val="32"/>
          <w:lang w:eastAsia="zh-CN"/>
        </w:rPr>
        <w:t>年各专项资金使用效益和管理情况开展绩效自评工作。根据</w:t>
      </w:r>
      <w:r>
        <w:rPr>
          <w:rFonts w:hint="eastAsia" w:ascii="仿宋" w:hAnsi="仿宋" w:eastAsia="仿宋"/>
          <w:sz w:val="32"/>
          <w:szCs w:val="32"/>
          <w:lang w:val="en-US" w:eastAsia="zh-CN"/>
        </w:rPr>
        <w:t>2</w:t>
      </w:r>
      <w:bookmarkStart w:id="0" w:name="_GoBack"/>
      <w:bookmarkEnd w:id="0"/>
      <w:r>
        <w:rPr>
          <w:rFonts w:hint="eastAsia" w:ascii="仿宋" w:hAnsi="仿宋" w:eastAsia="仿宋"/>
          <w:sz w:val="32"/>
          <w:szCs w:val="32"/>
          <w:lang w:val="en-US" w:eastAsia="zh-CN"/>
        </w:rPr>
        <w:t>023年初设定的绩效目标情况和年度各绩效指标完成情况进行了核实分析，按照通知规定填报《市级部门预算项目绩效自评表》，并形成了绩效自评工作报告。</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1.落实主体责任。按照资金“谁分配、谁使用、谁负责”原则，资金使用科室的认真准备，收集资料，在规定时间内提供相关信息。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2.检查资金项目。收集整理基本支出和专项经费支出相关资料。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3.综合分析评价。由后勤科副科长牵头，各资金使用科室以年初预算确定的项目绩效目标和绩效指标为依据，逐项进行对比分析。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4.综合评价结论。综合各资金科室上交和收集的资料，根据绩效自评指标较好地完成了绩效目标，得出自评结果。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人员经费和公用经费的支持保障了部门的运转和工作的需要，满足了日常办公需求，为部门正常开展工作提供了有力保障；项目经费的有效执行有力支持了市民兵训练基地行使部门职能，发挥部门作用。专项经费的有效执行，市民兵训练基地各项工作任务顺利开展，圆满完成了年初制定的任务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eastAsia="zh-CN"/>
        </w:rPr>
        <w:t>通过对</w:t>
      </w:r>
      <w:r>
        <w:rPr>
          <w:rFonts w:hint="eastAsia" w:ascii="仿宋" w:hAnsi="仿宋" w:eastAsia="仿宋"/>
          <w:sz w:val="32"/>
          <w:szCs w:val="32"/>
          <w:lang w:val="en-US" w:eastAsia="zh-CN"/>
        </w:rPr>
        <w:t>2023年度专项项目进行绩效自评，市民兵训练基地项目完成较好，产出指标和效果指标完成率较好，但存在部分指标设置不合理，不科学的问题。特别是2.3.6号楼防水项目经费，调剂用于结算配电室升级改造项目尾款，依评审结果支付，评审中心审定金额小于已经支付的工程款，故造成资金未使用，交回财政。反映出绩效目标设定缺乏综合考虑，预算支出不及时等问题，下一步市基地将进一步优化，全面加强资金监管，加快结转资金支出进度，确保及时支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根据本部门</w:t>
      </w:r>
      <w:r>
        <w:rPr>
          <w:rFonts w:hint="eastAsia" w:ascii="仿宋" w:hAnsi="仿宋" w:eastAsia="仿宋"/>
          <w:sz w:val="32"/>
          <w:szCs w:val="32"/>
          <w:lang w:val="en-US" w:eastAsia="zh-CN"/>
        </w:rPr>
        <w:t>2023年专项经费执行情况和项目绩效情况，自评得分80分，自我评价为良好。</w:t>
      </w:r>
    </w:p>
    <w:tbl>
      <w:tblPr>
        <w:tblStyle w:val="8"/>
        <w:tblW w:w="885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51"/>
        <w:gridCol w:w="1125"/>
        <w:gridCol w:w="15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Style w:val="12"/>
                <w:rFonts w:hint="eastAsia" w:asciiTheme="minorEastAsia" w:hAnsiTheme="minorEastAsia" w:eastAsiaTheme="minorEastAsia" w:cstheme="minorEastAsia"/>
                <w:sz w:val="28"/>
                <w:szCs w:val="28"/>
                <w:lang w:val="en-US" w:eastAsia="zh-CN" w:bidi="ar"/>
              </w:rPr>
              <w:t>项目名称</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Style w:val="12"/>
                <w:rFonts w:hint="eastAsia" w:asciiTheme="minorEastAsia" w:hAnsiTheme="minorEastAsia" w:eastAsiaTheme="minorEastAsia" w:cstheme="minorEastAsia"/>
                <w:sz w:val="28"/>
                <w:szCs w:val="28"/>
                <w:lang w:val="en-US" w:eastAsia="zh-CN" w:bidi="ar"/>
              </w:rPr>
              <w:t>得分</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Style w:val="12"/>
                <w:rFonts w:hint="eastAsia" w:asciiTheme="minorEastAsia" w:hAnsiTheme="minorEastAsia" w:eastAsiaTheme="minorEastAsia" w:cstheme="minorEastAsia"/>
                <w:sz w:val="28"/>
                <w:szCs w:val="28"/>
                <w:lang w:val="en-US" w:eastAsia="zh-CN" w:bidi="ar"/>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heme="minorEastAsia" w:hAnsiTheme="minorEastAsia" w:eastAsiaTheme="minorEastAsia" w:cstheme="minorEastAsia"/>
                <w:i w:val="0"/>
                <w:iCs w:val="0"/>
                <w:color w:val="000000"/>
                <w:sz w:val="28"/>
                <w:szCs w:val="28"/>
                <w:u w:val="none"/>
                <w:lang w:val="en-US"/>
              </w:rPr>
            </w:pPr>
            <w:r>
              <w:rPr>
                <w:rFonts w:hint="eastAsia" w:asciiTheme="minorEastAsia" w:hAnsiTheme="minorEastAsia" w:eastAsiaTheme="minorEastAsia" w:cstheme="minorEastAsia"/>
                <w:i w:val="0"/>
                <w:iCs w:val="0"/>
                <w:color w:val="000000"/>
                <w:kern w:val="0"/>
                <w:sz w:val="28"/>
                <w:szCs w:val="28"/>
                <w:u w:val="none"/>
                <w:lang w:val="en-US" w:eastAsia="zh-CN" w:bidi="ar"/>
              </w:rPr>
              <w:t>院内2.3.6.号楼顶防水维修项目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Theme="minorEastAsia" w:hAnsiTheme="minorEastAsia" w:eastAsiaTheme="minorEastAsia" w:cstheme="minorEastAsia"/>
                <w:i w:val="0"/>
                <w:iCs w:val="0"/>
                <w:color w:val="000000"/>
                <w:sz w:val="28"/>
                <w:szCs w:val="28"/>
                <w:u w:val="none"/>
              </w:rPr>
            </w:pPr>
            <w:r>
              <w:rPr>
                <w:rFonts w:hint="eastAsia" w:asciiTheme="minorEastAsia" w:hAnsiTheme="minorEastAsia" w:eastAsiaTheme="minorEastAsia" w:cstheme="minorEastAsia"/>
                <w:i w:val="0"/>
                <w:iCs w:val="0"/>
                <w:color w:val="000000"/>
                <w:kern w:val="0"/>
                <w:sz w:val="28"/>
                <w:szCs w:val="28"/>
                <w:u w:val="none"/>
                <w:lang w:val="en-US" w:eastAsia="zh-CN" w:bidi="ar"/>
              </w:rPr>
              <w:t>60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8"/>
                <w:szCs w:val="28"/>
                <w:u w:val="none"/>
              </w:rPr>
            </w:pPr>
            <w:r>
              <w:rPr>
                <w:rStyle w:val="13"/>
                <w:rFonts w:hint="eastAsia" w:asciiTheme="minorEastAsia" w:hAnsiTheme="minorEastAsia" w:eastAsiaTheme="minorEastAsia" w:cstheme="minorEastAsia"/>
                <w:sz w:val="28"/>
                <w:szCs w:val="28"/>
                <w:lang w:val="en-US" w:eastAsia="zh-CN" w:bidi="ar"/>
              </w:rPr>
              <w:t>一般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办公设备购置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89</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3"/>
                <w:rFonts w:hint="default" w:asciiTheme="minorEastAsia" w:hAnsiTheme="minorEastAsia" w:eastAsiaTheme="minorEastAsia" w:cstheme="minorEastAsia"/>
                <w:sz w:val="28"/>
                <w:szCs w:val="28"/>
                <w:lang w:val="en-US" w:eastAsia="zh-CN" w:bidi="ar"/>
              </w:rPr>
            </w:pPr>
            <w:r>
              <w:rPr>
                <w:rStyle w:val="13"/>
                <w:rFonts w:hint="eastAsia" w:asciiTheme="minorEastAsia" w:hAnsiTheme="minorEastAsia" w:eastAsiaTheme="minorEastAsia" w:cstheme="minorEastAsia"/>
                <w:sz w:val="28"/>
                <w:szCs w:val="28"/>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院内供水管网改造项目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89</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3"/>
                <w:rFonts w:hint="default" w:asciiTheme="minorEastAsia" w:hAnsiTheme="minorEastAsia" w:eastAsiaTheme="minorEastAsia" w:cstheme="minorEastAsia"/>
                <w:sz w:val="28"/>
                <w:szCs w:val="28"/>
                <w:lang w:val="en-US" w:eastAsia="zh-CN" w:bidi="ar"/>
              </w:rPr>
            </w:pPr>
            <w:r>
              <w:rPr>
                <w:rStyle w:val="13"/>
                <w:rFonts w:hint="eastAsia" w:asciiTheme="minorEastAsia" w:hAnsiTheme="minorEastAsia" w:eastAsiaTheme="minorEastAsia" w:cstheme="minorEastAsia"/>
                <w:sz w:val="28"/>
                <w:szCs w:val="28"/>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保障民兵生活设施维（护）修费</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95</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3"/>
                <w:rFonts w:hint="default" w:asciiTheme="minorEastAsia" w:hAnsiTheme="minorEastAsia" w:eastAsiaTheme="minorEastAsia" w:cstheme="minorEastAsia"/>
                <w:sz w:val="28"/>
                <w:szCs w:val="28"/>
                <w:lang w:val="en-US" w:eastAsia="zh-CN" w:bidi="ar"/>
              </w:rPr>
            </w:pPr>
            <w:r>
              <w:rPr>
                <w:rStyle w:val="13"/>
                <w:rFonts w:hint="eastAsia" w:asciiTheme="minorEastAsia" w:hAnsiTheme="minorEastAsia" w:eastAsiaTheme="minorEastAsia" w:cstheme="minorEastAsia"/>
                <w:sz w:val="28"/>
                <w:szCs w:val="28"/>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综合保障劳务费</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Theme="minorEastAsia" w:hAnsiTheme="minorEastAsia" w:eastAsiaTheme="minorEastAsia" w:cstheme="minorEastAsia"/>
                <w:i w:val="0"/>
                <w:iCs w:val="0"/>
                <w:color w:val="000000"/>
                <w:kern w:val="0"/>
                <w:sz w:val="28"/>
                <w:szCs w:val="28"/>
                <w:u w:val="none"/>
                <w:lang w:val="en-US" w:eastAsia="zh-CN" w:bidi="ar"/>
              </w:rPr>
            </w:pPr>
            <w:r>
              <w:rPr>
                <w:rFonts w:hint="eastAsia" w:asciiTheme="minorEastAsia" w:hAnsiTheme="minorEastAsia" w:eastAsiaTheme="minorEastAsia" w:cstheme="minorEastAsia"/>
                <w:i w:val="0"/>
                <w:iCs w:val="0"/>
                <w:color w:val="000000"/>
                <w:kern w:val="0"/>
                <w:sz w:val="28"/>
                <w:szCs w:val="28"/>
                <w:u w:val="none"/>
                <w:lang w:val="en-US" w:eastAsia="zh-CN" w:bidi="ar"/>
              </w:rPr>
              <w:t>81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3"/>
                <w:rFonts w:hint="default" w:asciiTheme="minorEastAsia" w:hAnsiTheme="minorEastAsia" w:eastAsiaTheme="minorEastAsia" w:cstheme="minorEastAsia"/>
                <w:sz w:val="28"/>
                <w:szCs w:val="28"/>
                <w:lang w:val="en-US" w:eastAsia="zh-CN" w:bidi="ar"/>
              </w:rPr>
            </w:pPr>
            <w:r>
              <w:rPr>
                <w:rStyle w:val="13"/>
                <w:rFonts w:hint="eastAsia" w:asciiTheme="minorEastAsia" w:hAnsiTheme="minorEastAsia" w:eastAsiaTheme="minorEastAsia" w:cstheme="minorEastAsia"/>
                <w:sz w:val="28"/>
                <w:szCs w:val="28"/>
                <w:lang w:val="en-US" w:eastAsia="zh-CN" w:bidi="ar"/>
              </w:rPr>
              <w:t>良好</w:t>
            </w:r>
          </w:p>
        </w:tc>
      </w:tr>
    </w:tbl>
    <w:p>
      <w:pPr>
        <w:spacing w:line="560" w:lineRule="exact"/>
        <w:ind w:firstLine="640" w:firstLineChars="200"/>
        <w:rPr>
          <w:rFonts w:hint="default" w:ascii="仿宋" w:hAnsi="仿宋" w:eastAsia="仿宋"/>
          <w:sz w:val="32"/>
          <w:szCs w:val="32"/>
          <w:lang w:val="en-US" w:eastAsia="zh-CN"/>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1.预算管理不够精细。由于上级临时安排临时项目难以估算，在项目预算编制上前期准备工作不充分，缺乏严密的分析论证，造成编制不够科学合理，对全年的绩效管理有一定的影响。</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2.人才队伍建设不足。由于预算绩效管理具有专业性和复杂性，所以说绩效管理是一项专业性很强的工作，基地绩效管理人员缺乏对绩效管理经验和实践经历，对绩效管理的重要意义不能深刻领会。</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今后，市基地将进一步加强预算资金管理使用，对资金的事先、事中、事后进行全过程控制，加大对预算编制与执行的监督管理力度，提高预算资金使用效率。同时，将根据基地年度工作安排，合理制定工作计划，理清工作相互关系，做好统筹兼顾，加强预先研判分析，确保各项工作有序推进，实现财政资源配置的公平性和合理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sz w:val="32"/>
          <w:szCs w:val="32"/>
          <w:lang w:val="en-US" w:eastAsia="zh-CN"/>
        </w:rPr>
      </w:pPr>
      <w:r>
        <w:rPr>
          <w:rFonts w:hint="default" w:ascii="仿宋" w:hAnsi="仿宋" w:eastAsia="仿宋" w:cs="黑体"/>
          <w:kern w:val="2"/>
          <w:sz w:val="32"/>
          <w:szCs w:val="32"/>
          <w:lang w:val="en-US" w:eastAsia="zh-CN" w:bidi="ar-SA"/>
        </w:rPr>
        <w:t>1.</w:t>
      </w:r>
      <w:r>
        <w:rPr>
          <w:rFonts w:hint="eastAsia" w:ascii="仿宋" w:hAnsi="仿宋" w:eastAsia="仿宋"/>
          <w:sz w:val="32"/>
          <w:szCs w:val="32"/>
          <w:lang w:val="en-US" w:eastAsia="zh-CN"/>
        </w:rPr>
        <w:t>充分加强与上级财政局沟通协调，力争科学安排项目预算的编制，确保预算资金的及时下达积极加强绩效管理。并在预算管理过程中，加强各科室的协调联动，</w:t>
      </w:r>
      <w:r>
        <w:rPr>
          <w:rFonts w:hint="default" w:ascii="仿宋" w:hAnsi="仿宋" w:eastAsia="仿宋"/>
          <w:sz w:val="32"/>
          <w:szCs w:val="32"/>
          <w:lang w:val="en-US" w:eastAsia="zh-CN"/>
        </w:rPr>
        <w:t>严格预算执行，不断提升</w:t>
      </w:r>
      <w:r>
        <w:rPr>
          <w:rFonts w:hint="eastAsia" w:ascii="仿宋" w:hAnsi="仿宋" w:eastAsia="仿宋"/>
          <w:sz w:val="32"/>
          <w:szCs w:val="32"/>
          <w:lang w:val="en-US" w:eastAsia="zh-CN"/>
        </w:rPr>
        <w:t>基地</w:t>
      </w:r>
      <w:r>
        <w:rPr>
          <w:rFonts w:hint="default" w:ascii="仿宋" w:hAnsi="仿宋" w:eastAsia="仿宋"/>
          <w:sz w:val="32"/>
          <w:szCs w:val="32"/>
          <w:lang w:val="en-US" w:eastAsia="zh-CN"/>
        </w:rPr>
        <w:t>财政管理法制化、规范化、科学化、精细化水平。</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2.加大对专业人员对预算管理方面的业务培训的培养力度，不断提高专业素质和绩效管理业务水平，才外，加强对全体人员的教育，使其了解和掌握预算绩效管理的基本知识，推动绩效管理工作的有效开展。</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4"/>
        <w:gridCol w:w="3636"/>
        <w:gridCol w:w="2520"/>
        <w:gridCol w:w="13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姓名</w:t>
            </w:r>
          </w:p>
        </w:tc>
        <w:tc>
          <w:tcPr>
            <w:tcW w:w="3636"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工作部门</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职务</w:t>
            </w:r>
          </w:p>
        </w:tc>
        <w:tc>
          <w:tcPr>
            <w:tcW w:w="1371"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沈金伟</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主任</w:t>
            </w:r>
          </w:p>
        </w:tc>
        <w:tc>
          <w:tcPr>
            <w:tcW w:w="1371" w:type="dxa"/>
            <w:vAlign w:val="center"/>
          </w:tcPr>
          <w:p>
            <w:pPr>
              <w:spacing w:line="560" w:lineRule="exact"/>
              <w:jc w:val="center"/>
              <w:rPr>
                <w:rFonts w:ascii="仿宋" w:hAnsi="仿宋" w:eastAsia="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乔立</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副主任</w:t>
            </w:r>
          </w:p>
        </w:tc>
        <w:tc>
          <w:tcPr>
            <w:tcW w:w="1371" w:type="dxa"/>
            <w:vAlign w:val="center"/>
          </w:tcPr>
          <w:p>
            <w:pPr>
              <w:spacing w:line="560" w:lineRule="exact"/>
              <w:jc w:val="center"/>
              <w:rPr>
                <w:rFonts w:ascii="仿宋" w:hAnsi="仿宋" w:eastAsia="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武潇</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办公室主任</w:t>
            </w:r>
          </w:p>
        </w:tc>
        <w:tc>
          <w:tcPr>
            <w:tcW w:w="1371" w:type="dxa"/>
            <w:vAlign w:val="center"/>
          </w:tcPr>
          <w:p>
            <w:pPr>
              <w:spacing w:line="560" w:lineRule="exact"/>
              <w:jc w:val="center"/>
              <w:rPr>
                <w:rFonts w:ascii="仿宋" w:hAnsi="仿宋" w:eastAsia="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杜岩</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训练科科长</w:t>
            </w:r>
          </w:p>
        </w:tc>
        <w:tc>
          <w:tcPr>
            <w:tcW w:w="1371" w:type="dxa"/>
            <w:vAlign w:val="center"/>
          </w:tcPr>
          <w:p>
            <w:pPr>
              <w:spacing w:line="560" w:lineRule="exact"/>
              <w:jc w:val="center"/>
              <w:rPr>
                <w:rFonts w:ascii="仿宋" w:hAnsi="仿宋" w:eastAsia="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王登科</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后勤科科长</w:t>
            </w:r>
          </w:p>
        </w:tc>
        <w:tc>
          <w:tcPr>
            <w:tcW w:w="1371" w:type="dxa"/>
            <w:vAlign w:val="center"/>
          </w:tcPr>
          <w:p>
            <w:pPr>
              <w:spacing w:line="560" w:lineRule="exact"/>
              <w:jc w:val="center"/>
              <w:rPr>
                <w:rFonts w:ascii="仿宋" w:hAnsi="仿宋" w:eastAsia="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4"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刘忠良</w:t>
            </w:r>
          </w:p>
        </w:tc>
        <w:tc>
          <w:tcPr>
            <w:tcW w:w="3636" w:type="dxa"/>
            <w:vAlign w:val="center"/>
          </w:tcPr>
          <w:p>
            <w:pPr>
              <w:spacing w:line="560" w:lineRule="exact"/>
              <w:jc w:val="both"/>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石家庄市民兵训练基地</w:t>
            </w:r>
          </w:p>
        </w:tc>
        <w:tc>
          <w:tcPr>
            <w:tcW w:w="2520" w:type="dxa"/>
            <w:vAlign w:val="center"/>
          </w:tcPr>
          <w:p>
            <w:pPr>
              <w:spacing w:line="560" w:lineRule="exact"/>
              <w:jc w:val="center"/>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后勤科副科长</w:t>
            </w:r>
          </w:p>
        </w:tc>
        <w:tc>
          <w:tcPr>
            <w:tcW w:w="1371" w:type="dxa"/>
            <w:vAlign w:val="center"/>
          </w:tcPr>
          <w:p>
            <w:pPr>
              <w:spacing w:line="560" w:lineRule="exact"/>
              <w:jc w:val="center"/>
              <w:rPr>
                <w:rFonts w:ascii="仿宋" w:hAnsi="仿宋" w:eastAsia="仿宋"/>
                <w:sz w:val="32"/>
                <w:szCs w:val="32"/>
                <w:vertAlign w:val="baseline"/>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A5D11C"/>
    <w:multiLevelType w:val="singleLevel"/>
    <w:tmpl w:val="CBA5D11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U5NjZjYzI1N2ZiNjU5M2YxYzQ5OTcwMTU4ODYyM2IifQ=="/>
  </w:docVars>
  <w:rsids>
    <w:rsidRoot w:val="0EBD2122"/>
    <w:rsid w:val="000B0260"/>
    <w:rsid w:val="00225378"/>
    <w:rsid w:val="002B58CD"/>
    <w:rsid w:val="007E6C1F"/>
    <w:rsid w:val="00956A93"/>
    <w:rsid w:val="009E575C"/>
    <w:rsid w:val="00AF167E"/>
    <w:rsid w:val="00AF566A"/>
    <w:rsid w:val="00B478EA"/>
    <w:rsid w:val="00B6553A"/>
    <w:rsid w:val="00BC6576"/>
    <w:rsid w:val="00CE06BA"/>
    <w:rsid w:val="00F441CC"/>
    <w:rsid w:val="01962088"/>
    <w:rsid w:val="01B104CA"/>
    <w:rsid w:val="01E07299"/>
    <w:rsid w:val="02106AB0"/>
    <w:rsid w:val="02B43A28"/>
    <w:rsid w:val="031F3187"/>
    <w:rsid w:val="046F331E"/>
    <w:rsid w:val="06896151"/>
    <w:rsid w:val="07956271"/>
    <w:rsid w:val="081C7F00"/>
    <w:rsid w:val="08986B20"/>
    <w:rsid w:val="09721397"/>
    <w:rsid w:val="0BB63BED"/>
    <w:rsid w:val="0EB97A43"/>
    <w:rsid w:val="0EBD2122"/>
    <w:rsid w:val="0F214EAE"/>
    <w:rsid w:val="10433815"/>
    <w:rsid w:val="10A73DA4"/>
    <w:rsid w:val="11B71E6A"/>
    <w:rsid w:val="120627E3"/>
    <w:rsid w:val="13986708"/>
    <w:rsid w:val="139A3B1D"/>
    <w:rsid w:val="13BD7D54"/>
    <w:rsid w:val="147C7936"/>
    <w:rsid w:val="19D159ED"/>
    <w:rsid w:val="19D34F08"/>
    <w:rsid w:val="1A7D5B75"/>
    <w:rsid w:val="1A9C1ED2"/>
    <w:rsid w:val="1AAF0063"/>
    <w:rsid w:val="1AD36A86"/>
    <w:rsid w:val="1B8B4E5E"/>
    <w:rsid w:val="1BDA1FAF"/>
    <w:rsid w:val="1BE140DE"/>
    <w:rsid w:val="1C6166A3"/>
    <w:rsid w:val="1D181F30"/>
    <w:rsid w:val="20280331"/>
    <w:rsid w:val="243F50B7"/>
    <w:rsid w:val="248C197D"/>
    <w:rsid w:val="252959AF"/>
    <w:rsid w:val="25583FC6"/>
    <w:rsid w:val="277A6671"/>
    <w:rsid w:val="286B1703"/>
    <w:rsid w:val="28EE26FE"/>
    <w:rsid w:val="292D35B7"/>
    <w:rsid w:val="2ABA7600"/>
    <w:rsid w:val="2B0A0D5F"/>
    <w:rsid w:val="32A970B0"/>
    <w:rsid w:val="32C70927"/>
    <w:rsid w:val="33C84CA1"/>
    <w:rsid w:val="33EB6CFF"/>
    <w:rsid w:val="3408489C"/>
    <w:rsid w:val="35A12947"/>
    <w:rsid w:val="36552449"/>
    <w:rsid w:val="37387040"/>
    <w:rsid w:val="37EE5BA4"/>
    <w:rsid w:val="385B7258"/>
    <w:rsid w:val="38606463"/>
    <w:rsid w:val="38C64B83"/>
    <w:rsid w:val="3A360F7D"/>
    <w:rsid w:val="3A4B6C9E"/>
    <w:rsid w:val="3B625C0A"/>
    <w:rsid w:val="3CEE1963"/>
    <w:rsid w:val="3DF82424"/>
    <w:rsid w:val="3F9363A9"/>
    <w:rsid w:val="3FC009FD"/>
    <w:rsid w:val="42127E13"/>
    <w:rsid w:val="436631D8"/>
    <w:rsid w:val="436B78D3"/>
    <w:rsid w:val="43D973AE"/>
    <w:rsid w:val="457F14BD"/>
    <w:rsid w:val="49106FAA"/>
    <w:rsid w:val="4A7819DE"/>
    <w:rsid w:val="4A7C3D6C"/>
    <w:rsid w:val="4B5D02E6"/>
    <w:rsid w:val="4C476586"/>
    <w:rsid w:val="4C9C27FE"/>
    <w:rsid w:val="4CB608EF"/>
    <w:rsid w:val="4D3F2693"/>
    <w:rsid w:val="4F366FFC"/>
    <w:rsid w:val="4FDB49B8"/>
    <w:rsid w:val="512260B4"/>
    <w:rsid w:val="52BD6ACB"/>
    <w:rsid w:val="55537534"/>
    <w:rsid w:val="561A74F1"/>
    <w:rsid w:val="56AF0889"/>
    <w:rsid w:val="56BA4AD2"/>
    <w:rsid w:val="597244E8"/>
    <w:rsid w:val="59EA0BBF"/>
    <w:rsid w:val="5C5B500F"/>
    <w:rsid w:val="5C726ABA"/>
    <w:rsid w:val="5D1865AF"/>
    <w:rsid w:val="5D5E4DB7"/>
    <w:rsid w:val="5E741553"/>
    <w:rsid w:val="5E8171A1"/>
    <w:rsid w:val="5EB71C30"/>
    <w:rsid w:val="60C90799"/>
    <w:rsid w:val="654B1902"/>
    <w:rsid w:val="66AF0CE5"/>
    <w:rsid w:val="6865594D"/>
    <w:rsid w:val="69132EFA"/>
    <w:rsid w:val="6AC537CF"/>
    <w:rsid w:val="6B935512"/>
    <w:rsid w:val="6BFA7BFC"/>
    <w:rsid w:val="6D3A0125"/>
    <w:rsid w:val="6DA82C44"/>
    <w:rsid w:val="6E5B14A6"/>
    <w:rsid w:val="6ED76777"/>
    <w:rsid w:val="6FAC7C04"/>
    <w:rsid w:val="6FC83FF8"/>
    <w:rsid w:val="711B255E"/>
    <w:rsid w:val="72096957"/>
    <w:rsid w:val="736519E7"/>
    <w:rsid w:val="7443665D"/>
    <w:rsid w:val="75976B92"/>
    <w:rsid w:val="75C75F9E"/>
    <w:rsid w:val="77427CDA"/>
    <w:rsid w:val="77964B54"/>
    <w:rsid w:val="79AA3E97"/>
    <w:rsid w:val="79E32474"/>
    <w:rsid w:val="7A78448A"/>
    <w:rsid w:val="7BB51E06"/>
    <w:rsid w:val="7C387F7C"/>
    <w:rsid w:val="7CCC6963"/>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style>
  <w:style w:type="paragraph" w:styleId="4">
    <w:name w:val="annotation text"/>
    <w:basedOn w:val="1"/>
    <w:autoRedefine/>
    <w:qFormat/>
    <w:uiPriority w:val="0"/>
    <w:pPr>
      <w:jc w:val="left"/>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9">
    <w:name w:val="Table Grid"/>
    <w:basedOn w:val="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autoRedefine/>
    <w:qFormat/>
    <w:uiPriority w:val="0"/>
    <w:rPr>
      <w:b/>
    </w:rPr>
  </w:style>
  <w:style w:type="character" w:customStyle="1" w:styleId="12">
    <w:name w:val="font11"/>
    <w:basedOn w:val="10"/>
    <w:autoRedefine/>
    <w:qFormat/>
    <w:uiPriority w:val="0"/>
    <w:rPr>
      <w:rFonts w:hint="eastAsia" w:ascii="宋体" w:hAnsi="宋体" w:eastAsia="宋体" w:cs="宋体"/>
      <w:color w:val="000000"/>
      <w:sz w:val="24"/>
      <w:szCs w:val="24"/>
      <w:u w:val="none"/>
    </w:rPr>
  </w:style>
  <w:style w:type="character" w:customStyle="1" w:styleId="13">
    <w:name w:val="font31"/>
    <w:basedOn w:val="10"/>
    <w:autoRedefine/>
    <w:qFormat/>
    <w:uiPriority w:val="0"/>
    <w:rPr>
      <w:rFonts w:ascii="仿宋" w:hAnsi="仿宋" w:eastAsia="仿宋" w:cs="仿宋"/>
      <w:color w:val="00000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100</Words>
  <Characters>570</Characters>
  <Lines>4</Lines>
  <Paragraphs>1</Paragraphs>
  <TotalTime>8</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2024-04-20T03:14:44Z</cp:lastPrinted>
  <dcterms:modified xsi:type="dcterms:W3CDTF">2024-04-20T03:15:39Z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96934721B1514D3FBAA28020338CE855_12</vt:lpwstr>
  </property>
</Properties>
</file>