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spacing w:line="540" w:lineRule="exact"/>
        <w:jc w:val="center"/>
        <w:textAlignment w:val="auto"/>
        <w:rPr>
          <w:rFonts w:hint="eastAsia" w:ascii="宋体" w:hAnsi="宋体" w:cs="宋体"/>
          <w:b/>
          <w:bCs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spacing w:line="540" w:lineRule="exact"/>
        <w:jc w:val="center"/>
        <w:textAlignment w:val="auto"/>
        <w:rPr>
          <w:rFonts w:hint="eastAsia" w:ascii="宋体" w:hAnsi="宋体" w:cs="宋体"/>
          <w:b/>
          <w:bCs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spacing w:line="540" w:lineRule="exact"/>
        <w:jc w:val="center"/>
        <w:textAlignment w:val="auto"/>
        <w:rPr>
          <w:rFonts w:hint="eastAsia" w:ascii="宋体" w:hAnsi="宋体" w:cs="宋体"/>
          <w:b/>
          <w:bCs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spacing w:line="540" w:lineRule="exact"/>
        <w:jc w:val="center"/>
        <w:textAlignment w:val="auto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  <w:lang w:eastAsia="zh-CN"/>
        </w:rPr>
        <w:t>石家庄市供销合作总社</w:t>
      </w:r>
      <w:r>
        <w:rPr>
          <w:rFonts w:hint="eastAsia" w:ascii="宋体" w:hAnsi="宋体" w:cs="宋体"/>
          <w:b/>
          <w:bCs/>
          <w:sz w:val="44"/>
          <w:szCs w:val="44"/>
        </w:rPr>
        <w:t>部门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jc w:val="center"/>
        <w:textAlignment w:val="auto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3</w:t>
      </w:r>
      <w:r>
        <w:rPr>
          <w:rFonts w:hint="eastAsia" w:ascii="宋体" w:hAnsi="宋体" w:cs="宋体"/>
          <w:b/>
          <w:bCs/>
          <w:sz w:val="44"/>
          <w:szCs w:val="44"/>
        </w:rPr>
        <w:t>年度整体支出绩效自评报告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jc w:val="center"/>
        <w:textAlignment w:val="auto"/>
        <w:rPr>
          <w:rFonts w:ascii="华文楷体" w:eastAsia="华文楷体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贯彻落实市委市政府《关于全面落实预算绩效管理的实施意见》（石发﹝2019﹞8号）文件精神，遵循“科学性、规范性、客观性和公正性”的原则，对</w:t>
      </w:r>
      <w:r>
        <w:rPr>
          <w:rFonts w:hint="eastAsia" w:ascii="仿宋" w:hAnsi="仿宋" w:eastAsia="仿宋"/>
          <w:sz w:val="32"/>
          <w:szCs w:val="32"/>
          <w:lang w:eastAsia="zh-CN"/>
        </w:rPr>
        <w:t>石家庄市供销合作总社</w:t>
      </w:r>
      <w:r>
        <w:rPr>
          <w:rFonts w:hint="eastAsia" w:ascii="仿宋" w:hAnsi="仿宋" w:eastAsia="仿宋"/>
          <w:sz w:val="32"/>
          <w:szCs w:val="32"/>
        </w:rPr>
        <w:t>部门202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/>
          <w:sz w:val="32"/>
          <w:szCs w:val="32"/>
        </w:rPr>
        <w:t>年整体支出情况实施了财政支出绩效自评价，形成本评价报告。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（一）部门概况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32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市</w:t>
      </w:r>
      <w:r>
        <w:rPr>
          <w:rFonts w:hint="eastAsia" w:ascii="仿宋_GB2312" w:hAnsi="仿宋_GB2312" w:eastAsia="仿宋_GB2312" w:cs="仿宋_GB2312"/>
          <w:sz w:val="32"/>
          <w:szCs w:val="32"/>
        </w:rPr>
        <w:t>供销社是市政府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管理</w:t>
      </w:r>
      <w:r>
        <w:rPr>
          <w:rFonts w:hint="eastAsia" w:ascii="仿宋_GB2312" w:hAnsi="仿宋_GB2312" w:eastAsia="仿宋_GB2312" w:cs="仿宋_GB2312"/>
          <w:sz w:val="32"/>
          <w:szCs w:val="32"/>
        </w:rPr>
        <w:t>的事业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2"/>
          <w:szCs w:val="32"/>
        </w:rPr>
        <w:t>，行使市政府授权的行政职能。是全市供销合作社的联合组织，是农村合作经济组织的组织者、参与者和服务者，对成员社负有组织、指导、协调、服务和监督的职责。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32" w:firstLineChars="200"/>
        <w:textAlignment w:val="auto"/>
        <w:rPr>
          <w:rFonts w:hint="eastAsia" w:ascii="仿宋_GB2312" w:hAnsi="仿宋_GB2312" w:eastAsia="仿宋_GB2312" w:cs="仿宋_GB2312"/>
          <w:b/>
          <w:bCs/>
          <w:color w:val="C0000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市供销社部门下辖市供销社（本级）、市再生资源回收服务中心二家单位，其中，在职人员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64人，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离退休人员81，资产总额为264.06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万元。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部门收支预决算情况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32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2023年部门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一般公共预算财政拨款收入预算2852.44万元，一般公共预算财政拨款收入决算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3028.99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万元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；2023年部门一般公共预算财政拨款支出预算2852.44万元，一般公共预算财政拨款支出决算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2949.86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万元。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（三）部门整体支出绩效目标、指标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参照部门预算绩效文本中绩效目标、指标。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32" w:firstLineChars="200"/>
        <w:textAlignment w:val="auto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ascii="楷体" w:hAnsi="楷体" w:eastAsia="楷体" w:cs="楷体_GB2312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 </w:t>
      </w:r>
      <w:r>
        <w:rPr>
          <w:rFonts w:hint="eastAsia" w:ascii="仿宋_GB2312" w:hAnsi="仿宋_GB2312" w:eastAsia="仿宋_GB2312" w:cs="仿宋_GB2312"/>
          <w:sz w:val="32"/>
          <w:szCs w:val="32"/>
        </w:rPr>
        <w:t>根据《石家庄市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财政局关于开展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2024绩效自评工作的通知</w:t>
      </w:r>
      <w:r>
        <w:rPr>
          <w:rFonts w:hint="eastAsia" w:ascii="仿宋_GB2312" w:hAnsi="仿宋_GB2312" w:eastAsia="仿宋_GB2312" w:cs="仿宋_GB2312"/>
          <w:sz w:val="32"/>
          <w:szCs w:val="32"/>
        </w:rPr>
        <w:t>》（石财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监</w:t>
      </w:r>
      <w:r>
        <w:rPr>
          <w:rFonts w:hint="eastAsia" w:ascii="仿宋_GB2312" w:hAnsi="仿宋_GB2312" w:eastAsia="仿宋_GB2312" w:cs="仿宋_GB2312"/>
          <w:sz w:val="32"/>
          <w:szCs w:val="32"/>
        </w:rPr>
        <w:t>【202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】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</w:rPr>
        <w:t>号）及相关文件要求，遵循“科学性、规范性、客观性和公正性”的原则，结合评价项目的情况和特点，制定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了</w:t>
      </w:r>
      <w:r>
        <w:rPr>
          <w:rFonts w:hint="eastAsia" w:ascii="仿宋_GB2312" w:hAnsi="仿宋_GB2312" w:eastAsia="仿宋_GB2312" w:cs="仿宋_GB2312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</w:rPr>
        <w:t>年市供销社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专项</w:t>
      </w:r>
      <w:r>
        <w:rPr>
          <w:rFonts w:hint="eastAsia" w:ascii="仿宋_GB2312" w:hAnsi="仿宋_GB2312" w:eastAsia="仿宋_GB2312" w:cs="仿宋_GB2312"/>
          <w:sz w:val="32"/>
          <w:szCs w:val="32"/>
        </w:rPr>
        <w:t>项目的绩效评价工作方案，对202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</w:rPr>
        <w:t>年“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新网工程</w:t>
      </w:r>
      <w:r>
        <w:rPr>
          <w:rFonts w:hint="eastAsia" w:ascii="仿宋_GB2312" w:hAnsi="仿宋_GB2312" w:eastAsia="仿宋_GB2312" w:cs="仿宋_GB2312"/>
          <w:sz w:val="32"/>
          <w:szCs w:val="32"/>
        </w:rPr>
        <w:t>”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及农业社会化服务体系项目经费等</w:t>
      </w:r>
      <w:r>
        <w:rPr>
          <w:rFonts w:hint="eastAsia" w:ascii="仿宋_GB2312" w:hAnsi="仿宋_GB2312" w:eastAsia="仿宋_GB2312" w:cs="仿宋_GB2312"/>
          <w:sz w:val="32"/>
          <w:szCs w:val="32"/>
        </w:rPr>
        <w:t>专项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资金</w:t>
      </w:r>
      <w:r>
        <w:rPr>
          <w:rFonts w:hint="eastAsia" w:ascii="仿宋_GB2312" w:hAnsi="仿宋_GB2312" w:eastAsia="仿宋_GB2312" w:cs="仿宋_GB2312"/>
          <w:sz w:val="32"/>
          <w:szCs w:val="32"/>
        </w:rPr>
        <w:t>项目和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办公设备购置</w:t>
      </w:r>
      <w:r>
        <w:rPr>
          <w:rFonts w:hint="eastAsia" w:ascii="仿宋_GB2312" w:hAnsi="仿宋_GB2312" w:eastAsia="仿宋_GB2312" w:cs="仿宋_GB2312"/>
          <w:sz w:val="32"/>
          <w:szCs w:val="32"/>
        </w:rPr>
        <w:t>等专项公用经费进行了整体综合性评价。通过绩效评价，加强财政资金管理，优化财政支出结构，提高财政资金使用效益。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32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为保障评价工作的顺利进行，市供销社成立绩效评价领导小组，制定评价工作方案，完善了评价工作程序，按照前期准备、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组织实施</w:t>
      </w:r>
      <w:r>
        <w:rPr>
          <w:rFonts w:hint="eastAsia" w:ascii="仿宋_GB2312" w:hAnsi="仿宋_GB2312" w:eastAsia="仿宋_GB2312" w:cs="仿宋_GB2312"/>
          <w:sz w:val="32"/>
          <w:szCs w:val="32"/>
        </w:rPr>
        <w:t>、形成报告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三</w:t>
      </w:r>
      <w:r>
        <w:rPr>
          <w:rFonts w:hint="eastAsia" w:ascii="仿宋_GB2312" w:hAnsi="仿宋_GB2312" w:eastAsia="仿宋_GB2312" w:cs="仿宋_GB2312"/>
          <w:sz w:val="32"/>
          <w:szCs w:val="32"/>
        </w:rPr>
        <w:t>个阶段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开展绩效</w:t>
      </w:r>
      <w:r>
        <w:rPr>
          <w:rFonts w:hint="eastAsia" w:ascii="仿宋_GB2312" w:hAnsi="仿宋_GB2312" w:eastAsia="仿宋_GB2312" w:cs="仿宋_GB2312"/>
          <w:sz w:val="32"/>
          <w:szCs w:val="32"/>
        </w:rPr>
        <w:t>评价工作，向相关项目单位传达绩效评价相关工作的重要性和必要性，提出工作要求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，收集整理</w:t>
      </w:r>
      <w:r>
        <w:rPr>
          <w:rFonts w:hint="eastAsia" w:ascii="仿宋_GB2312" w:hAnsi="仿宋_GB2312" w:eastAsia="仿宋_GB2312" w:cs="仿宋_GB2312"/>
          <w:sz w:val="32"/>
          <w:szCs w:val="32"/>
        </w:rPr>
        <w:t>相关项目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开展工作情况</w:t>
      </w:r>
      <w:r>
        <w:rPr>
          <w:rFonts w:hint="eastAsia" w:ascii="仿宋_GB2312" w:hAnsi="仿宋_GB2312" w:eastAsia="仿宋_GB2312" w:cs="仿宋_GB2312"/>
          <w:sz w:val="32"/>
          <w:szCs w:val="32"/>
        </w:rPr>
        <w:t>资料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根据项目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特点及</w:t>
      </w:r>
      <w:r>
        <w:rPr>
          <w:rFonts w:hint="eastAsia" w:ascii="仿宋_GB2312" w:hAnsi="仿宋_GB2312" w:eastAsia="仿宋_GB2312" w:cs="仿宋_GB2312"/>
          <w:sz w:val="32"/>
          <w:szCs w:val="32"/>
        </w:rPr>
        <w:t>实际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完成情况</w:t>
      </w:r>
      <w:r>
        <w:rPr>
          <w:rFonts w:hint="eastAsia" w:ascii="仿宋_GB2312" w:hAnsi="仿宋_GB2312" w:eastAsia="仿宋_GB2312" w:cs="仿宋_GB2312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认真对年度绩效指标完成情况的各项指标进行评价打分，认真填写《市级部门预算项目绩效自评表》，</w:t>
      </w:r>
      <w:r>
        <w:rPr>
          <w:rFonts w:hint="eastAsia" w:ascii="仿宋_GB2312" w:hAnsi="仿宋_GB2312" w:eastAsia="仿宋_GB2312" w:cs="仿宋_GB2312"/>
          <w:sz w:val="32"/>
          <w:szCs w:val="32"/>
        </w:rPr>
        <w:t>如期完成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绩效自评报告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三、部门整体支出绩效目标实现情况及指标分析</w:t>
      </w:r>
    </w:p>
    <w:p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spacing w:line="560" w:lineRule="exact"/>
        <w:ind w:firstLine="632" w:firstLineChars="200"/>
        <w:textAlignment w:val="auto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790" w:firstLineChars="250"/>
        <w:textAlignment w:val="auto"/>
        <w:rPr>
          <w:rFonts w:hint="eastAsia" w:ascii="仿宋" w:hAnsi="仿宋" w:eastAsia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</w:rPr>
        <w:t>年，全市供销社系统以习近平新时代中国特色社会主义思想为指导，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深入学习贯彻习近平总书记视察河北、视察石家庄重要讲话、重要指示精神和关于供销合作社工作重要指示精神，全面落实市委、市政府和上级供销社决策部署，坚持为农服务根本宗旨，解放思想、加压奋进、担当作为、勇毅前行，持续深化综合改革，着力打造服务农民生产生活的综合平台，各项工作取得显著成效。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全系统商品购进总额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569.35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亿元，同比增长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14.97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%；商品销售总额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618.6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亿元，同比增长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12.48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%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eastAsia="zh-CN"/>
        </w:rPr>
        <w:t>；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实现利润2.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8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亿元，同比增长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6.77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%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eastAsia="zh-CN"/>
        </w:rPr>
        <w:t>，整体实力显著增强</w:t>
      </w:r>
      <w:r>
        <w:rPr>
          <w:rFonts w:hint="eastAsia" w:ascii="仿宋_GB2312" w:eastAsia="仿宋_GB2312"/>
          <w:bCs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（二）分项绩效目标实现情况及指标分析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790" w:firstLineChars="250"/>
        <w:textAlignment w:val="auto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1、提升供销社农业生产服务水平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790" w:firstLineChars="250"/>
        <w:textAlignment w:val="auto"/>
        <w:rPr>
          <w:rFonts w:hint="eastAsia" w:ascii="仿宋_GB2312" w:hAnsi="Calibri" w:eastAsia="仿宋_GB2312"/>
          <w:sz w:val="32"/>
          <w:szCs w:val="32"/>
          <w:lang w:bidi="ar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完成情况：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shd w:val="clear" w:color="auto" w:fill="auto"/>
          <w:lang w:val="en-US" w:eastAsia="zh-CN"/>
        </w:rPr>
        <w:t>2023年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auto"/>
          <w:lang w:val="en-US" w:eastAsia="zh-CN"/>
        </w:rPr>
        <w:t>春耕期间，全市供销社系统确定农资保供企业10家，供应各类化肥14.68万吨。“三夏”期间，市供销社共抽调67人分赴15个县（市、区）参加夏收夏种工作，供应农资6.5万吨，助力了“三夏”生产顺利开展。全市建设三星级为农服务中心13个，服务人数12.9万人。节水农业土地托管面积5万亩。</w:t>
      </w:r>
    </w:p>
    <w:p>
      <w:pPr>
        <w:keepNext w:val="0"/>
        <w:keepLines w:val="0"/>
        <w:pageBreakBefore w:val="0"/>
        <w:widowControl w:val="0"/>
        <w:numPr>
          <w:ilvl w:val="0"/>
          <w:numId w:val="4"/>
        </w:numPr>
        <w:kinsoku/>
        <w:wordWrap/>
        <w:overflowPunct/>
        <w:topLinePunct w:val="0"/>
        <w:autoSpaceDE/>
        <w:autoSpaceDN/>
        <w:bidi w:val="0"/>
        <w:spacing w:line="560" w:lineRule="exact"/>
        <w:ind w:firstLine="790" w:firstLineChars="250"/>
        <w:textAlignment w:val="auto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完善农村现代流通服务体系建设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32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完成情况：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auto"/>
          <w:lang w:val="en-US" w:eastAsia="zh-CN"/>
        </w:rPr>
        <w:t>市供销社成功举办石家庄农特产品产销对接会,20多家采购商参与现场采购，成果显著。石家庄东区供销有限公司积极探索电商直播，并与河北省社区服务促进会、石家庄广播电视台都市频道联合打造</w:t>
      </w:r>
      <w:r>
        <w:rPr>
          <w:rFonts w:hint="default" w:ascii="仿宋_GB2312" w:hAnsi="仿宋_GB2312" w:eastAsia="仿宋_GB2312" w:cs="仿宋_GB2312"/>
          <w:sz w:val="32"/>
          <w:szCs w:val="32"/>
          <w:lang w:eastAsia="zh-CN"/>
        </w:rPr>
        <w:t>《社区邻距离》绿色惠民工程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default" w:ascii="仿宋_GB2312" w:hAnsi="仿宋_GB2312" w:eastAsia="仿宋_GB2312" w:cs="仿宋_GB2312"/>
          <w:sz w:val="32"/>
          <w:szCs w:val="32"/>
          <w:lang w:eastAsia="zh-CN"/>
        </w:rPr>
        <w:t>搭建农特产品与百姓餐桌对接优质平台，拓宽农产品销售渠道，满足社区居民多元化、绿色消费需求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auto"/>
          <w:lang w:val="en-US" w:eastAsia="zh-CN"/>
        </w:rPr>
        <w:t>河北中山日化股份有限公司开展日用品下乡售卖活动，将运营末梢延伸到城乡。无极县社依托全县九家实体连锁店，打造“鑫聚隆”网店，开展线上线下联合销售。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60" w:lineRule="exact"/>
        <w:ind w:firstLine="632" w:firstLineChars="200"/>
        <w:textAlignment w:val="auto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3、推进农村产权交易市场体系建设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32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auto"/>
          <w:lang w:val="en-US" w:eastAsia="zh-CN"/>
        </w:rPr>
        <w:t>完成情况：全市已建立18个产权交易中心、200个乡镇服务站、3989个村级服务点，覆盖率均达到100%。全市累计组织农村产权交易4089笔，交易金额126.75亿元。全市农村集体资产、社有资产进场交易1279笔，成交金额3.81亿元，增加村集体收入3399.84万元。农村建设项目招投标、货物采购共1215笔，成交金额6.73亿元，减少村集体支出4846.16万元。全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shd w:val="clear" w:color="auto" w:fill="auto"/>
          <w:lang w:val="en-US" w:eastAsia="zh-CN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auto"/>
          <w:lang w:val="en-US" w:eastAsia="zh-CN"/>
        </w:rPr>
        <w:t>开展农村产权各类业务培训共计65场，培训人次超过3500余人。目前，石家庄市被列入全国农村产权流转交易规范化整市试点。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2" w:firstLineChars="200"/>
        <w:textAlignment w:val="auto"/>
        <w:rPr>
          <w:rFonts w:hint="eastAsia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4、加强再生资源市场监管及大件垃圾收运处置工作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32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shd w:val="clear" w:color="auto" w:fill="auto"/>
          <w:lang w:val="en-US" w:eastAsia="zh-CN"/>
        </w:rPr>
        <w:t>一是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auto"/>
          <w:lang w:val="en-US" w:eastAsia="zh-CN"/>
        </w:rPr>
        <w:t>开展专项整治行动,共排查回收站点3141个，依法取缔违法违规经营回收站点1640家,整改提升1109家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auto"/>
          <w:lang w:val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auto"/>
          <w:lang w:val="en-US" w:eastAsia="zh-CN"/>
        </w:rPr>
        <w:t>再生资源回收市场经营秩序得到改善。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shd w:val="clear" w:color="auto" w:fill="auto"/>
          <w:lang w:val="en-US" w:eastAsia="zh-CN"/>
        </w:rPr>
        <w:t>二是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auto"/>
          <w:lang w:val="en-US" w:eastAsia="zh-CN"/>
        </w:rPr>
        <w:t>系统性谋划“两网融合”“互联网+回收”建设工作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auto"/>
        </w:rPr>
        <w:t>，全市已完成布设14个再生资源信息服务平台、综合性或专业性分拣中心23个、综合性交易中心5个和再生资源回收网点3103个，指导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auto"/>
          <w:lang w:eastAsia="zh-CN"/>
        </w:rPr>
        <w:t>并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auto"/>
        </w:rPr>
        <w:t>完成6个分拣中心的信息化提档升级工作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auto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auto"/>
        </w:rPr>
        <w:t>初步实现再生资源回收网络长安区、桥西区、新华区、裕华区全覆盖，其他县（市、区）基本覆盖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auto"/>
          <w:lang w:eastAsia="zh-CN"/>
        </w:rPr>
        <w:t>。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shd w:val="clear" w:color="auto" w:fill="auto"/>
          <w:lang w:val="en-US" w:eastAsia="zh-CN"/>
        </w:rPr>
        <w:t>三是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auto"/>
          <w:lang w:val="en-US" w:eastAsia="zh-CN"/>
        </w:rPr>
        <w:t>收运处置大件垃圾7525吨，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auto"/>
        </w:rPr>
        <w:t>全市收运覆盖范围已达1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auto"/>
          <w:lang w:val="en-US" w:eastAsia="zh-CN"/>
        </w:rPr>
        <w:t>512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auto"/>
        </w:rPr>
        <w:t>个居民小区。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32" w:firstLineChars="200"/>
        <w:textAlignment w:val="auto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32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参与本次评价的项目共计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14</w:t>
      </w:r>
      <w:r>
        <w:rPr>
          <w:rFonts w:hint="eastAsia" w:ascii="仿宋" w:hAnsi="仿宋" w:eastAsia="仿宋"/>
          <w:sz w:val="32"/>
          <w:szCs w:val="32"/>
        </w:rPr>
        <w:t>个，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14</w:t>
      </w:r>
      <w:r>
        <w:rPr>
          <w:rFonts w:hint="eastAsia" w:ascii="仿宋" w:hAnsi="仿宋" w:eastAsia="仿宋"/>
          <w:sz w:val="32"/>
          <w:szCs w:val="32"/>
        </w:rPr>
        <w:t>个项目评价等级均为“优秀”。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32" w:firstLineChars="200"/>
        <w:textAlignment w:val="auto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474" w:firstLineChars="150"/>
        <w:textAlignment w:val="auto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（一）存在的主要问题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474" w:firstLineChars="15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一是因项目启动时间较晚，招投标、政府采购流程较慢导致部分项目进度缓慢，预算执行进度和效率有待加强。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474" w:firstLineChars="150"/>
        <w:textAlignment w:val="auto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二是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部分项目绩效指标设置需进一步合理规范。</w:t>
      </w:r>
    </w:p>
    <w:p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firstLine="632" w:firstLineChars="200"/>
        <w:textAlignment w:val="auto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针对问题提出具体的改进措施或建议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60" w:lineRule="exact"/>
        <w:ind w:firstLine="632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一是严格按照市财政预算执行进度的相关要求，督促业务科室加快项目实施进度，切实加大预算执行力度，提高预算资金使用效率。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firstLine="632" w:firstLineChars="200"/>
        <w:textAlignment w:val="auto"/>
        <w:rPr>
          <w:rFonts w:hint="eastAsia" w:eastAsia="仿宋_GB2312"/>
          <w:lang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二是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不断完善项目指标设置，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密切关注目标任务开展情况</w:t>
      </w:r>
      <w:r>
        <w:rPr>
          <w:rFonts w:hint="eastAsia" w:ascii="仿宋_GB2312" w:eastAsia="仿宋_GB2312"/>
          <w:sz w:val="32"/>
          <w:szCs w:val="32"/>
        </w:rPr>
        <w:t>，</w:t>
      </w:r>
      <w:r>
        <w:rPr>
          <w:rFonts w:hint="eastAsia" w:ascii="仿宋_GB2312" w:eastAsia="仿宋_GB2312"/>
          <w:sz w:val="32"/>
          <w:szCs w:val="32"/>
          <w:lang w:eastAsia="zh-CN"/>
        </w:rPr>
        <w:t>确保实际工作切合绩效目标</w:t>
      </w:r>
      <w:r>
        <w:rPr>
          <w:rFonts w:hint="eastAsia" w:ascii="仿宋_GB2312" w:eastAsia="仿宋_GB2312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评价工作人员名单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32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刘宝林  四级调研员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32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刘辰生  办公室主任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32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李  敏  财会审计科科长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32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高文强  基层工作科科长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32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徐秀丽  业务指导科科长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32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崔福申  再生资源回收服务中心书记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32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陈越超  办公室副主任、农村产权交易中心负责人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hint="eastAsia"/>
          <w:sz w:val="32"/>
          <w:szCs w:val="32"/>
          <w:lang w:val="en-US" w:eastAsia="zh-CN"/>
        </w:rPr>
      </w:pPr>
    </w:p>
    <w:p>
      <w:pPr>
        <w:pStyle w:val="2"/>
        <w:rPr>
          <w:rFonts w:hint="eastAsia"/>
          <w:lang w:val="en-US" w:eastAsia="zh-CN"/>
        </w:rPr>
      </w:pP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32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 xml:space="preserve">                       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 xml:space="preserve">   石家庄市供销合作总社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1264" w:firstLineChars="4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lang w:val="en-US" w:eastAsia="zh-CN"/>
        </w:rPr>
        <w:t xml:space="preserve">                         2024年4月17日</w:t>
      </w:r>
    </w:p>
    <w:sectPr>
      <w:footerReference r:id="rId3" w:type="default"/>
      <w:pgSz w:w="11906" w:h="16838"/>
      <w:pgMar w:top="2098" w:right="1474" w:bottom="1984" w:left="1587" w:header="851" w:footer="992" w:gutter="0"/>
      <w:pgNumType w:fmt="numberInDash"/>
      <w:cols w:space="0" w:num="1"/>
      <w:rtlGutter w:val="0"/>
      <w:docGrid w:type="linesAndChars" w:linePitch="289" w:charSpace="-88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Nimbus Roman No9 L"/>
    <w:panose1 w:val="02020603050405020304"/>
    <w:charset w:val="01"/>
    <w:family w:val="auto"/>
    <w:pitch w:val="default"/>
    <w:sig w:usb0="00000000" w:usb1="00000000" w:usb2="00000009" w:usb3="00000000" w:csb0="400001FF" w:csb1="FFFF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Cambria">
    <w:altName w:val="FreeSerif"/>
    <w:panose1 w:val="02040503050406030204"/>
    <w:charset w:val="00"/>
    <w:family w:val="roman"/>
    <w:pitch w:val="default"/>
    <w:sig w:usb0="00000000" w:usb1="00000000" w:usb2="00000000" w:usb3="00000000" w:csb0="2000009F" w:csb1="00000000"/>
  </w:font>
  <w:font w:name="华文楷体">
    <w:altName w:val="方正楷体_GBK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楷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FreeSerif">
    <w:panose1 w:val="02020603050405020304"/>
    <w:charset w:val="00"/>
    <w:family w:val="auto"/>
    <w:pitch w:val="default"/>
    <w:sig w:usb0="E59FAFFF" w:usb1="C200FDFF" w:usb2="43501B29" w:usb3="04000043" w:csb0="6001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mc:AlternateContent>
        <mc:Choice Requires="wps">
          <w:drawing>
            <wp:anchor distT="0" distB="0" distL="114300" distR="114300" simplePos="0" relativeHeight="102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Quad Arrow 3073" o:spid="_x0000_s1026" o:spt="202" type="#_x0000_t202" style="position:absolute;left:0pt;margin-top:0pt;height:144pt;width:144pt;mso-position-horizontal:center;mso-position-horizontal-relative:margin;mso-wrap-style:none;z-index:1024;mso-width-relative:page;mso-height-relative:page;" filled="f" stroked="f" coordsize="21600,21600" o:gfxdata="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FDF8C40"/>
    <w:multiLevelType w:val="singleLevel"/>
    <w:tmpl w:val="AFDF8C40"/>
    <w:lvl w:ilvl="0" w:tentative="0">
      <w:start w:val="2"/>
      <w:numFmt w:val="decimal"/>
      <w:suff w:val="nothing"/>
      <w:lvlText w:val="%1、"/>
      <w:lvlJc w:val="left"/>
    </w:lvl>
  </w:abstractNum>
  <w:abstractNum w:abstractNumId="1">
    <w:nsid w:val="BCFF1975"/>
    <w:multiLevelType w:val="singleLevel"/>
    <w:tmpl w:val="BCFF1975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2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3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rPr>
        <w:rFonts w:ascii="楷体" w:hAnsi="楷体" w:eastAsia="楷体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bordersDoNotSurroundHeader w:val="true"/>
  <w:bordersDoNotSurroundFooter w:val="true"/>
  <w:doNotTrackMoves/>
  <w:documentProtection w:enforcement="0"/>
  <w:defaultTabStop w:val="420"/>
  <w:drawingGridHorizontalSpacing w:val="103"/>
  <w:drawingGridVerticalSpacing w:val="144"/>
  <w:displayHorizontalDrawingGridEvery w:val="2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EBD2122"/>
    <w:rsid w:val="000B0260"/>
    <w:rsid w:val="007E6C1F"/>
    <w:rsid w:val="00956A93"/>
    <w:rsid w:val="009E575C"/>
    <w:rsid w:val="00AF167E"/>
    <w:rsid w:val="00AF566A"/>
    <w:rsid w:val="00B478EA"/>
    <w:rsid w:val="00B6553A"/>
    <w:rsid w:val="00BC6576"/>
    <w:rsid w:val="00CE06BA"/>
    <w:rsid w:val="00F441CC"/>
    <w:rsid w:val="01B104CA"/>
    <w:rsid w:val="02106AB0"/>
    <w:rsid w:val="02B43A28"/>
    <w:rsid w:val="046F331E"/>
    <w:rsid w:val="07956271"/>
    <w:rsid w:val="09721397"/>
    <w:rsid w:val="0BB63BED"/>
    <w:rsid w:val="0EB97A43"/>
    <w:rsid w:val="0EBD2122"/>
    <w:rsid w:val="0F214EAE"/>
    <w:rsid w:val="11B71E6A"/>
    <w:rsid w:val="1AAF0063"/>
    <w:rsid w:val="1BE140DE"/>
    <w:rsid w:val="1FB72A46"/>
    <w:rsid w:val="1FFBDAF7"/>
    <w:rsid w:val="248C197D"/>
    <w:rsid w:val="252959AF"/>
    <w:rsid w:val="277A6671"/>
    <w:rsid w:val="292D35B7"/>
    <w:rsid w:val="2BCFA40F"/>
    <w:rsid w:val="33EB6CFF"/>
    <w:rsid w:val="353FA943"/>
    <w:rsid w:val="35A12947"/>
    <w:rsid w:val="37387040"/>
    <w:rsid w:val="3B625C0A"/>
    <w:rsid w:val="3CEE1963"/>
    <w:rsid w:val="3ED6C66F"/>
    <w:rsid w:val="3EF7CDEC"/>
    <w:rsid w:val="3F3FC3D3"/>
    <w:rsid w:val="4C9C27FE"/>
    <w:rsid w:val="512260B4"/>
    <w:rsid w:val="52BD6ACB"/>
    <w:rsid w:val="55537534"/>
    <w:rsid w:val="561A74F1"/>
    <w:rsid w:val="572AC340"/>
    <w:rsid w:val="597244E8"/>
    <w:rsid w:val="5CD34A0A"/>
    <w:rsid w:val="5D5EEA9D"/>
    <w:rsid w:val="5E6FFA7D"/>
    <w:rsid w:val="5EB71C30"/>
    <w:rsid w:val="66AF0CE5"/>
    <w:rsid w:val="68FD9ADB"/>
    <w:rsid w:val="6AC537CF"/>
    <w:rsid w:val="6DF5BE32"/>
    <w:rsid w:val="6E5B14A6"/>
    <w:rsid w:val="6EB958A9"/>
    <w:rsid w:val="711B255E"/>
    <w:rsid w:val="775E8220"/>
    <w:rsid w:val="77BFE78D"/>
    <w:rsid w:val="77D7DEA8"/>
    <w:rsid w:val="7BB51E06"/>
    <w:rsid w:val="7C387F7C"/>
    <w:rsid w:val="7DBB55E9"/>
    <w:rsid w:val="7DDD2520"/>
    <w:rsid w:val="7DF71A18"/>
    <w:rsid w:val="7EFDA078"/>
    <w:rsid w:val="7F7F11ED"/>
    <w:rsid w:val="7FE83423"/>
    <w:rsid w:val="7FFC5556"/>
    <w:rsid w:val="7FFD3274"/>
    <w:rsid w:val="7FFFB356"/>
    <w:rsid w:val="97F74841"/>
    <w:rsid w:val="A7CF3902"/>
    <w:rsid w:val="B7ED6EEA"/>
    <w:rsid w:val="BAEF2796"/>
    <w:rsid w:val="BB903231"/>
    <w:rsid w:val="BFFA3D0B"/>
    <w:rsid w:val="BFFAB86D"/>
    <w:rsid w:val="D8D9B09D"/>
    <w:rsid w:val="DBF93211"/>
    <w:rsid w:val="DF6F1DB1"/>
    <w:rsid w:val="DFDFCBB7"/>
    <w:rsid w:val="DFEF684B"/>
    <w:rsid w:val="DFFD29FF"/>
    <w:rsid w:val="E3476C19"/>
    <w:rsid w:val="E3BD74B2"/>
    <w:rsid w:val="E7EA7DCA"/>
    <w:rsid w:val="EDD98602"/>
    <w:rsid w:val="EFF160EE"/>
    <w:rsid w:val="EFF6D510"/>
    <w:rsid w:val="F4FF4116"/>
    <w:rsid w:val="F6EDAB33"/>
    <w:rsid w:val="F7DB4465"/>
    <w:rsid w:val="FB0B51E1"/>
    <w:rsid w:val="FBFF51F0"/>
    <w:rsid w:val="FDFFE2D0"/>
    <w:rsid w:val="FEDE8C5D"/>
    <w:rsid w:val="FF1FF962"/>
    <w:rsid w:val="FFA82F63"/>
    <w:rsid w:val="FFFB9D8F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qFormat="1"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11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Subtitle"/>
    <w:basedOn w:val="1"/>
    <w:next w:val="1"/>
    <w:qFormat/>
    <w:uiPriority w:val="11"/>
    <w:pPr>
      <w:spacing w:before="240" w:after="60" w:line="312" w:lineRule="auto"/>
      <w:jc w:val="center"/>
      <w:outlineLvl w:val="1"/>
    </w:pPr>
    <w:rPr>
      <w:rFonts w:ascii="Cambria" w:hAnsi="Cambria" w:cs="Times New Roman"/>
      <w:b/>
      <w:bCs/>
      <w:kern w:val="28"/>
      <w:sz w:val="32"/>
      <w:szCs w:val="32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styleId="5">
    <w:name w:val="toc 2"/>
    <w:basedOn w:val="1"/>
    <w:next w:val="1"/>
    <w:qFormat/>
    <w:uiPriority w:val="0"/>
    <w:pPr>
      <w:ind w:left="420" w:leftChars="200"/>
    </w:pPr>
    <w:rPr>
      <w:szCs w:val="24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100</Words>
  <Characters>570</Characters>
  <Lines>4</Lines>
  <Paragraphs>1</Paragraphs>
  <TotalTime>2</TotalTime>
  <ScaleCrop>false</ScaleCrop>
  <LinksUpToDate>false</LinksUpToDate>
  <CharactersWithSpaces>669</CharactersWithSpaces>
  <Application>WPS Office_11.8.2.10290_F1E327BC-269C-435d-A152-05C5408002CA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2020-02-12T03:46:00Z</dcterms:created>
  <dc:creator>欣欣大人</dc:creator>
  <cp:lastModifiedBy>kylin</cp:lastModifiedBy>
  <cp:lastPrinted>2024-04-20T10:11:00Z</cp:lastPrinted>
  <dcterms:modified xsi:type="dcterms:W3CDTF">2024-04-19T16:43:09Z</dcterms:modified>
  <dc:title>附件3：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2052-11.8.2.10290</vt:lpwstr>
  </property>
</Properties>
</file>