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宋体" w:hAnsi="宋体" w:cs="宋体"/>
          <w:b/>
          <w:bCs/>
          <w:sz w:val="44"/>
          <w:szCs w:val="44"/>
        </w:rPr>
      </w:pPr>
    </w:p>
    <w:p>
      <w:pPr>
        <w:pStyle w:val="2"/>
        <w:keepNext w:val="0"/>
        <w:keepLines w:val="0"/>
        <w:pageBreakBefore w:val="0"/>
        <w:widowControl w:val="0"/>
        <w:kinsoku/>
        <w:wordWrap/>
        <w:overflowPunct/>
        <w:topLinePunct w:val="0"/>
        <w:autoSpaceDE/>
        <w:autoSpaceDN/>
        <w:bidi w:val="0"/>
        <w:spacing w:line="600" w:lineRule="exact"/>
        <w:textAlignment w:val="auto"/>
        <w:rPr>
          <w:rFonts w:hint="eastAsia"/>
        </w:rPr>
      </w:pPr>
    </w:p>
    <w:p>
      <w:pPr>
        <w:pStyle w:val="2"/>
        <w:keepNext w:val="0"/>
        <w:keepLines w:val="0"/>
        <w:pageBreakBefore w:val="0"/>
        <w:widowControl w:val="0"/>
        <w:kinsoku/>
        <w:wordWrap/>
        <w:overflowPunct/>
        <w:topLinePunct w:val="0"/>
        <w:autoSpaceDE/>
        <w:autoSpaceDN/>
        <w:bidi w:val="0"/>
        <w:spacing w:line="600" w:lineRule="exact"/>
        <w:textAlignment w:val="auto"/>
        <w:rPr>
          <w:rFonts w:hint="eastAsia"/>
        </w:rPr>
      </w:pPr>
    </w:p>
    <w:p>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石家庄市信访局</w:t>
      </w:r>
    </w:p>
    <w:p>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2023年度整体支出绩效</w:t>
      </w:r>
      <w:r>
        <w:rPr>
          <w:rFonts w:hint="eastAsia" w:ascii="宋体" w:hAnsi="宋体" w:cs="宋体"/>
          <w:b/>
          <w:bCs/>
          <w:sz w:val="44"/>
          <w:szCs w:val="44"/>
        </w:rPr>
        <w:t>自评报告</w:t>
      </w:r>
    </w:p>
    <w:p>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市委市政府《关于全面落实预算绩效管理的实施意见》（石发﹝</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文件精神，遵循“科学性、规范性、客观性和公正性”的原则，对</w:t>
      </w:r>
      <w:r>
        <w:rPr>
          <w:rFonts w:hint="eastAsia" w:ascii="仿宋_GB2312" w:hAnsi="仿宋_GB2312" w:eastAsia="仿宋_GB2312" w:cs="仿宋_GB2312"/>
          <w:sz w:val="32"/>
          <w:szCs w:val="32"/>
          <w:lang w:eastAsia="zh-CN"/>
        </w:rPr>
        <w:t>石家庄市信访局部门</w:t>
      </w:r>
      <w:r>
        <w:rPr>
          <w:rFonts w:hint="eastAsia" w:ascii="仿宋_GB2312" w:hAnsi="仿宋_GB2312" w:eastAsia="仿宋_GB2312" w:cs="仿宋_GB2312"/>
          <w:sz w:val="32"/>
          <w:szCs w:val="32"/>
          <w:lang w:val="en-US" w:eastAsia="zh-CN"/>
        </w:rPr>
        <w:t>2023年</w:t>
      </w:r>
      <w:r>
        <w:rPr>
          <w:rFonts w:hint="eastAsia" w:ascii="仿宋_GB2312" w:hAnsi="仿宋_GB2312" w:eastAsia="仿宋_GB2312" w:cs="仿宋_GB2312"/>
          <w:sz w:val="32"/>
          <w:szCs w:val="32"/>
          <w:lang w:eastAsia="zh-CN"/>
        </w:rPr>
        <w:t>整体支出情况</w:t>
      </w:r>
      <w:r>
        <w:rPr>
          <w:rFonts w:hint="eastAsia" w:ascii="仿宋_GB2312" w:hAnsi="仿宋_GB2312" w:eastAsia="仿宋_GB2312" w:cs="仿宋_GB2312"/>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w:t>
      </w:r>
      <w:r>
        <w:rPr>
          <w:rFonts w:hint="eastAsia" w:ascii="仿宋_GB2312" w:hAnsi="仿宋_GB2312" w:eastAsia="仿宋_GB2312" w:cs="仿宋_GB2312"/>
          <w:b/>
          <w:bCs/>
          <w:sz w:val="32"/>
          <w:szCs w:val="32"/>
          <w:lang w:eastAsia="zh-CN"/>
        </w:rPr>
        <w:t>部门</w:t>
      </w:r>
      <w:r>
        <w:rPr>
          <w:rFonts w:hint="eastAsia" w:ascii="仿宋_GB2312" w:hAnsi="仿宋_GB2312" w:eastAsia="仿宋_GB2312" w:cs="仿宋_GB2312"/>
          <w:b/>
          <w:bCs/>
          <w:sz w:val="32"/>
          <w:szCs w:val="32"/>
        </w:rPr>
        <w:t>概况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部门职责：</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（1）研究提出全市信访工作思路，起草信访工作地方性法规、规章草案。</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（2）办理人民群众来信，接待群众来访，受理群众网上投诉，查办信访案件，承办市领导电子信箱日常工作，负责人民群众建议征集工作。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（3）调查研究和综合分析全市信访形势及信访工作状况，总结推广各地各部门信访工作经验，提出改进和加强信访工作的意见和建议。</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（4）参与组织、协调、指导全市社会治安综合治理和维护社会政治稳定工作，协助保障国家和省、市重大政治活动顺利进行，参与处理影响社会政治稳定的突发性、群体性事件。</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督促检查和指导全市各级党委、政府和市直部门的信访工作。对县（市、区）党委、政府和市直有关部门信访工作年度责任目标进行考核，对全市社会治安综合治理和维护社会政治稳定年度责任目标中有关信访工作进行考核。</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（6）协助国家信访局、省信访局处理石家庄市群众进京上访工作，综合协调处理跨地区、跨部门、跨行业的重要信访问题，协助公安机关维护市委、市政府机关正常工作秩序。</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（7）负责省、市领导及省直、市直部门领导公开接访和包联案件的组织协调工作。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（8）承担石家庄市信访工作联席会议的日常工作，督促落实联席会议决定的事项。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（9）完成市委、市政府以及国家信访局、省信访局交办的其他任务。</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部门机构设置情况：</w:t>
      </w:r>
    </w:p>
    <w:tbl>
      <w:tblPr>
        <w:tblStyle w:val="10"/>
        <w:tblW w:w="79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31"/>
        <w:gridCol w:w="1820"/>
        <w:gridCol w:w="1399"/>
        <w:gridCol w:w="21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tblHeader/>
          <w:jc w:val="center"/>
        </w:trPr>
        <w:tc>
          <w:tcPr>
            <w:tcW w:w="2631" w:type="dxa"/>
            <w:vAlign w:val="center"/>
          </w:tcPr>
          <w:p>
            <w:pPr>
              <w:pStyle w:val="13"/>
              <w:keepNext w:val="0"/>
              <w:keepLines w:val="0"/>
              <w:pageBreakBefore w:val="0"/>
              <w:widowControl w:val="0"/>
              <w:kinsoku/>
              <w:wordWrap/>
              <w:overflowPunct/>
              <w:topLinePunct w:val="0"/>
              <w:autoSpaceDE/>
              <w:autoSpaceDN/>
              <w:bidi w:val="0"/>
              <w:spacing w:line="600" w:lineRule="exact"/>
              <w:textAlignment w:val="auto"/>
            </w:pPr>
            <w:r>
              <w:rPr>
                <w:rFonts w:hint="eastAsia"/>
              </w:rPr>
              <w:t>单位名称</w:t>
            </w:r>
          </w:p>
        </w:tc>
        <w:tc>
          <w:tcPr>
            <w:tcW w:w="1820" w:type="dxa"/>
            <w:vAlign w:val="center"/>
          </w:tcPr>
          <w:p>
            <w:pPr>
              <w:pStyle w:val="13"/>
              <w:keepNext w:val="0"/>
              <w:keepLines w:val="0"/>
              <w:pageBreakBefore w:val="0"/>
              <w:widowControl w:val="0"/>
              <w:kinsoku/>
              <w:wordWrap/>
              <w:overflowPunct/>
              <w:topLinePunct w:val="0"/>
              <w:autoSpaceDE/>
              <w:autoSpaceDN/>
              <w:bidi w:val="0"/>
              <w:spacing w:line="600" w:lineRule="exact"/>
              <w:textAlignment w:val="auto"/>
            </w:pPr>
            <w:r>
              <w:rPr>
                <w:rFonts w:hint="eastAsia"/>
              </w:rPr>
              <w:t>单位性质</w:t>
            </w:r>
          </w:p>
        </w:tc>
        <w:tc>
          <w:tcPr>
            <w:tcW w:w="1399" w:type="dxa"/>
            <w:vAlign w:val="center"/>
          </w:tcPr>
          <w:p>
            <w:pPr>
              <w:pStyle w:val="13"/>
              <w:keepNext w:val="0"/>
              <w:keepLines w:val="0"/>
              <w:pageBreakBefore w:val="0"/>
              <w:widowControl w:val="0"/>
              <w:kinsoku/>
              <w:wordWrap/>
              <w:overflowPunct/>
              <w:topLinePunct w:val="0"/>
              <w:autoSpaceDE/>
              <w:autoSpaceDN/>
              <w:bidi w:val="0"/>
              <w:spacing w:line="600" w:lineRule="exact"/>
              <w:textAlignment w:val="auto"/>
            </w:pPr>
            <w:r>
              <w:rPr>
                <w:rFonts w:hint="eastAsia"/>
              </w:rPr>
              <w:t>单位规格</w:t>
            </w:r>
          </w:p>
        </w:tc>
        <w:tc>
          <w:tcPr>
            <w:tcW w:w="2128" w:type="dxa"/>
            <w:vAlign w:val="center"/>
          </w:tcPr>
          <w:p>
            <w:pPr>
              <w:pStyle w:val="13"/>
              <w:keepNext w:val="0"/>
              <w:keepLines w:val="0"/>
              <w:pageBreakBefore w:val="0"/>
              <w:widowControl w:val="0"/>
              <w:kinsoku/>
              <w:wordWrap/>
              <w:overflowPunct/>
              <w:topLinePunct w:val="0"/>
              <w:autoSpaceDE/>
              <w:autoSpaceDN/>
              <w:bidi w:val="0"/>
              <w:spacing w:line="600" w:lineRule="exact"/>
              <w:textAlignment w:val="auto"/>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2631" w:type="dxa"/>
            <w:vAlign w:val="center"/>
          </w:tcPr>
          <w:p>
            <w:pPr>
              <w:pStyle w:val="14"/>
              <w:keepNext w:val="0"/>
              <w:keepLines w:val="0"/>
              <w:pageBreakBefore w:val="0"/>
              <w:widowControl w:val="0"/>
              <w:kinsoku/>
              <w:wordWrap/>
              <w:overflowPunct/>
              <w:topLinePunct w:val="0"/>
              <w:autoSpaceDE/>
              <w:autoSpaceDN/>
              <w:bidi w:val="0"/>
              <w:spacing w:line="600" w:lineRule="exact"/>
              <w:textAlignment w:val="auto"/>
            </w:pPr>
            <w:r>
              <w:rPr>
                <w:rFonts w:hint="eastAsia"/>
              </w:rPr>
              <w:t>石家庄市信访局本级</w:t>
            </w:r>
          </w:p>
        </w:tc>
        <w:tc>
          <w:tcPr>
            <w:tcW w:w="1820" w:type="dxa"/>
            <w:vAlign w:val="center"/>
          </w:tcPr>
          <w:p>
            <w:pPr>
              <w:pStyle w:val="15"/>
              <w:keepNext w:val="0"/>
              <w:keepLines w:val="0"/>
              <w:pageBreakBefore w:val="0"/>
              <w:widowControl w:val="0"/>
              <w:kinsoku/>
              <w:wordWrap/>
              <w:overflowPunct/>
              <w:topLinePunct w:val="0"/>
              <w:autoSpaceDE/>
              <w:autoSpaceDN/>
              <w:bidi w:val="0"/>
              <w:spacing w:line="600" w:lineRule="exact"/>
              <w:textAlignment w:val="auto"/>
            </w:pPr>
            <w:r>
              <w:rPr>
                <w:rFonts w:hint="eastAsia"/>
              </w:rPr>
              <w:t>行政</w:t>
            </w:r>
          </w:p>
        </w:tc>
        <w:tc>
          <w:tcPr>
            <w:tcW w:w="1399" w:type="dxa"/>
            <w:vAlign w:val="center"/>
          </w:tcPr>
          <w:p>
            <w:pPr>
              <w:pStyle w:val="15"/>
              <w:keepNext w:val="0"/>
              <w:keepLines w:val="0"/>
              <w:pageBreakBefore w:val="0"/>
              <w:widowControl w:val="0"/>
              <w:kinsoku/>
              <w:wordWrap/>
              <w:overflowPunct/>
              <w:topLinePunct w:val="0"/>
              <w:autoSpaceDE/>
              <w:autoSpaceDN/>
              <w:bidi w:val="0"/>
              <w:spacing w:line="600" w:lineRule="exact"/>
              <w:textAlignment w:val="auto"/>
            </w:pPr>
            <w:r>
              <w:rPr>
                <w:rFonts w:hint="eastAsia"/>
              </w:rPr>
              <w:t>正</w:t>
            </w:r>
            <w:r>
              <w:rPr>
                <w:rFonts w:hint="eastAsia"/>
                <w:lang w:eastAsia="zh-CN"/>
              </w:rPr>
              <w:t>县</w:t>
            </w:r>
            <w:r>
              <w:rPr>
                <w:rFonts w:hint="eastAsia"/>
              </w:rPr>
              <w:t>（</w:t>
            </w:r>
            <w:r>
              <w:rPr>
                <w:rFonts w:hint="eastAsia"/>
                <w:lang w:eastAsia="zh-CN"/>
              </w:rPr>
              <w:t>处</w:t>
            </w:r>
            <w:r>
              <w:rPr>
                <w:rFonts w:hint="eastAsia"/>
              </w:rPr>
              <w:t>）级</w:t>
            </w:r>
          </w:p>
        </w:tc>
        <w:tc>
          <w:tcPr>
            <w:tcW w:w="2128" w:type="dxa"/>
            <w:vAlign w:val="center"/>
          </w:tcPr>
          <w:p>
            <w:pPr>
              <w:pStyle w:val="15"/>
              <w:keepNext w:val="0"/>
              <w:keepLines w:val="0"/>
              <w:pageBreakBefore w:val="0"/>
              <w:widowControl w:val="0"/>
              <w:kinsoku/>
              <w:wordWrap/>
              <w:overflowPunct/>
              <w:topLinePunct w:val="0"/>
              <w:autoSpaceDE/>
              <w:autoSpaceDN/>
              <w:bidi w:val="0"/>
              <w:spacing w:line="600" w:lineRule="exact"/>
              <w:textAlignment w:val="auto"/>
            </w:pPr>
            <w:r>
              <w:rPr>
                <w:rFonts w:hint="eastAsia"/>
              </w:rPr>
              <w:t>财政拨款</w:t>
            </w:r>
          </w:p>
        </w:tc>
      </w:tr>
    </w:tbl>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3.部门</w:t>
      </w:r>
      <w:r>
        <w:rPr>
          <w:rFonts w:hint="eastAsia" w:ascii="仿宋_GB2312" w:hAnsi="仿宋_GB2312" w:eastAsia="仿宋_GB2312" w:cs="仿宋_GB2312"/>
          <w:sz w:val="32"/>
          <w:szCs w:val="32"/>
          <w:lang w:eastAsia="zh-CN"/>
        </w:rPr>
        <w:t>人员情况：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石家庄市信访局2023年年末实有人数112人，其中在职74人，退休38人。</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cs="楷体_GB2312"/>
          <w:b/>
          <w:bCs/>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部门固定资产占用情况</w:t>
      </w:r>
      <w:r>
        <w:rPr>
          <w:rFonts w:hint="eastAsia" w:ascii="仿宋_GB2312" w:hAnsi="仿宋_GB2312" w:eastAsia="仿宋_GB2312" w:cs="仿宋_GB2312"/>
          <w:sz w:val="32"/>
          <w:szCs w:val="32"/>
          <w:lang w:eastAsia="zh-CN"/>
        </w:rPr>
        <w:t>：资产总额（原值）</w:t>
      </w:r>
      <w:r>
        <w:rPr>
          <w:rFonts w:hint="eastAsia" w:ascii="仿宋_GB2312" w:hAnsi="仿宋_GB2312" w:eastAsia="仿宋_GB2312" w:cs="仿宋_GB2312"/>
          <w:sz w:val="32"/>
          <w:szCs w:val="32"/>
          <w:lang w:val="en-US" w:eastAsia="zh-CN"/>
        </w:rPr>
        <w:t>729.74万元，无价值在20万元以上设备。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（二）部门收支预决算情况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2023年，市信访局</w:t>
      </w:r>
      <w:r>
        <w:rPr>
          <w:rFonts w:hint="eastAsia" w:ascii="仿宋_GB2312" w:hAnsi="仿宋_GB2312" w:eastAsia="仿宋_GB2312" w:cs="仿宋_GB2312"/>
          <w:sz w:val="32"/>
          <w:szCs w:val="32"/>
          <w:highlight w:val="none"/>
          <w:lang w:eastAsia="zh-CN"/>
        </w:rPr>
        <w:t>年初预算收入为</w:t>
      </w:r>
      <w:r>
        <w:rPr>
          <w:rFonts w:hint="eastAsia" w:ascii="仿宋_GB2312" w:hAnsi="仿宋" w:eastAsia="仿宋_GB2312" w:cs="Times New Roman"/>
          <w:sz w:val="32"/>
          <w:szCs w:val="32"/>
          <w:highlight w:val="none"/>
          <w:lang w:eastAsia="zh-CN"/>
        </w:rPr>
        <w:t>4056</w:t>
      </w:r>
      <w:r>
        <w:rPr>
          <w:rFonts w:hint="eastAsia" w:ascii="仿宋_GB2312" w:hAnsi="仿宋" w:eastAsia="仿宋_GB2312" w:cs="Times New Roman"/>
          <w:sz w:val="32"/>
          <w:szCs w:val="32"/>
          <w:highlight w:val="none"/>
          <w:lang w:val="en-US" w:eastAsia="zh-CN"/>
        </w:rPr>
        <w:t>.</w:t>
      </w:r>
      <w:r>
        <w:rPr>
          <w:rFonts w:hint="eastAsia" w:ascii="仿宋_GB2312" w:hAnsi="仿宋" w:eastAsia="仿宋_GB2312" w:cs="Times New Roman"/>
          <w:sz w:val="32"/>
          <w:szCs w:val="32"/>
          <w:highlight w:val="none"/>
          <w:lang w:eastAsia="zh-CN"/>
        </w:rPr>
        <w:t>57</w:t>
      </w:r>
      <w:r>
        <w:rPr>
          <w:rFonts w:hint="eastAsia" w:ascii="仿宋_GB2312" w:hAnsi="仿宋_GB2312" w:eastAsia="仿宋_GB2312" w:cs="仿宋_GB2312"/>
          <w:sz w:val="32"/>
          <w:szCs w:val="32"/>
          <w:highlight w:val="none"/>
          <w:lang w:eastAsia="zh-CN"/>
        </w:rPr>
        <w:t>万元，</w:t>
      </w:r>
      <w:r>
        <w:rPr>
          <w:rFonts w:hint="eastAsia" w:ascii="仿宋_GB2312" w:hAnsi="仿宋_GB2312" w:eastAsia="仿宋_GB2312" w:cs="仿宋_GB2312"/>
          <w:sz w:val="32"/>
          <w:szCs w:val="32"/>
          <w:highlight w:val="none"/>
          <w:lang w:val="en-US" w:eastAsia="zh-CN"/>
        </w:rPr>
        <w:t>年初预算支出为</w:t>
      </w:r>
      <w:r>
        <w:rPr>
          <w:rFonts w:hint="eastAsia" w:ascii="仿宋_GB2312" w:hAnsi="仿宋" w:eastAsia="仿宋_GB2312" w:cs="Times New Roman"/>
          <w:sz w:val="32"/>
          <w:szCs w:val="32"/>
          <w:highlight w:val="none"/>
          <w:lang w:eastAsia="zh-CN"/>
        </w:rPr>
        <w:t>4056</w:t>
      </w:r>
      <w:r>
        <w:rPr>
          <w:rFonts w:hint="eastAsia" w:ascii="仿宋_GB2312" w:hAnsi="仿宋" w:eastAsia="仿宋_GB2312" w:cs="Times New Roman"/>
          <w:sz w:val="32"/>
          <w:szCs w:val="32"/>
          <w:highlight w:val="none"/>
          <w:lang w:val="en-US" w:eastAsia="zh-CN"/>
        </w:rPr>
        <w:t>.</w:t>
      </w:r>
      <w:r>
        <w:rPr>
          <w:rFonts w:hint="eastAsia" w:ascii="仿宋_GB2312" w:hAnsi="仿宋" w:eastAsia="仿宋_GB2312" w:cs="Times New Roman"/>
          <w:sz w:val="32"/>
          <w:szCs w:val="32"/>
          <w:highlight w:val="none"/>
          <w:lang w:eastAsia="zh-CN"/>
        </w:rPr>
        <w:t>57</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lang w:eastAsia="zh-CN"/>
        </w:rPr>
        <w:t>决算收入为</w:t>
      </w:r>
      <w:r>
        <w:rPr>
          <w:rFonts w:hint="eastAsia" w:ascii="仿宋_GB2312" w:hAnsi="仿宋" w:eastAsia="仿宋_GB2312"/>
          <w:sz w:val="32"/>
          <w:szCs w:val="32"/>
          <w:highlight w:val="none"/>
          <w:lang w:eastAsia="zh-CN"/>
        </w:rPr>
        <w:t>3528</w:t>
      </w:r>
      <w:r>
        <w:rPr>
          <w:rFonts w:hint="eastAsia" w:ascii="仿宋_GB2312" w:hAnsi="仿宋" w:eastAsia="仿宋_GB2312"/>
          <w:sz w:val="32"/>
          <w:szCs w:val="32"/>
          <w:highlight w:val="none"/>
          <w:lang w:val="en-US" w:eastAsia="zh-CN"/>
        </w:rPr>
        <w:t>.</w:t>
      </w:r>
      <w:r>
        <w:rPr>
          <w:rFonts w:hint="eastAsia" w:ascii="仿宋_GB2312" w:hAnsi="仿宋" w:eastAsia="仿宋_GB2312"/>
          <w:sz w:val="32"/>
          <w:szCs w:val="32"/>
          <w:highlight w:val="none"/>
          <w:lang w:eastAsia="zh-CN"/>
        </w:rPr>
        <w:t>561399</w:t>
      </w:r>
      <w:r>
        <w:rPr>
          <w:rFonts w:hint="eastAsia" w:ascii="仿宋_GB2312" w:hAnsi="仿宋_GB2312" w:eastAsia="仿宋_GB2312" w:cs="仿宋_GB2312"/>
          <w:sz w:val="32"/>
          <w:szCs w:val="32"/>
          <w:highlight w:val="none"/>
          <w:lang w:eastAsia="zh-CN"/>
        </w:rPr>
        <w:t>万元，</w:t>
      </w:r>
      <w:r>
        <w:rPr>
          <w:rFonts w:hint="eastAsia" w:ascii="仿宋_GB2312" w:hAnsi="仿宋_GB2312" w:eastAsia="仿宋_GB2312" w:cs="仿宋_GB2312"/>
          <w:sz w:val="32"/>
          <w:szCs w:val="32"/>
          <w:highlight w:val="none"/>
          <w:lang w:val="en-US" w:eastAsia="zh-CN"/>
        </w:rPr>
        <w:t>决算支出为</w:t>
      </w:r>
      <w:r>
        <w:rPr>
          <w:rFonts w:hint="eastAsia" w:ascii="仿宋_GB2312" w:hAnsi="仿宋" w:eastAsia="仿宋_GB2312"/>
          <w:sz w:val="32"/>
          <w:szCs w:val="32"/>
          <w:highlight w:val="none"/>
          <w:lang w:val="en-US" w:eastAsia="zh-CN"/>
        </w:rPr>
        <w:t>3529.98814</w:t>
      </w:r>
      <w:r>
        <w:rPr>
          <w:rFonts w:hint="eastAsia" w:ascii="仿宋_GB2312" w:hAnsi="仿宋_GB2312" w:eastAsia="仿宋_GB2312" w:cs="仿宋_GB2312"/>
          <w:sz w:val="32"/>
          <w:szCs w:val="32"/>
          <w:highlight w:val="none"/>
          <w:lang w:val="en-US" w:eastAsia="zh-CN"/>
        </w:rPr>
        <w:t>万元。</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rPr>
      </w:pPr>
      <w:bookmarkStart w:id="0" w:name="_Toc63602634"/>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总体绩效目标</w:t>
      </w:r>
      <w:bookmarkEnd w:id="0"/>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bookmarkStart w:id="1" w:name="_Toc63602635"/>
      <w:r>
        <w:rPr>
          <w:rFonts w:hint="eastAsia" w:ascii="仿宋_GB2312" w:hAnsi="仿宋_GB2312" w:eastAsia="仿宋_GB2312" w:cs="仿宋_GB2312"/>
          <w:sz w:val="32"/>
          <w:szCs w:val="32"/>
          <w:lang w:val="en-US" w:eastAsia="zh-CN"/>
        </w:rPr>
        <w:t>坚持以习近平新时代中国特色社会主义思想为指导，深入学习贯彻习近平总书记关于加强和改进人民信访工作的重要思想，全面落实中央、省委、市委关于信访工作的决策部署，认真执行《信访工作条例》，深化信访制度改革，全面加强“阳光信访、责任信访、法治信访”建设，整合多方力量化解社会矛盾，突出“事要解决”的根本目标，及时受理办理群众来信、来访和网上投诉，积极推动信访积案有效化解，保障信访群众合法权益，切实维护敏感时期国家、省、市信访秩序，信访事项及时受理率、按期答复率达到90%以上，满意率逐年上升，非接待场所有关人员总量逐年下降，全市信访形势持续向好，信访工作质量效能不断提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2.分项绩效目标</w:t>
      </w:r>
      <w:bookmarkEnd w:id="1"/>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（一）努力实现信访形势持续向好</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绩效目标：及时受理群众来信、来访和网上投诉，督促指导各地和有权处理机关，以“事要解决”为立足点，认真解决信访群众合理诉求，推动信访形势持续向好。</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绩效指标：全市重复信访与去年同期相比保持下降。</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（二）高标准做好重大政治活动期间和重要敏感节点信访保障工作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进一步提高政治站位，紧紧围绕省委“六个确保”和市委有关要求，坚持“一盘棋”思维，统筹力量做好重大政治活动期间和重要敏感节点信访保障工作，协助保障国家、省、市重大政治活动顺利进行。</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绩效指标：在重大政治活动和重要敏感节点期间，不发生大规模聚集上访、个人极端上访行为以及因信访工作处置不当引发引发的负面炒作。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（三）强化源头防范与治理</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绩效目标：深入开展信访矛盾纠纷排查，把问题隐患发现在初始、解决在当地，从源头上遏制信访增量。严格落实领导干部接访下访包联化解制度和市、县两级领导干部信访接待日制</w:t>
      </w:r>
      <w:bookmarkStart w:id="2" w:name="_GoBack"/>
      <w:bookmarkEnd w:id="2"/>
      <w:r>
        <w:rPr>
          <w:rFonts w:hint="eastAsia" w:ascii="仿宋_GB2312" w:hAnsi="仿宋_GB2312" w:eastAsia="仿宋_GB2312" w:cs="仿宋_GB2312"/>
          <w:sz w:val="32"/>
          <w:szCs w:val="32"/>
          <w:lang w:val="en-US" w:eastAsia="zh-CN"/>
        </w:rPr>
        <w:t>度，深入推动信访积案攻坚化解。</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绩效指标：持续开展信访苗头隐患排查化解，化解率达到90%以上；市、县两级领导干部包联信访案件结案率达到100%以上。</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（四）积极开展人民建议征集工作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宣传引导广大人民群众及社会各界人士关注我市经济社会发展中的重点、热点和难点问题，为石家庄的改革发展提出有价值、有前瞻性的意见和建议，为建设现代化、国际化美丽省会城市和经济强省、美丽河北作出积极贡献。</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绩效指标：按照文件要求完成优秀人民建议评选任务，每年至少向市领导编辑报送《人民建议》30期。</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keepNext w:val="0"/>
        <w:keepLines w:val="0"/>
        <w:pageBreakBefore w:val="0"/>
        <w:widowControl w:val="0"/>
        <w:kinsoku/>
        <w:wordWrap/>
        <w:overflowPunct/>
        <w:topLinePunct w:val="0"/>
        <w:autoSpaceDE/>
        <w:autoSpaceDN/>
        <w:bidi w:val="0"/>
        <w:spacing w:line="600" w:lineRule="exact"/>
        <w:ind w:left="0" w:leftChars="0" w:right="0"/>
        <w:textAlignment w:val="auto"/>
        <w:outlineLvl w:val="9"/>
        <w:rPr>
          <w:rFonts w:hint="eastAsia" w:ascii="仿宋_GB2312" w:hAnsi="仿宋_GB2312" w:eastAsia="仿宋_GB2312" w:cs="仿宋_GB2312"/>
          <w:b/>
          <w:bCs/>
          <w:sz w:val="32"/>
          <w:szCs w:val="32"/>
          <w:lang w:eastAsia="zh-CN"/>
        </w:rPr>
      </w:pPr>
      <w:r>
        <w:rPr>
          <w:rFonts w:hint="eastAsia" w:ascii="仿宋" w:hAnsi="仿宋" w:eastAsia="仿宋"/>
          <w:sz w:val="32"/>
          <w:szCs w:val="32"/>
        </w:rPr>
        <w:t xml:space="preserve"> </w:t>
      </w:r>
      <w:r>
        <w:rPr>
          <w:rFonts w:hint="eastAsia" w:ascii="仿宋_GB2312" w:hAnsi="仿宋_GB2312" w:eastAsia="仿宋_GB2312" w:cs="仿宋_GB2312"/>
          <w:b/>
          <w:bCs/>
          <w:sz w:val="32"/>
          <w:szCs w:val="32"/>
          <w:lang w:eastAsia="zh-CN"/>
        </w:rPr>
        <w:t xml:space="preserve">   （一）自评的组织工作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加强组织领导。为了提高资金使用效益，强化绩效主体责任，我局成立了绩效自评领导小组，负责组织、协调局各项目的实施以及年终对各个项目绩效目标的考核。领导小组下设办公室，办公室设在局办公室，负责各项目的申报、资金使用进度、资金核查、绩效目标考核等事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二是做好资料收集。通过采取实地察看、面访、座谈、查阅相关资料等资料收集方法，做到绩效评价资料收集到位，确保评价的科学性、全面性。</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（二）自评的方法和过程</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次评价遵循国家地方法律法规、部门规章，本着科学规范、公正公开、分级分类、绩效相关的原则，选择比较法、统计计算法、实地考察等方法进行。在开展绩效评价过程中，相关科室提供了各专项业务开展情况的统计资料及完成情况，评价小组进行了检查和核对，并对手续的完整性、有效性、合规性以及该专项经费的使用情况进行了绩效评价，最终形成绩效评价报告。</w:t>
      </w:r>
    </w:p>
    <w:p>
      <w:pPr>
        <w:keepNext w:val="0"/>
        <w:keepLines w:val="0"/>
        <w:pageBreakBefore w:val="0"/>
        <w:widowControl w:val="0"/>
        <w:kinsoku/>
        <w:wordWrap/>
        <w:overflowPunct/>
        <w:topLinePunct w:val="0"/>
        <w:autoSpaceDE/>
        <w:autoSpaceDN/>
        <w:bidi w:val="0"/>
        <w:spacing w:line="60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（一）总体绩效目标实现情况</w:t>
      </w:r>
    </w:p>
    <w:p>
      <w:pPr>
        <w:keepNext w:val="0"/>
        <w:keepLines w:val="0"/>
        <w:pageBreakBefore w:val="0"/>
        <w:widowControl w:val="0"/>
        <w:kinsoku/>
        <w:wordWrap/>
        <w:overflowPunct/>
        <w:topLinePunct w:val="0"/>
        <w:autoSpaceDE/>
        <w:autoSpaceDN/>
        <w:bidi w:val="0"/>
        <w:spacing w:line="600" w:lineRule="exact"/>
        <w:ind w:firstLine="680" w:firstLineChars="200"/>
        <w:textAlignment w:val="auto"/>
        <w:rPr>
          <w:rFonts w:ascii="仿宋_GB2312" w:hAnsi="仿宋_GB2312" w:eastAsia="仿宋_GB2312" w:cs="仿宋_GB2312"/>
          <w:color w:val="000000" w:themeColor="text1"/>
          <w:sz w:val="34"/>
          <w:szCs w:val="34"/>
        </w:rPr>
      </w:pPr>
      <w:r>
        <w:rPr>
          <w:rFonts w:hint="eastAsia"/>
          <w:color w:val="000000" w:themeColor="text1"/>
          <w:sz w:val="34"/>
          <w:szCs w:val="34"/>
        </w:rPr>
        <w:t>2023</w:t>
      </w:r>
      <w:r>
        <w:rPr>
          <w:rFonts w:hint="eastAsia" w:ascii="仿宋_GB2312" w:hAnsi="仿宋_GB2312" w:eastAsia="仿宋_GB2312" w:cs="仿宋_GB2312"/>
          <w:color w:val="000000" w:themeColor="text1"/>
          <w:sz w:val="34"/>
          <w:szCs w:val="34"/>
        </w:rPr>
        <w:t>年，全市信访系统</w:t>
      </w:r>
      <w:r>
        <w:rPr>
          <w:rFonts w:hint="eastAsia" w:ascii="仿宋_GB2312" w:hAnsi="仿宋_GB2312" w:eastAsia="仿宋_GB2312" w:cs="仿宋_GB2312"/>
          <w:bCs/>
          <w:snapToGrid w:val="0"/>
          <w:color w:val="000000" w:themeColor="text1"/>
          <w:sz w:val="34"/>
          <w:szCs w:val="34"/>
        </w:rPr>
        <w:t>坚持以习近平新时代中国特色社会主义思想为指导，认真贯彻落实中央、省委关于信访工作的</w:t>
      </w:r>
      <w:r>
        <w:rPr>
          <w:rFonts w:hint="eastAsia" w:ascii="仿宋_GB2312" w:hAnsi="仿宋_GB2312" w:eastAsia="仿宋_GB2312" w:cs="仿宋_GB2312"/>
          <w:bCs/>
          <w:snapToGrid w:val="0"/>
          <w:color w:val="000000" w:themeColor="text1"/>
          <w:sz w:val="34"/>
          <w:szCs w:val="34"/>
          <w:lang w:eastAsia="zh-CN"/>
        </w:rPr>
        <w:t>决策部署</w:t>
      </w:r>
      <w:r>
        <w:rPr>
          <w:rFonts w:hint="eastAsia" w:ascii="仿宋_GB2312" w:hAnsi="仿宋_GB2312" w:eastAsia="仿宋_GB2312" w:cs="仿宋_GB2312"/>
          <w:bCs/>
          <w:snapToGrid w:val="0"/>
          <w:color w:val="000000" w:themeColor="text1"/>
          <w:sz w:val="34"/>
          <w:szCs w:val="34"/>
        </w:rPr>
        <w:t>，</w:t>
      </w:r>
      <w:r>
        <w:rPr>
          <w:rFonts w:hint="eastAsia" w:ascii="仿宋_GB2312" w:hAnsi="仿宋_GB2312" w:eastAsia="仿宋_GB2312" w:cs="仿宋_GB2312"/>
          <w:bCs/>
          <w:snapToGrid w:val="0"/>
          <w:color w:val="000000" w:themeColor="text1"/>
          <w:sz w:val="34"/>
          <w:szCs w:val="34"/>
          <w:lang w:eastAsia="zh-CN"/>
        </w:rPr>
        <w:t>特别是省市委相继提出一系列严格要求和任务目标，持续加压奋进、攻坚突破，</w:t>
      </w:r>
      <w:r>
        <w:rPr>
          <w:rFonts w:hint="eastAsia" w:ascii="仿宋_GB2312" w:hAnsi="仿宋_GB2312" w:eastAsia="仿宋_GB2312" w:cs="仿宋_GB2312"/>
          <w:bCs/>
          <w:snapToGrid w:val="0"/>
          <w:color w:val="000000" w:themeColor="text1"/>
          <w:sz w:val="34"/>
          <w:szCs w:val="34"/>
        </w:rPr>
        <w:t>化解了大量群众信访问题</w:t>
      </w:r>
      <w:r>
        <w:rPr>
          <w:rFonts w:hint="eastAsia" w:ascii="仿宋_GB2312" w:hAnsi="仿宋_GB2312" w:eastAsia="仿宋_GB2312" w:cs="仿宋_GB2312"/>
          <w:bCs/>
          <w:snapToGrid w:val="0"/>
          <w:color w:val="000000" w:themeColor="text1"/>
          <w:sz w:val="34"/>
          <w:szCs w:val="34"/>
          <w:lang w:eastAsia="zh-CN"/>
        </w:rPr>
        <w:t>和矛盾隐患</w:t>
      </w:r>
      <w:r>
        <w:rPr>
          <w:rFonts w:hint="eastAsia" w:ascii="仿宋_GB2312" w:hAnsi="仿宋_GB2312" w:eastAsia="仿宋_GB2312" w:cs="仿宋_GB2312"/>
          <w:bCs/>
          <w:snapToGrid w:val="0"/>
          <w:color w:val="000000" w:themeColor="text1"/>
          <w:sz w:val="34"/>
          <w:szCs w:val="34"/>
        </w:rPr>
        <w:t>，</w:t>
      </w:r>
      <w:r>
        <w:rPr>
          <w:rFonts w:hint="eastAsia" w:ascii="仿宋_GB2312" w:hAnsi="仿宋_GB2312" w:eastAsia="仿宋_GB2312" w:cs="仿宋_GB2312"/>
          <w:color w:val="000000" w:themeColor="text1"/>
          <w:sz w:val="34"/>
          <w:szCs w:val="34"/>
        </w:rPr>
        <w:t>全市信访形势持续向好，</w:t>
      </w:r>
      <w:r>
        <w:rPr>
          <w:rFonts w:hint="eastAsia" w:ascii="仿宋_GB2312" w:hAnsi="仿宋_GB2312" w:eastAsia="仿宋_GB2312" w:cs="仿宋_GB2312"/>
          <w:bCs/>
          <w:snapToGrid w:val="0"/>
          <w:color w:val="000000" w:themeColor="text1"/>
          <w:sz w:val="34"/>
          <w:szCs w:val="34"/>
        </w:rPr>
        <w:t>出色完成了市委、市政府确定的各项任务和部门职能业务目标</w:t>
      </w:r>
      <w:r>
        <w:rPr>
          <w:rFonts w:hint="eastAsia" w:ascii="仿宋_GB2312" w:hAnsi="仿宋_GB2312" w:eastAsia="仿宋_GB2312" w:cs="仿宋_GB2312"/>
          <w:bCs/>
          <w:snapToGrid w:val="0"/>
          <w:color w:val="000000" w:themeColor="text1"/>
          <w:sz w:val="34"/>
          <w:szCs w:val="34"/>
          <w:lang w:eastAsia="zh-CN"/>
        </w:rPr>
        <w:t>，绝大多数指标在全省名列前茅，在全省信访工作年度考核中获评优秀。我局</w:t>
      </w:r>
      <w:r>
        <w:rPr>
          <w:rFonts w:hint="eastAsia" w:ascii="仿宋_GB2312" w:hAnsi="仿宋_GB2312" w:eastAsia="仿宋_GB2312" w:cs="仿宋_GB2312"/>
          <w:bCs/>
          <w:snapToGrid w:val="0"/>
          <w:color w:val="000000" w:themeColor="text1"/>
          <w:sz w:val="34"/>
          <w:szCs w:val="34"/>
        </w:rPr>
        <w:t>被评为“全国治理重复信访、化解信访积案专项工作优</w:t>
      </w:r>
      <w:r>
        <w:rPr>
          <w:rFonts w:hint="eastAsia" w:ascii="仿宋_GB2312" w:hAnsi="仿宋_GB2312" w:eastAsia="仿宋_GB2312" w:cs="仿宋_GB2312"/>
          <w:bCs/>
          <w:snapToGrid w:val="0"/>
          <w:color w:val="000000" w:themeColor="text1"/>
          <w:sz w:val="34"/>
          <w:szCs w:val="34"/>
          <w:lang w:eastAsia="zh-CN"/>
        </w:rPr>
        <w:t>秀集体</w:t>
      </w:r>
      <w:r>
        <w:rPr>
          <w:rFonts w:hint="eastAsia" w:ascii="仿宋_GB2312" w:hAnsi="仿宋_GB2312" w:eastAsia="仿宋_GB2312" w:cs="仿宋_GB2312"/>
          <w:bCs/>
          <w:snapToGrid w:val="0"/>
          <w:color w:val="000000" w:themeColor="text1"/>
          <w:spacing w:val="20"/>
          <w:sz w:val="34"/>
          <w:szCs w:val="34"/>
        </w:rPr>
        <w:t>”“</w:t>
      </w:r>
      <w:r>
        <w:rPr>
          <w:rFonts w:hint="eastAsia" w:ascii="仿宋_GB2312" w:hAnsi="仿宋_GB2312" w:eastAsia="仿宋_GB2312" w:cs="仿宋_GB2312"/>
          <w:bCs/>
          <w:snapToGrid w:val="0"/>
          <w:color w:val="000000" w:themeColor="text1"/>
          <w:sz w:val="34"/>
          <w:szCs w:val="34"/>
          <w:lang w:eastAsia="zh-CN"/>
        </w:rPr>
        <w:t>河北省人</w:t>
      </w:r>
      <w:r>
        <w:rPr>
          <w:rFonts w:hint="eastAsia" w:ascii="仿宋_GB2312" w:hAnsi="仿宋_GB2312" w:eastAsia="仿宋_GB2312" w:cs="仿宋_GB2312"/>
          <w:bCs/>
          <w:snapToGrid w:val="0"/>
          <w:color w:val="000000" w:themeColor="text1"/>
          <w:sz w:val="34"/>
          <w:szCs w:val="34"/>
        </w:rPr>
        <w:t>民建议征集工作先进单位”“</w:t>
      </w:r>
      <w:r>
        <w:rPr>
          <w:rFonts w:hint="eastAsia" w:ascii="仿宋_GB2312" w:hAnsi="仿宋_GB2312" w:eastAsia="仿宋_GB2312" w:cs="仿宋_GB2312"/>
          <w:color w:val="000000" w:themeColor="text1"/>
          <w:sz w:val="34"/>
          <w:szCs w:val="34"/>
        </w:rPr>
        <w:t>石家庄市法治宣传教育先进集体</w:t>
      </w:r>
      <w:r>
        <w:rPr>
          <w:rFonts w:hint="eastAsia" w:ascii="仿宋_GB2312" w:hAnsi="仿宋_GB2312" w:eastAsia="仿宋_GB2312" w:cs="仿宋_GB2312"/>
          <w:bCs/>
          <w:snapToGrid w:val="0"/>
          <w:color w:val="000000" w:themeColor="text1"/>
          <w:sz w:val="34"/>
          <w:szCs w:val="34"/>
        </w:rPr>
        <w:t>”</w:t>
      </w:r>
      <w:r>
        <w:rPr>
          <w:rFonts w:hint="eastAsia" w:ascii="仿宋_GB2312" w:hAnsi="仿宋_GB2312" w:eastAsia="仿宋_GB2312" w:cs="仿宋_GB2312"/>
          <w:color w:val="000000" w:themeColor="text1"/>
          <w:sz w:val="34"/>
          <w:szCs w:val="34"/>
        </w:rPr>
        <w:t>。</w:t>
      </w:r>
    </w:p>
    <w:p>
      <w:pPr>
        <w:keepNext w:val="0"/>
        <w:keepLines w:val="0"/>
        <w:pageBreakBefore w:val="0"/>
        <w:widowControl w:val="0"/>
        <w:kinsoku/>
        <w:wordWrap/>
        <w:overflowPunct/>
        <w:topLinePunct w:val="0"/>
        <w:autoSpaceDE/>
        <w:autoSpaceDN/>
        <w:bidi w:val="0"/>
        <w:spacing w:line="60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_GB2312" w:hAnsi="仿宋_GB2312" w:eastAsia="仿宋_GB2312" w:cs="仿宋_GB2312"/>
          <w:b/>
          <w:bCs/>
          <w:sz w:val="32"/>
          <w:szCs w:val="32"/>
          <w:lang w:eastAsia="zh-CN"/>
        </w:rPr>
        <w:t xml:space="preserve"> （二）分项绩效目标实现情况及指标分析</w:t>
      </w:r>
    </w:p>
    <w:p>
      <w:pPr>
        <w:keepNext w:val="0"/>
        <w:keepLines w:val="0"/>
        <w:pageBreakBefore w:val="0"/>
        <w:widowControl w:val="0"/>
        <w:kinsoku/>
        <w:wordWrap/>
        <w:overflowPunct/>
        <w:topLinePunct w:val="0"/>
        <w:autoSpaceDE/>
        <w:autoSpaceDN/>
        <w:bidi w:val="0"/>
        <w:adjustRightInd/>
        <w:spacing w:line="600" w:lineRule="exact"/>
        <w:ind w:firstLine="643" w:firstLineChars="200"/>
        <w:jc w:val="both"/>
        <w:textAlignment w:val="auto"/>
        <w:rPr>
          <w:rFonts w:hint="eastAsia" w:ascii="楷体_GB2312" w:hAnsi="楷体_GB2312" w:eastAsia="楷体_GB2312" w:cs="Times New Roman"/>
          <w:b/>
          <w:bCs/>
          <w:sz w:val="32"/>
        </w:rPr>
      </w:pPr>
      <w:r>
        <w:rPr>
          <w:rFonts w:hint="eastAsia" w:ascii="楷体_GB2312" w:hAnsi="楷体_GB2312" w:eastAsia="楷体_GB2312" w:cs="Times New Roman"/>
          <w:b/>
          <w:bCs/>
          <w:sz w:val="32"/>
          <w:lang w:val="en-US" w:eastAsia="zh-CN"/>
        </w:rPr>
        <w:t>1.</w:t>
      </w:r>
      <w:r>
        <w:rPr>
          <w:rFonts w:hint="eastAsia" w:ascii="楷体_GB2312" w:hAnsi="楷体_GB2312" w:eastAsia="楷体_GB2312" w:cs="Times New Roman"/>
          <w:b/>
          <w:bCs/>
          <w:sz w:val="32"/>
        </w:rPr>
        <w:t>努力实现信访形势持续向好</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8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000000" w:themeColor="text1"/>
          <w:sz w:val="34"/>
          <w:szCs w:val="34"/>
          <w:lang w:val="en-US" w:eastAsia="zh-CN"/>
        </w:rPr>
        <w:t>2023</w:t>
      </w:r>
      <w:r>
        <w:rPr>
          <w:rFonts w:hint="eastAsia" w:ascii="仿宋_GB2312" w:hAnsi="仿宋_GB2312" w:eastAsia="仿宋_GB2312" w:cs="仿宋_GB2312"/>
          <w:color w:val="000000" w:themeColor="text1"/>
          <w:sz w:val="34"/>
          <w:szCs w:val="34"/>
        </w:rPr>
        <w:t>年，</w:t>
      </w:r>
      <w:r>
        <w:rPr>
          <w:rFonts w:hint="eastAsia" w:ascii="仿宋_GB2312" w:hAnsi="仿宋_GB2312" w:eastAsia="仿宋_GB2312" w:cs="仿宋_GB2312"/>
          <w:color w:val="000000" w:themeColor="text1"/>
          <w:sz w:val="34"/>
          <w:szCs w:val="34"/>
          <w:lang w:eastAsia="zh-CN"/>
        </w:rPr>
        <w:t>我市信访总量实现明显下降，信访事项“三率”实现明显提升，在全省</w:t>
      </w:r>
      <w:r>
        <w:rPr>
          <w:rFonts w:hint="eastAsia" w:ascii="仿宋_GB2312" w:hAnsi="仿宋_GB2312" w:eastAsia="仿宋_GB2312" w:cs="仿宋_GB2312"/>
          <w:color w:val="000000" w:themeColor="text1"/>
          <w:sz w:val="34"/>
          <w:szCs w:val="34"/>
          <w:highlight w:val="none"/>
          <w:lang w:eastAsia="zh-CN"/>
        </w:rPr>
        <w:t>排名靠前</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pacing w:line="600" w:lineRule="exact"/>
        <w:ind w:firstLine="643" w:firstLineChars="200"/>
        <w:jc w:val="both"/>
        <w:textAlignment w:val="auto"/>
        <w:rPr>
          <w:rFonts w:hint="eastAsia" w:ascii="楷体_GB2312" w:hAnsi="楷体_GB2312" w:eastAsia="楷体_GB2312" w:cs="Times New Roman"/>
          <w:b/>
          <w:bCs/>
          <w:sz w:val="32"/>
        </w:rPr>
      </w:pPr>
      <w:r>
        <w:rPr>
          <w:rFonts w:hint="eastAsia" w:ascii="楷体_GB2312" w:hAnsi="楷体_GB2312" w:eastAsia="楷体_GB2312" w:cs="Times New Roman"/>
          <w:b/>
          <w:bCs/>
          <w:sz w:val="32"/>
          <w:lang w:val="en-US" w:eastAsia="zh-CN"/>
        </w:rPr>
        <w:t>2.</w:t>
      </w:r>
      <w:r>
        <w:rPr>
          <w:rFonts w:hint="eastAsia" w:ascii="楷体_GB2312" w:hAnsi="楷体_GB2312" w:eastAsia="楷体_GB2312" w:cs="Times New Roman"/>
          <w:b/>
          <w:bCs/>
          <w:sz w:val="32"/>
        </w:rPr>
        <w:t>高标准做好</w:t>
      </w:r>
      <w:r>
        <w:rPr>
          <w:rFonts w:hint="eastAsia" w:ascii="楷体_GB2312" w:hAnsi="楷体_GB2312" w:eastAsia="楷体_GB2312" w:cs="Times New Roman"/>
          <w:b/>
          <w:bCs/>
          <w:sz w:val="32"/>
          <w:lang w:eastAsia="zh-CN"/>
        </w:rPr>
        <w:t>重要会议和</w:t>
      </w:r>
      <w:r>
        <w:rPr>
          <w:rFonts w:hint="eastAsia" w:ascii="楷体_GB2312" w:hAnsi="楷体_GB2312" w:eastAsia="楷体_GB2312" w:cs="Times New Roman"/>
          <w:b/>
          <w:bCs/>
          <w:sz w:val="32"/>
        </w:rPr>
        <w:t>重大活动期间信访保障工作</w:t>
      </w:r>
    </w:p>
    <w:p>
      <w:pPr>
        <w:keepNext w:val="0"/>
        <w:keepLines w:val="0"/>
        <w:pageBreakBefore w:val="0"/>
        <w:widowControl w:val="0"/>
        <w:kinsoku/>
        <w:wordWrap/>
        <w:overflowPunct/>
        <w:topLinePunct w:val="0"/>
        <w:autoSpaceDE/>
        <w:autoSpaceDN/>
        <w:bidi w:val="0"/>
        <w:adjustRightInd/>
        <w:snapToGrid/>
        <w:spacing w:line="600" w:lineRule="exact"/>
        <w:ind w:firstLine="643"/>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2023年，我局圆满完成一系列重大信访保障任务，实现了省、市委历次确定的任务目标。</w:t>
      </w:r>
    </w:p>
    <w:p>
      <w:pPr>
        <w:keepNext w:val="0"/>
        <w:keepLines w:val="0"/>
        <w:pageBreakBefore w:val="0"/>
        <w:widowControl w:val="0"/>
        <w:kinsoku/>
        <w:wordWrap/>
        <w:overflowPunct/>
        <w:topLinePunct w:val="0"/>
        <w:autoSpaceDE/>
        <w:autoSpaceDN/>
        <w:bidi w:val="0"/>
        <w:adjustRightInd/>
        <w:spacing w:line="60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Times New Roman"/>
          <w:b/>
          <w:bCs/>
          <w:sz w:val="32"/>
          <w:lang w:val="en-US" w:eastAsia="zh-CN"/>
        </w:rPr>
        <w:t>3.</w:t>
      </w:r>
      <w:r>
        <w:rPr>
          <w:rFonts w:hint="eastAsia" w:ascii="楷体_GB2312" w:hAnsi="楷体_GB2312" w:eastAsia="楷体_GB2312" w:cs="Times New Roman"/>
          <w:b/>
          <w:bCs/>
          <w:sz w:val="32"/>
        </w:rPr>
        <w:t>强化源头防范与治理</w:t>
      </w:r>
    </w:p>
    <w:p>
      <w:pPr>
        <w:pStyle w:val="9"/>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是苗头隐患排查化解有力。以开展信访问题源头治理三年攻坚行动为抓手，在全市强力组织信访苗头隐患集中排查化解，充分发挥乡村社区信访信息员队伍作用，围绕重点苗头隐患开展排查，逐人逐案建立台账，全部落实包联化解责任，2023年全市共排查信访矛盾纠纷隐患5147件，化解5083件，化解率98.8%，超额完成年度目标任务。</w:t>
      </w:r>
    </w:p>
    <w:p>
      <w:pPr>
        <w:pStyle w:val="9"/>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二是领导接访约访包案督访成效明显。</w:t>
      </w:r>
      <w:r>
        <w:rPr>
          <w:rFonts w:hint="eastAsia" w:ascii="仿宋_GB2312" w:hAnsi="仿宋_GB2312" w:eastAsia="仿宋_GB2312" w:cs="仿宋_GB2312"/>
          <w:color w:val="000000" w:themeColor="text1"/>
          <w:sz w:val="34"/>
          <w:szCs w:val="34"/>
          <w:lang w:eastAsia="zh-CN"/>
        </w:rPr>
        <w:t>扎实</w:t>
      </w:r>
      <w:r>
        <w:rPr>
          <w:rFonts w:hint="eastAsia" w:ascii="仿宋_GB2312" w:hAnsi="仿宋_GB2312" w:eastAsia="仿宋_GB2312" w:cs="仿宋_GB2312"/>
          <w:color w:val="000000" w:themeColor="text1"/>
          <w:sz w:val="34"/>
          <w:szCs w:val="34"/>
        </w:rPr>
        <w:t>开展省市领导包联督访工作</w:t>
      </w:r>
      <w:r>
        <w:rPr>
          <w:rFonts w:hint="eastAsia" w:ascii="仿宋_GB2312" w:hAnsi="仿宋_GB2312" w:eastAsia="仿宋_GB2312" w:cs="仿宋_GB2312"/>
          <w:color w:val="000000" w:themeColor="text1"/>
          <w:sz w:val="34"/>
          <w:szCs w:val="34"/>
          <w:lang w:eastAsia="zh-CN"/>
        </w:rPr>
        <w:t>，</w:t>
      </w:r>
      <w:r>
        <w:rPr>
          <w:rFonts w:hint="eastAsia" w:hAnsi="仿宋_GB2312" w:eastAsia="仿宋_GB2312" w:cs="仿宋_GB2312"/>
          <w:color w:val="000000" w:themeColor="text1"/>
          <w:sz w:val="34"/>
          <w:szCs w:val="34"/>
          <w:lang w:eastAsia="zh-CN"/>
        </w:rPr>
        <w:t>组织市、县领导接访约访，</w:t>
      </w:r>
      <w:r>
        <w:rPr>
          <w:rFonts w:hint="eastAsia" w:ascii="仿宋_GB2312" w:hAnsi="仿宋_GB2312" w:eastAsia="仿宋_GB2312" w:cs="仿宋_GB2312"/>
          <w:color w:val="000000" w:themeColor="text1"/>
          <w:sz w:val="34"/>
          <w:szCs w:val="34"/>
        </w:rPr>
        <w:t>大量群众信访问题得到及时就地解决。</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三是信访积案攻坚化解有力。</w:t>
      </w:r>
      <w:r>
        <w:rPr>
          <w:rFonts w:hint="eastAsia" w:ascii="仿宋_GB2312" w:hAnsi="仿宋_GB2312" w:eastAsia="仿宋_GB2312" w:cs="仿宋_GB2312"/>
          <w:color w:val="000000" w:themeColor="text1"/>
          <w:sz w:val="34"/>
          <w:szCs w:val="34"/>
        </w:rPr>
        <w:t>在全市集中开展重复信访积案攻坚行动</w:t>
      </w:r>
      <w:r>
        <w:rPr>
          <w:rFonts w:hint="eastAsia" w:ascii="仿宋_GB2312" w:hAnsi="仿宋_GB2312" w:eastAsia="仿宋_GB2312" w:cs="仿宋_GB2312"/>
          <w:color w:val="000000" w:themeColor="text1"/>
          <w:sz w:val="34"/>
          <w:szCs w:val="34"/>
          <w:lang w:eastAsia="zh-CN"/>
        </w:rPr>
        <w:t>，</w:t>
      </w:r>
      <w:r>
        <w:rPr>
          <w:rFonts w:hint="eastAsia" w:ascii="仿宋_GB2312" w:hAnsi="仿宋_GB2312" w:eastAsia="仿宋_GB2312" w:cs="仿宋_GB2312"/>
          <w:color w:val="000000" w:themeColor="text1"/>
          <w:sz w:val="34"/>
          <w:szCs w:val="34"/>
        </w:rPr>
        <w:t>抽调得力人员组成工作专班，指导、督促、检查</w:t>
      </w:r>
      <w:r>
        <w:rPr>
          <w:rFonts w:hint="eastAsia" w:ascii="仿宋_GB2312" w:hAnsi="仿宋_GB2312" w:eastAsia="仿宋_GB2312" w:cs="仿宋_GB2312"/>
          <w:color w:val="000000" w:themeColor="text1"/>
          <w:sz w:val="34"/>
          <w:szCs w:val="34"/>
          <w:lang w:eastAsia="zh-CN"/>
        </w:rPr>
        <w:t>各县（市、区）做好信访积案攻坚化解工作，有效解决了一大批疑难复杂信访问题</w:t>
      </w:r>
      <w:r>
        <w:rPr>
          <w:rFonts w:hint="eastAsia" w:ascii="仿宋_GB2312" w:hAnsi="仿宋_GB2312" w:eastAsia="仿宋_GB2312" w:cs="仿宋_GB2312"/>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pacing w:line="600" w:lineRule="exact"/>
        <w:ind w:firstLine="643" w:firstLineChars="200"/>
        <w:jc w:val="both"/>
        <w:textAlignment w:val="auto"/>
        <w:rPr>
          <w:rFonts w:hint="eastAsia" w:ascii="楷体_GB2312" w:hAnsi="楷体_GB2312" w:eastAsia="楷体_GB2312" w:cs="Times New Roman"/>
          <w:b/>
          <w:bCs/>
          <w:sz w:val="32"/>
        </w:rPr>
      </w:pPr>
      <w:r>
        <w:rPr>
          <w:rFonts w:hint="eastAsia" w:ascii="楷体_GB2312" w:hAnsi="楷体_GB2312" w:eastAsia="楷体_GB2312" w:cs="Times New Roman"/>
          <w:b/>
          <w:bCs/>
          <w:sz w:val="32"/>
          <w:lang w:val="en-US" w:eastAsia="zh-CN"/>
        </w:rPr>
        <w:t>4.</w:t>
      </w:r>
      <w:r>
        <w:rPr>
          <w:rFonts w:hint="eastAsia" w:ascii="楷体_GB2312" w:hAnsi="楷体_GB2312" w:eastAsia="楷体_GB2312" w:cs="Times New Roman"/>
          <w:b/>
          <w:bCs/>
          <w:sz w:val="32"/>
        </w:rPr>
        <w:t>积极开展人民建议征集工作</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市信访局积极宣传引导广大人民群众及社会各界人士关注我市经济社会发展中的重点、热点和难点问题，为石家庄的各项事业发展提出有价值、有前瞻性的意见和建议，为建设现代化、国际化省会城市作出积极贡献，完成绩效目标。2023年向市领导编辑报送《人民建议》30期。</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市信访局2023年度部门分项绩效目标全部完成。</w:t>
      </w:r>
    </w:p>
    <w:p>
      <w:pPr>
        <w:keepNext w:val="0"/>
        <w:keepLines w:val="0"/>
        <w:pageBreakBefore w:val="0"/>
        <w:widowControl w:val="0"/>
        <w:kinsoku/>
        <w:wordWrap/>
        <w:overflowPunct/>
        <w:topLinePunct w:val="0"/>
        <w:autoSpaceDE/>
        <w:autoSpaceDN/>
        <w:bidi w:val="0"/>
        <w:spacing w:line="60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根据部门职责定位和各项工作履职情况进行综合评价，2023年度市信访局整体支出绩效评价得分100分，综合绩效评价等级为优秀。</w:t>
      </w:r>
    </w:p>
    <w:p>
      <w:pPr>
        <w:keepNext w:val="0"/>
        <w:keepLines w:val="0"/>
        <w:pageBreakBefore w:val="0"/>
        <w:widowControl w:val="0"/>
        <w:kinsoku/>
        <w:wordWrap/>
        <w:overflowPunct/>
        <w:topLinePunct w:val="0"/>
        <w:autoSpaceDE/>
        <w:autoSpaceDN/>
        <w:bidi w:val="0"/>
        <w:spacing w:line="60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（一）存在的主要问题</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2023年，市信访局整体支出综合绩效评价等级为优秀，但仍存在待完善的地方，主要是预算编制的精准性还要进一步提高。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（二）针对问题提出具体的改进措施或建议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rPr>
        <w:t> </w:t>
      </w:r>
      <w:r>
        <w:rPr>
          <w:rFonts w:hint="eastAsia" w:ascii="仿宋_GB2312" w:hAnsi="仿宋_GB2312" w:eastAsia="仿宋_GB2312" w:cs="仿宋_GB2312"/>
          <w:kern w:val="2"/>
          <w:sz w:val="32"/>
          <w:szCs w:val="32"/>
          <w:lang w:val="en-US" w:eastAsia="zh-CN" w:bidi="ar-SA"/>
        </w:rPr>
        <w:t>针对绩效自评中发现的问题，下一步我局将从以下方面予以改进。一是加强组织领导。加强对项目工作的全面领导，便于及时发现项目运行过程中出现的问题并加以改进。二是专款专用。完善相关制度文件，严格按照有关规定，做到专款专用，确保项目工作顺利开展。三是加强监督。对日常工作加强规范和监督，防止在项目执行过程中出现偏差。四是加强预算编制。确保预算编制更加科学精准。</w:t>
      </w:r>
    </w:p>
    <w:p>
      <w:pPr>
        <w:pStyle w:val="4"/>
        <w:keepNext w:val="0"/>
        <w:keepLines w:val="0"/>
        <w:pageBreakBefore w:val="0"/>
        <w:widowControl w:val="0"/>
        <w:kinsoku/>
        <w:wordWrap/>
        <w:overflowPunct/>
        <w:topLinePunct w:val="0"/>
        <w:autoSpaceDE/>
        <w:autoSpaceDN/>
        <w:bidi w:val="0"/>
        <w:spacing w:line="600" w:lineRule="exac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jc w:val="right"/>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pStyle w:val="5"/>
        <w:keepNext w:val="0"/>
        <w:keepLines w:val="0"/>
        <w:pageBreakBefore w:val="0"/>
        <w:widowControl w:val="0"/>
        <w:kinsoku/>
        <w:wordWrap/>
        <w:overflowPunct/>
        <w:topLinePunct w:val="0"/>
        <w:autoSpaceDE/>
        <w:autoSpaceDN/>
        <w:bidi w:val="0"/>
        <w:spacing w:line="600" w:lineRule="exact"/>
        <w:textAlignment w:val="auto"/>
        <w:rPr>
          <w:rFonts w:hint="eastAsia" w:ascii="仿宋_GB2312" w:hAnsi="仿宋_GB2312" w:eastAsia="仿宋_GB2312" w:cs="仿宋_GB2312"/>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pStyle w:val="5"/>
        <w:keepNext w:val="0"/>
        <w:keepLines w:val="0"/>
        <w:pageBreakBefore w:val="0"/>
        <w:widowControl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auto"/>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textAlignment w:val="auto"/>
        <w:outlineLvl w:val="9"/>
        <w:rPr>
          <w:rFonts w:hint="eastAsia" w:ascii="黑体" w:hAnsi="黑体" w:eastAsia="黑体" w:cs="黑体"/>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Chars="200" w:right="0" w:rightChars="0"/>
        <w:textAlignment w:val="auto"/>
        <w:outlineLvl w:val="9"/>
        <w:rPr>
          <w:rFonts w:hint="eastAsia" w:ascii="黑体" w:hAnsi="黑体" w:eastAsia="黑体" w:cs="黑体"/>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Chars="20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评价工作组人员名单（姓名、工作单位、职务、职称）</w:t>
      </w:r>
    </w:p>
    <w:p>
      <w:pPr>
        <w:pStyle w:val="9"/>
        <w:keepNext w:val="0"/>
        <w:keepLines w:val="0"/>
        <w:pageBreakBefore w:val="0"/>
        <w:widowControl w:val="0"/>
        <w:numPr>
          <w:ilvl w:val="0"/>
          <w:numId w:val="0"/>
        </w:numPr>
        <w:kinsoku/>
        <w:wordWrap/>
        <w:overflowPunct/>
        <w:topLinePunct w:val="0"/>
        <w:autoSpaceDE/>
        <w:autoSpaceDN/>
        <w:bidi w:val="0"/>
        <w:spacing w:line="600" w:lineRule="exact"/>
        <w:jc w:val="both"/>
        <w:textAlignment w:val="auto"/>
        <w:rPr>
          <w:rFonts w:hint="default" w:eastAsia="宋体"/>
          <w:lang w:val="en-US" w:eastAsia="zh-CN"/>
        </w:rPr>
      </w:pPr>
      <w:r>
        <w:rPr>
          <w:rFonts w:hint="eastAsia"/>
          <w:lang w:val="en-US" w:eastAsia="zh-CN"/>
        </w:rPr>
        <w:t xml:space="preserve">    </w:t>
      </w:r>
    </w:p>
    <w:tbl>
      <w:tblPr>
        <w:tblStyle w:val="10"/>
        <w:tblW w:w="89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41"/>
        <w:gridCol w:w="2227"/>
        <w:gridCol w:w="45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2241"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姓  名</w:t>
            </w:r>
          </w:p>
        </w:tc>
        <w:tc>
          <w:tcPr>
            <w:tcW w:w="2227" w:type="dxa"/>
            <w:noWrap w:val="0"/>
            <w:vAlign w:val="center"/>
          </w:tcPr>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工作单位</w:t>
            </w:r>
          </w:p>
        </w:tc>
        <w:tc>
          <w:tcPr>
            <w:tcW w:w="4512" w:type="dxa"/>
            <w:noWrap w:val="0"/>
            <w:vAlign w:val="center"/>
          </w:tcPr>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职  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2241"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吕</w:t>
            </w:r>
            <w:r>
              <w:rPr>
                <w:rFonts w:hint="eastAsia" w:ascii="仿宋_GB2312" w:hAnsi="宋体" w:eastAsia="仿宋_GB2312"/>
                <w:sz w:val="28"/>
                <w:szCs w:val="28"/>
                <w:highlight w:val="none"/>
                <w:lang w:val="en-US" w:eastAsia="zh-CN"/>
              </w:rPr>
              <w:t xml:space="preserve">  </w:t>
            </w:r>
            <w:r>
              <w:rPr>
                <w:rFonts w:hint="eastAsia" w:ascii="仿宋_GB2312" w:hAnsi="宋体" w:eastAsia="仿宋_GB2312"/>
                <w:sz w:val="28"/>
                <w:szCs w:val="28"/>
                <w:highlight w:val="none"/>
                <w:lang w:eastAsia="zh-CN"/>
              </w:rPr>
              <w:t>宁</w:t>
            </w:r>
          </w:p>
        </w:tc>
        <w:tc>
          <w:tcPr>
            <w:tcW w:w="2227" w:type="dxa"/>
            <w:noWrap w:val="0"/>
            <w:vAlign w:val="center"/>
          </w:tcPr>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石家庄市信访局</w:t>
            </w:r>
          </w:p>
        </w:tc>
        <w:tc>
          <w:tcPr>
            <w:tcW w:w="4512"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2241"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曹玉欣</w:t>
            </w:r>
          </w:p>
        </w:tc>
        <w:tc>
          <w:tcPr>
            <w:tcW w:w="2227" w:type="dxa"/>
            <w:noWrap w:val="0"/>
            <w:vAlign w:val="center"/>
          </w:tcPr>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石家庄市信访局</w:t>
            </w:r>
          </w:p>
        </w:tc>
        <w:tc>
          <w:tcPr>
            <w:tcW w:w="4512"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2241"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白玉松</w:t>
            </w:r>
          </w:p>
        </w:tc>
        <w:tc>
          <w:tcPr>
            <w:tcW w:w="2227" w:type="dxa"/>
            <w:noWrap w:val="0"/>
            <w:vAlign w:val="center"/>
          </w:tcPr>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石家庄市信访局</w:t>
            </w:r>
          </w:p>
        </w:tc>
        <w:tc>
          <w:tcPr>
            <w:tcW w:w="4512"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仿宋_GB2312" w:hAnsi="宋体" w:eastAsia="仿宋_GB2312" w:cs="黑体"/>
                <w:kern w:val="2"/>
                <w:sz w:val="28"/>
                <w:szCs w:val="28"/>
                <w:highlight w:val="none"/>
                <w:lang w:val="en-US" w:eastAsia="zh-CN" w:bidi="ar-SA"/>
              </w:rPr>
            </w:pPr>
            <w:r>
              <w:rPr>
                <w:rFonts w:hint="eastAsia" w:ascii="仿宋_GB2312" w:hAnsi="宋体" w:eastAsia="仿宋_GB2312" w:cs="黑体"/>
                <w:kern w:val="2"/>
                <w:sz w:val="28"/>
                <w:szCs w:val="28"/>
                <w:highlight w:val="none"/>
                <w:lang w:val="en-US" w:eastAsia="zh-CN" w:bidi="ar-SA"/>
              </w:rPr>
              <w:t>党总支四级主任科员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2241"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田</w:t>
            </w:r>
            <w:r>
              <w:rPr>
                <w:rFonts w:hint="eastAsia" w:ascii="仿宋_GB2312" w:hAnsi="宋体" w:eastAsia="仿宋_GB2312"/>
                <w:sz w:val="28"/>
                <w:szCs w:val="28"/>
                <w:highlight w:val="none"/>
                <w:lang w:val="en-US" w:eastAsia="zh-CN"/>
              </w:rPr>
              <w:t xml:space="preserve">  </w:t>
            </w:r>
            <w:r>
              <w:rPr>
                <w:rFonts w:hint="eastAsia" w:ascii="仿宋_GB2312" w:hAnsi="宋体" w:eastAsia="仿宋_GB2312"/>
                <w:sz w:val="28"/>
                <w:szCs w:val="28"/>
                <w:highlight w:val="none"/>
                <w:lang w:eastAsia="zh-CN"/>
              </w:rPr>
              <w:t>资</w:t>
            </w:r>
          </w:p>
        </w:tc>
        <w:tc>
          <w:tcPr>
            <w:tcW w:w="2227" w:type="dxa"/>
            <w:noWrap w:val="0"/>
            <w:vAlign w:val="center"/>
          </w:tcPr>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仿宋_GB2312" w:hAnsi="宋体" w:eastAsia="仿宋_GB2312"/>
                <w:sz w:val="28"/>
                <w:szCs w:val="28"/>
                <w:highlight w:val="none"/>
                <w:lang w:eastAsia="zh-CN"/>
              </w:rPr>
            </w:pPr>
            <w:r>
              <w:rPr>
                <w:rFonts w:hint="eastAsia" w:ascii="仿宋_GB2312" w:hAnsi="宋体" w:eastAsia="仿宋_GB2312"/>
                <w:sz w:val="28"/>
                <w:szCs w:val="28"/>
                <w:highlight w:val="none"/>
                <w:lang w:eastAsia="zh-CN"/>
              </w:rPr>
              <w:t>石家庄市信访局</w:t>
            </w:r>
          </w:p>
        </w:tc>
        <w:tc>
          <w:tcPr>
            <w:tcW w:w="4512" w:type="dxa"/>
            <w:noWrap w:val="0"/>
            <w:vAlign w:val="center"/>
          </w:tcPr>
          <w:p>
            <w:pPr>
              <w:keepNext w:val="0"/>
              <w:keepLines w:val="0"/>
              <w:pageBreakBefore w:val="0"/>
              <w:widowControl w:val="0"/>
              <w:tabs>
                <w:tab w:val="left" w:pos="592"/>
              </w:tabs>
              <w:kinsoku/>
              <w:wordWrap/>
              <w:overflowPunct/>
              <w:topLinePunct w:val="0"/>
              <w:autoSpaceDE/>
              <w:autoSpaceDN/>
              <w:bidi w:val="0"/>
              <w:spacing w:line="600" w:lineRule="exact"/>
              <w:jc w:val="center"/>
              <w:textAlignment w:val="auto"/>
              <w:rPr>
                <w:rFonts w:hint="eastAsia" w:ascii="仿宋_GB2312" w:hAnsi="宋体" w:eastAsia="仿宋_GB2312" w:cs="黑体"/>
                <w:kern w:val="2"/>
                <w:sz w:val="28"/>
                <w:szCs w:val="28"/>
                <w:highlight w:val="none"/>
                <w:lang w:val="en-US" w:eastAsia="zh-CN" w:bidi="ar-SA"/>
              </w:rPr>
            </w:pPr>
            <w:r>
              <w:rPr>
                <w:rFonts w:hint="eastAsia" w:ascii="仿宋_GB2312" w:hAnsi="宋体" w:eastAsia="仿宋_GB2312" w:cs="黑体"/>
                <w:kern w:val="2"/>
                <w:sz w:val="28"/>
                <w:szCs w:val="28"/>
                <w:highlight w:val="none"/>
                <w:lang w:val="en-US" w:eastAsia="zh-CN" w:bidi="ar-SA"/>
              </w:rPr>
              <w:t>办公室一级科员</w:t>
            </w:r>
          </w:p>
        </w:tc>
      </w:tr>
    </w:tbl>
    <w:p>
      <w:pPr>
        <w:pStyle w:val="9"/>
        <w:keepNext w:val="0"/>
        <w:keepLines w:val="0"/>
        <w:pageBreakBefore w:val="0"/>
        <w:widowControl w:val="0"/>
        <w:numPr>
          <w:ilvl w:val="0"/>
          <w:numId w:val="0"/>
        </w:numPr>
        <w:kinsoku/>
        <w:wordWrap/>
        <w:overflowPunct/>
        <w:topLinePunct w:val="0"/>
        <w:autoSpaceDE/>
        <w:autoSpaceDN/>
        <w:bidi w:val="0"/>
        <w:spacing w:line="600" w:lineRule="exact"/>
        <w:jc w:val="right"/>
        <w:textAlignment w:val="auto"/>
        <w:rPr>
          <w:rFonts w:hint="default" w:eastAsia="宋体"/>
          <w:lang w:val="en-US" w:eastAsia="zh-CN"/>
        </w:rPr>
      </w:pPr>
    </w:p>
    <w:p>
      <w:pPr>
        <w:rPr>
          <w:rFonts w:hint="default" w:eastAsia="宋体"/>
          <w:lang w:val="en-US" w:eastAsia="zh-CN"/>
        </w:rPr>
      </w:pPr>
    </w:p>
    <w:p>
      <w:pPr>
        <w:pStyle w:val="2"/>
        <w:rPr>
          <w:rFonts w:hint="default"/>
          <w:lang w:val="en-US" w:eastAsia="zh-CN"/>
        </w:rPr>
      </w:pPr>
    </w:p>
    <w:p>
      <w:pPr>
        <w:keepNext w:val="0"/>
        <w:keepLines w:val="0"/>
        <w:pageBreakBefore w:val="0"/>
        <w:widowControl w:val="0"/>
        <w:kinsoku/>
        <w:wordWrap w:val="0"/>
        <w:overflowPunct/>
        <w:topLinePunct w:val="0"/>
        <w:autoSpaceDE/>
        <w:autoSpaceDN/>
        <w:bidi w:val="0"/>
        <w:adjustRightInd w:val="0"/>
        <w:snapToGrid w:val="0"/>
        <w:spacing w:line="600" w:lineRule="exact"/>
        <w:ind w:left="0" w:leftChars="0" w:right="0" w:firstLine="640" w:firstLineChars="200"/>
        <w:jc w:val="right"/>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石家庄市信访局    </w:t>
      </w:r>
    </w:p>
    <w:p>
      <w:pPr>
        <w:keepNext w:val="0"/>
        <w:keepLines w:val="0"/>
        <w:pageBreakBefore w:val="0"/>
        <w:widowControl w:val="0"/>
        <w:kinsoku/>
        <w:wordWrap w:val="0"/>
        <w:overflowPunct/>
        <w:topLinePunct w:val="0"/>
        <w:autoSpaceDE/>
        <w:autoSpaceDN/>
        <w:bidi w:val="0"/>
        <w:adjustRightInd w:val="0"/>
        <w:snapToGrid w:val="0"/>
        <w:spacing w:line="600" w:lineRule="exact"/>
        <w:ind w:left="0" w:leftChars="0" w:right="0" w:firstLine="640" w:firstLineChars="200"/>
        <w:jc w:val="right"/>
        <w:textAlignment w:val="auto"/>
        <w:outlineLvl w:val="9"/>
        <w:rPr>
          <w:rFonts w:ascii="仿宋" w:hAnsi="仿宋" w:eastAsia="仿宋"/>
        </w:rPr>
      </w:pPr>
      <w:r>
        <w:rPr>
          <w:rFonts w:hint="eastAsia" w:ascii="仿宋_GB2312" w:hAnsi="仿宋_GB2312" w:eastAsia="仿宋_GB2312" w:cs="仿宋_GB2312"/>
          <w:sz w:val="32"/>
          <w:szCs w:val="32"/>
          <w:lang w:val="en-US" w:eastAsia="zh-CN"/>
        </w:rPr>
        <w:t xml:space="preserve">           2024年4月19日   </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auto"/>
    <w:pitch w:val="default"/>
    <w:sig w:usb0="00000001" w:usb1="08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mEwOWZiOTdmNmRjOGY4MDBiMGZhYmZiNjYwZDlhYWYifQ=="/>
  </w:docVars>
  <w:rsids>
    <w:rsidRoot w:val="0EBD2122"/>
    <w:rsid w:val="007E6C1F"/>
    <w:rsid w:val="00AF566A"/>
    <w:rsid w:val="00B6553A"/>
    <w:rsid w:val="01B104CA"/>
    <w:rsid w:val="02106AB0"/>
    <w:rsid w:val="029167E5"/>
    <w:rsid w:val="02B43A28"/>
    <w:rsid w:val="046F331E"/>
    <w:rsid w:val="060F2843"/>
    <w:rsid w:val="06913258"/>
    <w:rsid w:val="0717375D"/>
    <w:rsid w:val="07342561"/>
    <w:rsid w:val="07956271"/>
    <w:rsid w:val="08B9254E"/>
    <w:rsid w:val="09721397"/>
    <w:rsid w:val="09F65631"/>
    <w:rsid w:val="0A173A74"/>
    <w:rsid w:val="0AEF054D"/>
    <w:rsid w:val="0BB63BED"/>
    <w:rsid w:val="0C5745FC"/>
    <w:rsid w:val="0D0838EA"/>
    <w:rsid w:val="0E440BB0"/>
    <w:rsid w:val="0EB97A43"/>
    <w:rsid w:val="0EBD2122"/>
    <w:rsid w:val="0F214EAE"/>
    <w:rsid w:val="0F224E4A"/>
    <w:rsid w:val="100B7BD7"/>
    <w:rsid w:val="11270A41"/>
    <w:rsid w:val="112922C9"/>
    <w:rsid w:val="11B71E6A"/>
    <w:rsid w:val="120C7C36"/>
    <w:rsid w:val="12DC57BA"/>
    <w:rsid w:val="1488058A"/>
    <w:rsid w:val="148B12E6"/>
    <w:rsid w:val="14B24AC5"/>
    <w:rsid w:val="18455C50"/>
    <w:rsid w:val="18A40BC9"/>
    <w:rsid w:val="192B4E46"/>
    <w:rsid w:val="1968609A"/>
    <w:rsid w:val="19C808E7"/>
    <w:rsid w:val="19D640A0"/>
    <w:rsid w:val="19F34569"/>
    <w:rsid w:val="1AAF0063"/>
    <w:rsid w:val="1ACD08AB"/>
    <w:rsid w:val="1B32070E"/>
    <w:rsid w:val="1BE140DE"/>
    <w:rsid w:val="1CD001DE"/>
    <w:rsid w:val="1E23051F"/>
    <w:rsid w:val="20225213"/>
    <w:rsid w:val="20564E9E"/>
    <w:rsid w:val="21AA4FFA"/>
    <w:rsid w:val="22097CEF"/>
    <w:rsid w:val="22F34A52"/>
    <w:rsid w:val="248C197D"/>
    <w:rsid w:val="252959AF"/>
    <w:rsid w:val="25897AC4"/>
    <w:rsid w:val="26774667"/>
    <w:rsid w:val="26BB5A5B"/>
    <w:rsid w:val="277A6671"/>
    <w:rsid w:val="287942F3"/>
    <w:rsid w:val="291C5D93"/>
    <w:rsid w:val="292D35B7"/>
    <w:rsid w:val="29874697"/>
    <w:rsid w:val="2A306760"/>
    <w:rsid w:val="2ACF23EA"/>
    <w:rsid w:val="2D572256"/>
    <w:rsid w:val="2F164660"/>
    <w:rsid w:val="329C31F7"/>
    <w:rsid w:val="32E77BD8"/>
    <w:rsid w:val="33EB6CFF"/>
    <w:rsid w:val="34DD1293"/>
    <w:rsid w:val="34F30AB6"/>
    <w:rsid w:val="35150A2C"/>
    <w:rsid w:val="359B1174"/>
    <w:rsid w:val="35A12947"/>
    <w:rsid w:val="35E0728C"/>
    <w:rsid w:val="36CF10AF"/>
    <w:rsid w:val="37387040"/>
    <w:rsid w:val="38080C42"/>
    <w:rsid w:val="39C45130"/>
    <w:rsid w:val="3A4F49E1"/>
    <w:rsid w:val="3B625C0A"/>
    <w:rsid w:val="3BEE0229"/>
    <w:rsid w:val="3C90308E"/>
    <w:rsid w:val="3CEE1963"/>
    <w:rsid w:val="3D114287"/>
    <w:rsid w:val="3DC6484E"/>
    <w:rsid w:val="3EC51715"/>
    <w:rsid w:val="3EE3321B"/>
    <w:rsid w:val="401F09B1"/>
    <w:rsid w:val="40476D46"/>
    <w:rsid w:val="40866C82"/>
    <w:rsid w:val="413761CE"/>
    <w:rsid w:val="41874A60"/>
    <w:rsid w:val="44156301"/>
    <w:rsid w:val="486A0C38"/>
    <w:rsid w:val="497A30FC"/>
    <w:rsid w:val="49836956"/>
    <w:rsid w:val="4AE922E8"/>
    <w:rsid w:val="4C290139"/>
    <w:rsid w:val="4C9C27FE"/>
    <w:rsid w:val="4D53613E"/>
    <w:rsid w:val="4E686959"/>
    <w:rsid w:val="4F960564"/>
    <w:rsid w:val="4FE5498F"/>
    <w:rsid w:val="50B412E2"/>
    <w:rsid w:val="512260B4"/>
    <w:rsid w:val="52BD6ACB"/>
    <w:rsid w:val="542720D3"/>
    <w:rsid w:val="548E7BE3"/>
    <w:rsid w:val="54E12281"/>
    <w:rsid w:val="55537534"/>
    <w:rsid w:val="55647801"/>
    <w:rsid w:val="561A74F1"/>
    <w:rsid w:val="56530F5D"/>
    <w:rsid w:val="58FA7DB6"/>
    <w:rsid w:val="597244E8"/>
    <w:rsid w:val="59973856"/>
    <w:rsid w:val="5C8005D2"/>
    <w:rsid w:val="5D062910"/>
    <w:rsid w:val="5EB71C30"/>
    <w:rsid w:val="5F8F0953"/>
    <w:rsid w:val="5F930CBD"/>
    <w:rsid w:val="604D09BB"/>
    <w:rsid w:val="60BF5B6D"/>
    <w:rsid w:val="62F14315"/>
    <w:rsid w:val="66AF0CE5"/>
    <w:rsid w:val="672A3F31"/>
    <w:rsid w:val="68702F2E"/>
    <w:rsid w:val="68E1064A"/>
    <w:rsid w:val="6A333127"/>
    <w:rsid w:val="6AC537CF"/>
    <w:rsid w:val="6B0817B8"/>
    <w:rsid w:val="6B0C2534"/>
    <w:rsid w:val="6BC35DDB"/>
    <w:rsid w:val="6CCF200D"/>
    <w:rsid w:val="6D3225A4"/>
    <w:rsid w:val="6DEC3D19"/>
    <w:rsid w:val="6E5B14A6"/>
    <w:rsid w:val="6E740F38"/>
    <w:rsid w:val="6FB34015"/>
    <w:rsid w:val="711B255E"/>
    <w:rsid w:val="72541E8D"/>
    <w:rsid w:val="727D297F"/>
    <w:rsid w:val="74D073B8"/>
    <w:rsid w:val="751F49D4"/>
    <w:rsid w:val="75DA08FB"/>
    <w:rsid w:val="762229CE"/>
    <w:rsid w:val="762D68FF"/>
    <w:rsid w:val="77880C56"/>
    <w:rsid w:val="7874264D"/>
    <w:rsid w:val="79A454A8"/>
    <w:rsid w:val="79B31B8F"/>
    <w:rsid w:val="7B98103C"/>
    <w:rsid w:val="7BB51E06"/>
    <w:rsid w:val="7C2D5C29"/>
    <w:rsid w:val="7C387F7C"/>
    <w:rsid w:val="7C8A0A8D"/>
    <w:rsid w:val="7FE83423"/>
    <w:rsid w:val="7FF0769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1">
    <w:name w:val="Default Paragraph Font"/>
    <w:unhideWhenUsed/>
    <w:qFormat/>
    <w:uiPriority w:val="1"/>
  </w:style>
  <w:style w:type="table" w:default="1" w:styleId="10">
    <w:name w:val="Normal Table"/>
    <w:autoRedefine/>
    <w:unhideWhenUsed/>
    <w:qFormat/>
    <w:uiPriority w:val="99"/>
    <w:tblPr>
      <w:tblCellMar>
        <w:top w:w="0" w:type="dxa"/>
        <w:left w:w="108" w:type="dxa"/>
        <w:bottom w:w="0" w:type="dxa"/>
        <w:right w:w="108" w:type="dxa"/>
      </w:tblCellMar>
    </w:tblPr>
  </w:style>
  <w:style w:type="paragraph" w:styleId="2">
    <w:name w:val="Body Text First Indent 2"/>
    <w:basedOn w:val="3"/>
    <w:autoRedefine/>
    <w:unhideWhenUsed/>
    <w:qFormat/>
    <w:uiPriority w:val="99"/>
    <w:pPr>
      <w:ind w:firstLine="420" w:firstLineChars="200"/>
    </w:pPr>
  </w:style>
  <w:style w:type="paragraph" w:styleId="3">
    <w:name w:val="Body Text Indent"/>
    <w:basedOn w:val="1"/>
    <w:next w:val="4"/>
    <w:autoRedefine/>
    <w:unhideWhenUsed/>
    <w:qFormat/>
    <w:uiPriority w:val="99"/>
    <w:pPr>
      <w:ind w:firstLine="630"/>
    </w:pPr>
    <w:rPr>
      <w:rFonts w:eastAsia="黑体" w:cs="黑体"/>
      <w:sz w:val="32"/>
    </w:rPr>
  </w:style>
  <w:style w:type="paragraph" w:styleId="4">
    <w:name w:val="Normal Indent"/>
    <w:basedOn w:val="1"/>
    <w:next w:val="5"/>
    <w:autoRedefine/>
    <w:qFormat/>
    <w:uiPriority w:val="0"/>
    <w:pPr>
      <w:ind w:firstLine="420" w:firstLineChars="200"/>
    </w:pPr>
  </w:style>
  <w:style w:type="paragraph" w:styleId="5">
    <w:name w:val="Subtitle"/>
    <w:basedOn w:val="1"/>
    <w:autoRedefine/>
    <w:qFormat/>
    <w:uiPriority w:val="0"/>
    <w:pPr>
      <w:spacing w:line="700" w:lineRule="exact"/>
      <w:jc w:val="center"/>
      <w:outlineLvl w:val="1"/>
    </w:pPr>
    <w:rPr>
      <w:rFonts w:ascii="Arial" w:hAnsi="Arial" w:eastAsia="方正小标宋简体" w:cs="Arial"/>
      <w:b/>
      <w:bCs/>
      <w:kern w:val="28"/>
      <w:sz w:val="44"/>
      <w:szCs w:val="4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Normal (Web)"/>
    <w:basedOn w:val="1"/>
    <w:autoRedefine/>
    <w:unhideWhenUsed/>
    <w:qFormat/>
    <w:uiPriority w:val="99"/>
    <w:pPr>
      <w:widowControl/>
      <w:spacing w:before="100" w:beforeAutospacing="1" w:after="100" w:afterAutospacing="1"/>
      <w:jc w:val="left"/>
    </w:pPr>
    <w:rPr>
      <w:rFonts w:ascii="宋体" w:hAnsi="宋体" w:cs="宋体"/>
      <w:kern w:val="0"/>
      <w:sz w:val="24"/>
    </w:rPr>
  </w:style>
  <w:style w:type="paragraph" w:styleId="9">
    <w:name w:val="index 1"/>
    <w:basedOn w:val="1"/>
    <w:next w:val="1"/>
    <w:autoRedefine/>
    <w:qFormat/>
    <w:uiPriority w:val="0"/>
    <w:pPr>
      <w:spacing w:line="580" w:lineRule="exact"/>
      <w:ind w:firstLine="640" w:firstLineChars="200"/>
    </w:pPr>
    <w:rPr>
      <w:rFonts w:ascii="仿宋_GB2312"/>
      <w:kern w:val="0"/>
      <w:szCs w:val="32"/>
    </w:rPr>
  </w:style>
  <w:style w:type="paragraph" w:customStyle="1" w:styleId="12">
    <w:name w:val="插入文本样式-插入部门职责文件"/>
    <w:basedOn w:val="1"/>
    <w:autoRedefine/>
    <w:qFormat/>
    <w:uiPriority w:val="99"/>
    <w:pPr>
      <w:spacing w:line="500" w:lineRule="exact"/>
      <w:ind w:firstLine="560"/>
    </w:pPr>
    <w:rPr>
      <w:rFonts w:eastAsia="方正仿宋_GBK"/>
      <w:sz w:val="28"/>
    </w:rPr>
  </w:style>
  <w:style w:type="paragraph" w:customStyle="1" w:styleId="13">
    <w:name w:val="单元格样式1"/>
    <w:basedOn w:val="1"/>
    <w:autoRedefine/>
    <w:qFormat/>
    <w:uiPriority w:val="99"/>
    <w:pPr>
      <w:jc w:val="center"/>
    </w:pPr>
    <w:rPr>
      <w:rFonts w:ascii="方正书宋_GBK" w:hAnsi="方正书宋_GBK" w:eastAsia="方正书宋_GBK" w:cs="方正书宋_GBK"/>
      <w:b/>
      <w:sz w:val="21"/>
    </w:rPr>
  </w:style>
  <w:style w:type="paragraph" w:customStyle="1" w:styleId="14">
    <w:name w:val="单元格样式2"/>
    <w:basedOn w:val="1"/>
    <w:autoRedefine/>
    <w:qFormat/>
    <w:uiPriority w:val="99"/>
    <w:rPr>
      <w:rFonts w:ascii="方正书宋_GBK" w:hAnsi="方正书宋_GBK" w:eastAsia="方正书宋_GBK" w:cs="方正书宋_GBK"/>
      <w:sz w:val="21"/>
    </w:rPr>
  </w:style>
  <w:style w:type="paragraph" w:customStyle="1" w:styleId="15">
    <w:name w:val="单元格样式3"/>
    <w:basedOn w:val="1"/>
    <w:autoRedefine/>
    <w:qFormat/>
    <w:uiPriority w:val="99"/>
    <w:pPr>
      <w:jc w:val="center"/>
    </w:pPr>
    <w:rPr>
      <w:rFonts w:ascii="方正书宋_GBK" w:hAnsi="方正书宋_GBK" w:eastAsia="方正书宋_GBK" w:cs="方正书宋_GBK"/>
      <w:sz w:val="21"/>
    </w:rPr>
  </w:style>
  <w:style w:type="paragraph" w:customStyle="1" w:styleId="16">
    <w:name w:val="单元格样式20"/>
    <w:basedOn w:val="1"/>
    <w:qFormat/>
    <w:uiPriority w:val="99"/>
    <w:rPr>
      <w:rFonts w:ascii="方正小标宋_GBK" w:hAnsi="方正小标宋_GBK" w:eastAsia="方正小标宋_GBK" w:cs="方正小标宋_GBK"/>
    </w:rPr>
  </w:style>
  <w:style w:type="paragraph" w:customStyle="1" w:styleId="17">
    <w:name w:val="单元格样式22"/>
    <w:basedOn w:val="1"/>
    <w:autoRedefine/>
    <w:qFormat/>
    <w:uiPriority w:val="99"/>
    <w:pPr>
      <w:jc w:val="right"/>
    </w:pPr>
    <w:rPr>
      <w:rFonts w:ascii="方正小标宋_GBK" w:hAnsi="方正小标宋_GBK" w:eastAsia="方正小标宋_GBK" w:cs="方正小标宋_GBK"/>
    </w:rPr>
  </w:style>
  <w:style w:type="paragraph" w:customStyle="1" w:styleId="18">
    <w:name w:val="正文 New New"/>
    <w:autoRedefine/>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9">
    <w:name w:val="插入文本样式-插入总体目标文件"/>
    <w:basedOn w:val="1"/>
    <w:autoRedefine/>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3517</Words>
  <Characters>3635</Characters>
  <Lines>7</Lines>
  <Paragraphs>2</Paragraphs>
  <TotalTime>6</TotalTime>
  <ScaleCrop>false</ScaleCrop>
  <LinksUpToDate>false</LinksUpToDate>
  <CharactersWithSpaces>3747</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天镜的极北</cp:lastModifiedBy>
  <cp:lastPrinted>2023-04-19T10:53:00Z</cp:lastPrinted>
  <dcterms:modified xsi:type="dcterms:W3CDTF">2024-05-20T06:53:09Z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AE971D945FB34226A35B027595E3E7BC</vt:lpwstr>
  </property>
</Properties>
</file>