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仿宋" w:hAnsi="仿宋" w:eastAsia="仿宋" w:cs="仿宋"/>
          <w:sz w:val="32"/>
          <w:szCs w:val="32"/>
        </w:rPr>
      </w:pPr>
    </w:p>
    <w:p>
      <w:pPr>
        <w:spacing w:line="360" w:lineRule="auto"/>
        <w:jc w:val="center"/>
        <w:rPr>
          <w:rFonts w:ascii="仿宋" w:hAnsi="仿宋" w:eastAsia="仿宋" w:cs="仿宋"/>
          <w:sz w:val="32"/>
          <w:szCs w:val="32"/>
        </w:rPr>
      </w:pPr>
    </w:p>
    <w:p>
      <w:pPr>
        <w:spacing w:line="360" w:lineRule="auto"/>
        <w:jc w:val="center"/>
        <w:rPr>
          <w:rFonts w:ascii="仿宋" w:hAnsi="仿宋" w:eastAsia="仿宋" w:cs="仿宋"/>
          <w:sz w:val="32"/>
          <w:szCs w:val="32"/>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jc w:val="center"/>
        <w:textAlignment w:val="auto"/>
        <w:outlineLvl w:val="9"/>
        <w:rPr>
          <w:rFonts w:hint="eastAsia" w:ascii="宋体" w:hAnsi="宋体" w:eastAsia="宋体" w:cs="宋体"/>
          <w:b/>
          <w:bCs/>
          <w:sz w:val="44"/>
          <w:szCs w:val="44"/>
          <w:highlight w:val="none"/>
          <w:lang w:val="en-US" w:eastAsia="zh-CN"/>
        </w:rPr>
      </w:pPr>
      <w:bookmarkStart w:id="0" w:name="_Toc11295"/>
      <w:bookmarkStart w:id="1" w:name="_Toc31448"/>
      <w:r>
        <w:rPr>
          <w:rFonts w:hint="eastAsia" w:ascii="宋体" w:hAnsi="宋体" w:eastAsia="宋体" w:cs="宋体"/>
          <w:b/>
          <w:bCs/>
          <w:sz w:val="44"/>
          <w:szCs w:val="44"/>
          <w:highlight w:val="none"/>
          <w:lang w:val="en-US" w:eastAsia="zh-CN"/>
        </w:rPr>
        <w:t>石家庄市住房和城乡建设局</w:t>
      </w:r>
      <w:bookmarkEnd w:id="0"/>
      <w:bookmarkEnd w:id="1"/>
    </w:p>
    <w:p>
      <w:pPr>
        <w:keepNext w:val="0"/>
        <w:keepLines w:val="0"/>
        <w:pageBreakBefore w:val="0"/>
        <w:widowControl w:val="0"/>
        <w:kinsoku/>
        <w:wordWrap/>
        <w:overflowPunct/>
        <w:topLinePunct w:val="0"/>
        <w:autoSpaceDE/>
        <w:autoSpaceDN/>
        <w:bidi w:val="0"/>
        <w:adjustRightInd/>
        <w:snapToGrid/>
        <w:spacing w:line="600" w:lineRule="exact"/>
        <w:ind w:left="0" w:leftChars="0" w:right="0"/>
        <w:jc w:val="center"/>
        <w:textAlignment w:val="auto"/>
        <w:outlineLvl w:val="9"/>
        <w:rPr>
          <w:rFonts w:hint="eastAsia" w:ascii="宋体" w:hAnsi="宋体" w:eastAsia="宋体" w:cs="宋体"/>
          <w:b/>
          <w:bCs/>
          <w:sz w:val="44"/>
          <w:szCs w:val="44"/>
          <w:highlight w:val="none"/>
          <w:lang w:val="en-US" w:eastAsia="zh-CN"/>
        </w:rPr>
      </w:pPr>
      <w:bookmarkStart w:id="2" w:name="_Toc24586"/>
      <w:bookmarkStart w:id="3" w:name="_Toc18124"/>
      <w:r>
        <w:rPr>
          <w:rFonts w:hint="eastAsia" w:ascii="宋体" w:hAnsi="宋体" w:eastAsia="宋体" w:cs="宋体"/>
          <w:b/>
          <w:bCs/>
          <w:sz w:val="44"/>
          <w:szCs w:val="44"/>
          <w:highlight w:val="none"/>
          <w:lang w:val="en-US" w:eastAsia="zh-CN"/>
        </w:rPr>
        <w:t>2023年度部门整体支出</w:t>
      </w:r>
      <w:bookmarkEnd w:id="2"/>
      <w:bookmarkEnd w:id="3"/>
    </w:p>
    <w:p>
      <w:pPr>
        <w:keepNext w:val="0"/>
        <w:keepLines w:val="0"/>
        <w:pageBreakBefore w:val="0"/>
        <w:widowControl w:val="0"/>
        <w:kinsoku/>
        <w:wordWrap/>
        <w:overflowPunct/>
        <w:topLinePunct w:val="0"/>
        <w:autoSpaceDE/>
        <w:autoSpaceDN/>
        <w:bidi w:val="0"/>
        <w:adjustRightInd/>
        <w:snapToGrid/>
        <w:spacing w:line="600" w:lineRule="exact"/>
        <w:ind w:left="0" w:leftChars="0" w:right="0"/>
        <w:jc w:val="center"/>
        <w:textAlignment w:val="auto"/>
        <w:outlineLvl w:val="9"/>
        <w:rPr>
          <w:rFonts w:hint="eastAsia" w:ascii="宋体" w:hAnsi="宋体" w:eastAsia="宋体" w:cs="宋体"/>
          <w:b/>
          <w:bCs/>
          <w:sz w:val="44"/>
          <w:szCs w:val="44"/>
          <w:highlight w:val="none"/>
          <w:lang w:val="en-US" w:eastAsia="zh-CN"/>
        </w:rPr>
      </w:pPr>
      <w:bookmarkStart w:id="4" w:name="_Toc31768"/>
      <w:bookmarkStart w:id="5" w:name="_Toc9604"/>
      <w:r>
        <w:rPr>
          <w:rFonts w:hint="eastAsia" w:ascii="宋体" w:hAnsi="宋体" w:eastAsia="宋体" w:cs="宋体"/>
          <w:b/>
          <w:bCs/>
          <w:sz w:val="44"/>
          <w:szCs w:val="44"/>
          <w:highlight w:val="none"/>
          <w:lang w:val="en-US" w:eastAsia="zh-CN"/>
        </w:rPr>
        <w:t>绩效自评报告</w:t>
      </w:r>
      <w:bookmarkEnd w:id="4"/>
      <w:bookmarkEnd w:id="5"/>
    </w:p>
    <w:p>
      <w:pPr>
        <w:spacing w:line="360" w:lineRule="auto"/>
        <w:jc w:val="center"/>
        <w:rPr>
          <w:rFonts w:ascii="方正小标宋简体" w:hAnsi="Calibri" w:eastAsia="方正小标宋简体" w:cs="黑体"/>
          <w:sz w:val="44"/>
          <w:szCs w:val="44"/>
          <w:highlight w:val="none"/>
        </w:rPr>
      </w:pPr>
    </w:p>
    <w:p>
      <w:pPr>
        <w:spacing w:line="360" w:lineRule="auto"/>
        <w:jc w:val="center"/>
        <w:rPr>
          <w:rFonts w:ascii="方正小标宋简体" w:hAnsi="Calibri" w:eastAsia="方正小标宋简体" w:cs="黑体"/>
          <w:sz w:val="44"/>
          <w:szCs w:val="44"/>
          <w:highlight w:val="none"/>
        </w:rPr>
      </w:pPr>
    </w:p>
    <w:p>
      <w:pPr>
        <w:spacing w:line="360" w:lineRule="auto"/>
        <w:jc w:val="center"/>
        <w:rPr>
          <w:rFonts w:ascii="方正小标宋简体" w:hAnsi="Calibri" w:eastAsia="方正小标宋简体" w:cs="黑体"/>
          <w:sz w:val="44"/>
          <w:szCs w:val="44"/>
          <w:highlight w:val="none"/>
        </w:rPr>
      </w:pPr>
    </w:p>
    <w:p>
      <w:pPr>
        <w:spacing w:line="360" w:lineRule="auto"/>
        <w:jc w:val="center"/>
        <w:rPr>
          <w:rFonts w:ascii="方正小标宋简体" w:hAnsi="Calibri" w:eastAsia="方正小标宋简体" w:cs="黑体"/>
          <w:sz w:val="44"/>
          <w:szCs w:val="44"/>
          <w:highlight w:val="none"/>
        </w:rPr>
      </w:pPr>
    </w:p>
    <w:p>
      <w:pPr>
        <w:spacing w:line="360" w:lineRule="auto"/>
        <w:jc w:val="both"/>
        <w:rPr>
          <w:rFonts w:ascii="方正小标宋简体" w:hAnsi="Calibri" w:eastAsia="方正小标宋简体" w:cs="黑体"/>
          <w:sz w:val="44"/>
          <w:szCs w:val="44"/>
          <w:highlight w:val="none"/>
        </w:rPr>
      </w:pPr>
    </w:p>
    <w:p>
      <w:pPr>
        <w:pStyle w:val="5"/>
        <w:ind w:left="0" w:leftChars="0" w:firstLine="0" w:firstLineChars="0"/>
        <w:rPr>
          <w:rFonts w:ascii="方正小标宋简体" w:hAnsi="Calibri" w:eastAsia="方正小标宋简体" w:cs="黑体"/>
          <w:sz w:val="44"/>
          <w:szCs w:val="44"/>
          <w:highlight w:val="none"/>
        </w:rPr>
      </w:pPr>
    </w:p>
    <w:p>
      <w:pPr>
        <w:pStyle w:val="5"/>
        <w:rPr>
          <w:rFonts w:ascii="方正小标宋简体" w:hAnsi="Calibri" w:eastAsia="方正小标宋简体" w:cs="黑体"/>
          <w:sz w:val="44"/>
          <w:szCs w:val="44"/>
          <w:highlight w:val="none"/>
        </w:rPr>
      </w:pPr>
    </w:p>
    <w:p>
      <w:pPr>
        <w:rPr>
          <w:rFonts w:ascii="Calibri" w:hAnsi="Calibri" w:cs="黑体"/>
          <w:szCs w:val="22"/>
          <w:highlight w:val="none"/>
          <w:lang w:val="zh-CN"/>
        </w:rPr>
      </w:pPr>
    </w:p>
    <w:p>
      <w:pPr>
        <w:spacing w:before="240" w:after="60"/>
        <w:jc w:val="center"/>
        <w:rPr>
          <w:rFonts w:ascii="仿宋_GB2312" w:hAnsi="Calibri" w:eastAsia="仿宋_GB2312"/>
          <w:bCs/>
          <w:sz w:val="32"/>
          <w:szCs w:val="20"/>
          <w:highlight w:val="none"/>
          <w:lang w:val="zh-CN"/>
        </w:rPr>
      </w:pPr>
      <w:bookmarkStart w:id="6" w:name="_Toc19745"/>
      <w:bookmarkStart w:id="7" w:name="_Toc493260892"/>
      <w:bookmarkStart w:id="8" w:name="_Toc493694284"/>
      <w:bookmarkStart w:id="9" w:name="_Toc11709"/>
      <w:bookmarkStart w:id="10" w:name="_Toc493260783"/>
      <w:bookmarkStart w:id="11" w:name="_Toc27629"/>
      <w:bookmarkStart w:id="12" w:name="_Toc490646852"/>
      <w:bookmarkStart w:id="13" w:name="_Toc491442033"/>
      <w:bookmarkStart w:id="14" w:name="_Toc493260688"/>
      <w:r>
        <w:rPr>
          <w:rFonts w:ascii="仿宋_GB2312" w:hAnsi="Calibri" w:eastAsia="仿宋_GB2312"/>
          <w:bCs/>
          <w:sz w:val="32"/>
          <w:szCs w:val="20"/>
          <w:highlight w:val="none"/>
          <w:lang w:val="zh-CN"/>
        </w:rPr>
        <w:t>202</w:t>
      </w:r>
      <w:r>
        <w:rPr>
          <w:rFonts w:hint="eastAsia" w:ascii="仿宋_GB2312" w:hAnsi="Calibri" w:eastAsia="仿宋_GB2312"/>
          <w:bCs/>
          <w:sz w:val="32"/>
          <w:szCs w:val="20"/>
          <w:highlight w:val="none"/>
          <w:lang w:val="en-US" w:eastAsia="zh-CN"/>
        </w:rPr>
        <w:t>4</w:t>
      </w:r>
      <w:r>
        <w:rPr>
          <w:rFonts w:hint="eastAsia" w:ascii="仿宋_GB2312" w:hAnsi="Calibri" w:eastAsia="仿宋_GB2312"/>
          <w:bCs/>
          <w:sz w:val="32"/>
          <w:szCs w:val="20"/>
          <w:highlight w:val="none"/>
          <w:lang w:val="zh-CN"/>
        </w:rPr>
        <w:t>年</w:t>
      </w:r>
      <w:r>
        <w:rPr>
          <w:rFonts w:hint="eastAsia" w:ascii="仿宋_GB2312" w:hAnsi="Calibri" w:eastAsia="仿宋_GB2312"/>
          <w:bCs/>
          <w:kern w:val="28"/>
          <w:sz w:val="32"/>
          <w:szCs w:val="20"/>
          <w:highlight w:val="none"/>
          <w:lang w:val="en-US" w:eastAsia="zh-CN"/>
        </w:rPr>
        <w:t>4</w:t>
      </w:r>
      <w:r>
        <w:rPr>
          <w:rFonts w:hint="eastAsia" w:ascii="仿宋_GB2312" w:hAnsi="Calibri" w:eastAsia="仿宋_GB2312"/>
          <w:bCs/>
          <w:sz w:val="32"/>
          <w:szCs w:val="20"/>
          <w:highlight w:val="none"/>
          <w:lang w:val="zh-CN"/>
        </w:rPr>
        <w:t>月</w:t>
      </w:r>
      <w:bookmarkEnd w:id="6"/>
      <w:bookmarkEnd w:id="7"/>
      <w:bookmarkEnd w:id="8"/>
      <w:bookmarkEnd w:id="9"/>
      <w:bookmarkEnd w:id="10"/>
      <w:bookmarkEnd w:id="11"/>
      <w:bookmarkEnd w:id="12"/>
      <w:bookmarkEnd w:id="13"/>
      <w:bookmarkEnd w:id="14"/>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highlight w:val="none"/>
        </w:rPr>
        <w:sectPr>
          <w:footerReference r:id="rId3" w:type="default"/>
          <w:pgSz w:w="11906" w:h="16838"/>
          <w:pgMar w:top="1440" w:right="1474" w:bottom="1440" w:left="1587" w:header="851" w:footer="992" w:gutter="0"/>
          <w:cols w:space="425" w:num="1"/>
          <w:docGrid w:type="lines" w:linePitch="312" w:charSpace="0"/>
        </w:sectPr>
      </w:pPr>
    </w:p>
    <w:sdt>
      <w:sdtPr>
        <w:rPr>
          <w:rFonts w:ascii="宋体" w:hAnsi="宋体" w:eastAsia="宋体" w:cstheme="minorBidi"/>
          <w:b/>
          <w:bCs/>
          <w:kern w:val="2"/>
          <w:sz w:val="36"/>
          <w:szCs w:val="36"/>
          <w:highlight w:val="red"/>
          <w:lang w:val="en-US" w:eastAsia="zh-CN" w:bidi="ar-SA"/>
        </w:rPr>
        <w:id w:val="147478918"/>
        <w15:color w:val="DBDBDB"/>
      </w:sdtPr>
      <w:sdtEndPr>
        <w:rPr>
          <w:rFonts w:hint="eastAsia" w:asciiTheme="minorHAnsi" w:hAnsiTheme="minorHAnsi" w:eastAsiaTheme="minorEastAsia" w:cstheme="minorBidi"/>
          <w:b/>
          <w:bCs/>
          <w:kern w:val="2"/>
          <w:sz w:val="21"/>
          <w:szCs w:val="24"/>
          <w:highlight w:val="red"/>
          <w:lang w:val="en-US" w:eastAsia="zh-CN" w:bidi="ar-SA"/>
        </w:rPr>
      </w:sdtEndPr>
      <w:sdtContent>
        <w:p>
          <w:pPr>
            <w:spacing w:before="0" w:beforeLines="0" w:after="0" w:afterLines="0" w:line="240" w:lineRule="auto"/>
            <w:ind w:left="0" w:leftChars="0" w:right="0" w:rightChars="0" w:firstLine="0" w:firstLineChars="0"/>
            <w:jc w:val="center"/>
            <w:rPr>
              <w:b/>
              <w:bCs/>
              <w:sz w:val="36"/>
              <w:szCs w:val="36"/>
              <w:highlight w:val="red"/>
            </w:rPr>
          </w:pPr>
          <w:r>
            <w:rPr>
              <w:rFonts w:ascii="宋体" w:hAnsi="宋体" w:eastAsia="宋体"/>
              <w:b/>
              <w:bCs/>
              <w:sz w:val="36"/>
              <w:szCs w:val="36"/>
              <w:highlight w:val="none"/>
            </w:rPr>
            <w:t>目</w:t>
          </w:r>
          <w:r>
            <w:rPr>
              <w:rFonts w:hint="eastAsia" w:ascii="宋体" w:hAnsi="宋体" w:eastAsia="宋体"/>
              <w:b/>
              <w:bCs/>
              <w:sz w:val="36"/>
              <w:szCs w:val="36"/>
              <w:highlight w:val="none"/>
              <w:lang w:val="en-US" w:eastAsia="zh-CN"/>
            </w:rPr>
            <w:t xml:space="preserve"> </w:t>
          </w:r>
          <w:r>
            <w:rPr>
              <w:rFonts w:ascii="宋体" w:hAnsi="宋体" w:eastAsia="宋体"/>
              <w:b/>
              <w:bCs/>
              <w:sz w:val="36"/>
              <w:szCs w:val="36"/>
              <w:highlight w:val="none"/>
            </w:rPr>
            <w:t>录</w:t>
          </w:r>
        </w:p>
        <w:p>
          <w:pPr>
            <w:pStyle w:val="9"/>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TOC \o "1-2" \h \u </w:instrText>
          </w:r>
          <w:r>
            <w:rPr>
              <w:rFonts w:hint="eastAsia" w:ascii="黑体" w:hAnsi="黑体" w:eastAsia="黑体" w:cs="黑体"/>
              <w:sz w:val="28"/>
              <w:szCs w:val="28"/>
              <w:highlight w:val="red"/>
            </w:rPr>
            <w:fldChar w:fldCharType="separate"/>
          </w: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_Toc27659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一、部门基本情况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_Toc27659 \h </w:instrText>
          </w:r>
          <w:r>
            <w:rPr>
              <w:rFonts w:hint="eastAsia" w:ascii="黑体" w:hAnsi="黑体" w:eastAsia="黑体" w:cs="黑体"/>
              <w:sz w:val="28"/>
              <w:szCs w:val="28"/>
            </w:rPr>
            <w:fldChar w:fldCharType="separate"/>
          </w:r>
          <w:r>
            <w:rPr>
              <w:rFonts w:hint="eastAsia" w:ascii="黑体" w:hAnsi="黑体" w:eastAsia="黑体" w:cs="黑体"/>
              <w:sz w:val="28"/>
              <w:szCs w:val="28"/>
            </w:rPr>
            <w:t>1</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_Toc7034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（一）部门概况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_Toc7034 \h </w:instrText>
          </w:r>
          <w:r>
            <w:rPr>
              <w:rFonts w:hint="eastAsia" w:ascii="黑体" w:hAnsi="黑体" w:eastAsia="黑体" w:cs="黑体"/>
              <w:sz w:val="28"/>
              <w:szCs w:val="28"/>
            </w:rPr>
            <w:fldChar w:fldCharType="separate"/>
          </w:r>
          <w:r>
            <w:rPr>
              <w:rFonts w:hint="eastAsia" w:ascii="黑体" w:hAnsi="黑体" w:eastAsia="黑体" w:cs="黑体"/>
              <w:sz w:val="28"/>
              <w:szCs w:val="28"/>
            </w:rPr>
            <w:t>1</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_Toc20860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（二）部门收支预决算情况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_Toc20860 \h </w:instrText>
          </w:r>
          <w:r>
            <w:rPr>
              <w:rFonts w:hint="eastAsia" w:ascii="黑体" w:hAnsi="黑体" w:eastAsia="黑体" w:cs="黑体"/>
              <w:sz w:val="28"/>
              <w:szCs w:val="28"/>
            </w:rPr>
            <w:fldChar w:fldCharType="separate"/>
          </w:r>
          <w:r>
            <w:rPr>
              <w:rFonts w:hint="eastAsia" w:ascii="黑体" w:hAnsi="黑体" w:eastAsia="黑体" w:cs="黑体"/>
              <w:sz w:val="28"/>
              <w:szCs w:val="28"/>
            </w:rPr>
            <w:t>3</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_Toc32245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（三）部门整体支出绩效目标、指标</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_Toc32245 \h </w:instrText>
          </w:r>
          <w:r>
            <w:rPr>
              <w:rFonts w:hint="eastAsia" w:ascii="黑体" w:hAnsi="黑体" w:eastAsia="黑体" w:cs="黑体"/>
              <w:sz w:val="28"/>
              <w:szCs w:val="28"/>
            </w:rPr>
            <w:fldChar w:fldCharType="separate"/>
          </w:r>
          <w:r>
            <w:rPr>
              <w:rFonts w:hint="eastAsia" w:ascii="黑体" w:hAnsi="黑体" w:eastAsia="黑体" w:cs="黑体"/>
              <w:sz w:val="28"/>
              <w:szCs w:val="28"/>
            </w:rPr>
            <w:t>3</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_Toc31420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（一）自评的组织工作</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_Toc31420 \h </w:instrText>
          </w:r>
          <w:r>
            <w:rPr>
              <w:rFonts w:hint="eastAsia" w:ascii="黑体" w:hAnsi="黑体" w:eastAsia="黑体" w:cs="黑体"/>
              <w:sz w:val="28"/>
              <w:szCs w:val="28"/>
            </w:rPr>
            <w:fldChar w:fldCharType="separate"/>
          </w:r>
          <w:r>
            <w:rPr>
              <w:rFonts w:hint="eastAsia" w:ascii="黑体" w:hAnsi="黑体" w:eastAsia="黑体" w:cs="黑体"/>
              <w:sz w:val="28"/>
              <w:szCs w:val="28"/>
            </w:rPr>
            <w:t>7</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_Toc29891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（二）绩效自评目的</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_Toc29891 \h </w:instrText>
          </w:r>
          <w:r>
            <w:rPr>
              <w:rFonts w:hint="eastAsia" w:ascii="黑体" w:hAnsi="黑体" w:eastAsia="黑体" w:cs="黑体"/>
              <w:sz w:val="28"/>
              <w:szCs w:val="28"/>
            </w:rPr>
            <w:fldChar w:fldCharType="separate"/>
          </w:r>
          <w:r>
            <w:rPr>
              <w:rFonts w:hint="eastAsia" w:ascii="黑体" w:hAnsi="黑体" w:eastAsia="黑体" w:cs="黑体"/>
              <w:sz w:val="28"/>
              <w:szCs w:val="28"/>
            </w:rPr>
            <w:t>8</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_Toc4296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（三）绩效自评内容</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_Toc4296 \h </w:instrText>
          </w:r>
          <w:r>
            <w:rPr>
              <w:rFonts w:hint="eastAsia" w:ascii="黑体" w:hAnsi="黑体" w:eastAsia="黑体" w:cs="黑体"/>
              <w:sz w:val="28"/>
              <w:szCs w:val="28"/>
            </w:rPr>
            <w:fldChar w:fldCharType="separate"/>
          </w:r>
          <w:r>
            <w:rPr>
              <w:rFonts w:hint="eastAsia" w:ascii="黑体" w:hAnsi="黑体" w:eastAsia="黑体" w:cs="黑体"/>
              <w:sz w:val="28"/>
              <w:szCs w:val="28"/>
            </w:rPr>
            <w:t>8</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_Toc19678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（四）自评的方法</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_Toc19678 \h </w:instrText>
          </w:r>
          <w:r>
            <w:rPr>
              <w:rFonts w:hint="eastAsia" w:ascii="黑体" w:hAnsi="黑体" w:eastAsia="黑体" w:cs="黑体"/>
              <w:sz w:val="28"/>
              <w:szCs w:val="28"/>
            </w:rPr>
            <w:fldChar w:fldCharType="separate"/>
          </w:r>
          <w:r>
            <w:rPr>
              <w:rFonts w:hint="eastAsia" w:ascii="黑体" w:hAnsi="黑体" w:eastAsia="黑体" w:cs="黑体"/>
              <w:sz w:val="28"/>
              <w:szCs w:val="28"/>
            </w:rPr>
            <w:t>8</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_Toc7387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（五）绩效自评过程</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_Toc7387 \h </w:instrText>
          </w:r>
          <w:r>
            <w:rPr>
              <w:rFonts w:hint="eastAsia" w:ascii="黑体" w:hAnsi="黑体" w:eastAsia="黑体" w:cs="黑体"/>
              <w:sz w:val="28"/>
              <w:szCs w:val="28"/>
            </w:rPr>
            <w:fldChar w:fldCharType="separate"/>
          </w:r>
          <w:r>
            <w:rPr>
              <w:rFonts w:hint="eastAsia" w:ascii="黑体" w:hAnsi="黑体" w:eastAsia="黑体" w:cs="黑体"/>
              <w:sz w:val="28"/>
              <w:szCs w:val="28"/>
            </w:rPr>
            <w:t>9</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9"/>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_Toc16917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三、部门整体支出绩效目标实现情况及指标分析</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_Toc16917 \h </w:instrText>
          </w:r>
          <w:r>
            <w:rPr>
              <w:rFonts w:hint="eastAsia" w:ascii="黑体" w:hAnsi="黑体" w:eastAsia="黑体" w:cs="黑体"/>
              <w:sz w:val="28"/>
              <w:szCs w:val="28"/>
            </w:rPr>
            <w:fldChar w:fldCharType="separate"/>
          </w:r>
          <w:r>
            <w:rPr>
              <w:rFonts w:hint="eastAsia" w:ascii="黑体" w:hAnsi="黑体" w:eastAsia="黑体" w:cs="黑体"/>
              <w:sz w:val="28"/>
              <w:szCs w:val="28"/>
            </w:rPr>
            <w:t>9</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_Toc27910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（一）总体绩效目标实现情况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_Toc27910 \h </w:instrText>
          </w:r>
          <w:r>
            <w:rPr>
              <w:rFonts w:hint="eastAsia" w:ascii="黑体" w:hAnsi="黑体" w:eastAsia="黑体" w:cs="黑体"/>
              <w:sz w:val="28"/>
              <w:szCs w:val="28"/>
            </w:rPr>
            <w:fldChar w:fldCharType="separate"/>
          </w:r>
          <w:r>
            <w:rPr>
              <w:rFonts w:hint="eastAsia" w:ascii="黑体" w:hAnsi="黑体" w:eastAsia="黑体" w:cs="黑体"/>
              <w:sz w:val="28"/>
              <w:szCs w:val="28"/>
            </w:rPr>
            <w:t>9</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_Toc19913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（二）分项绩效目标实现情况及指标分析</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_Toc19913 \h </w:instrText>
          </w:r>
          <w:r>
            <w:rPr>
              <w:rFonts w:hint="eastAsia" w:ascii="黑体" w:hAnsi="黑体" w:eastAsia="黑体" w:cs="黑体"/>
              <w:sz w:val="28"/>
              <w:szCs w:val="28"/>
            </w:rPr>
            <w:fldChar w:fldCharType="separate"/>
          </w:r>
          <w:r>
            <w:rPr>
              <w:rFonts w:hint="eastAsia" w:ascii="黑体" w:hAnsi="黑体" w:eastAsia="黑体" w:cs="黑体"/>
              <w:sz w:val="28"/>
              <w:szCs w:val="28"/>
            </w:rPr>
            <w:t>10</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9"/>
            <w:keepNext w:val="0"/>
            <w:keepLines w:val="0"/>
            <w:pageBreakBefore w:val="0"/>
            <w:widowControl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_Toc12906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四、评价结论和评价等级</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_Toc12906 \h </w:instrText>
          </w:r>
          <w:r>
            <w:rPr>
              <w:rFonts w:hint="eastAsia" w:ascii="黑体" w:hAnsi="黑体" w:eastAsia="黑体" w:cs="黑体"/>
              <w:sz w:val="28"/>
              <w:szCs w:val="28"/>
            </w:rPr>
            <w:fldChar w:fldCharType="separate"/>
          </w:r>
          <w:r>
            <w:rPr>
              <w:rFonts w:hint="eastAsia" w:ascii="黑体" w:hAnsi="黑体" w:eastAsia="黑体" w:cs="黑体"/>
              <w:sz w:val="28"/>
              <w:szCs w:val="28"/>
            </w:rPr>
            <w:t>13</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9"/>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_Toc11449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五、存在的问题及改进措施</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_Toc11449 \h </w:instrText>
          </w:r>
          <w:r>
            <w:rPr>
              <w:rFonts w:hint="eastAsia" w:ascii="黑体" w:hAnsi="黑体" w:eastAsia="黑体" w:cs="黑体"/>
              <w:sz w:val="28"/>
              <w:szCs w:val="28"/>
            </w:rPr>
            <w:fldChar w:fldCharType="separate"/>
          </w:r>
          <w:r>
            <w:rPr>
              <w:rFonts w:hint="eastAsia" w:ascii="黑体" w:hAnsi="黑体" w:eastAsia="黑体" w:cs="黑体"/>
              <w:sz w:val="28"/>
              <w:szCs w:val="28"/>
            </w:rPr>
            <w:t>14</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_Toc20073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（一）存在的主要问题</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_Toc20073 \h </w:instrText>
          </w:r>
          <w:r>
            <w:rPr>
              <w:rFonts w:hint="eastAsia" w:ascii="黑体" w:hAnsi="黑体" w:eastAsia="黑体" w:cs="黑体"/>
              <w:sz w:val="28"/>
              <w:szCs w:val="28"/>
            </w:rPr>
            <w:fldChar w:fldCharType="separate"/>
          </w:r>
          <w:r>
            <w:rPr>
              <w:rFonts w:hint="eastAsia" w:ascii="黑体" w:hAnsi="黑体" w:eastAsia="黑体" w:cs="黑体"/>
              <w:sz w:val="28"/>
              <w:szCs w:val="28"/>
            </w:rPr>
            <w:t>14</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10"/>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_Toc23534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（二）针对问题提出具体的改进措施或建议</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_Toc23534 \h </w:instrText>
          </w:r>
          <w:r>
            <w:rPr>
              <w:rFonts w:hint="eastAsia" w:ascii="黑体" w:hAnsi="黑体" w:eastAsia="黑体" w:cs="黑体"/>
              <w:sz w:val="28"/>
              <w:szCs w:val="28"/>
            </w:rPr>
            <w:fldChar w:fldCharType="separate"/>
          </w:r>
          <w:r>
            <w:rPr>
              <w:rFonts w:hint="eastAsia" w:ascii="黑体" w:hAnsi="黑体" w:eastAsia="黑体" w:cs="黑体"/>
              <w:sz w:val="28"/>
              <w:szCs w:val="28"/>
            </w:rPr>
            <w:t>14</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9"/>
            <w:keepNext w:val="0"/>
            <w:keepLines w:val="0"/>
            <w:pageBreakBefore w:val="0"/>
            <w:tabs>
              <w:tab w:val="right" w:leader="dot" w:pos="8306"/>
            </w:tabs>
            <w:kinsoku/>
            <w:wordWrap/>
            <w:overflowPunct/>
            <w:topLinePunct w:val="0"/>
            <w:autoSpaceDE/>
            <w:autoSpaceDN/>
            <w:bidi w:val="0"/>
            <w:adjustRightInd/>
            <w:snapToGrid/>
            <w:spacing w:line="640" w:lineRule="exact"/>
            <w:textAlignment w:val="auto"/>
            <w:rPr>
              <w:rFonts w:hint="eastAsia" w:ascii="黑体" w:hAnsi="黑体" w:eastAsia="黑体" w:cs="黑体"/>
              <w:sz w:val="28"/>
              <w:szCs w:val="28"/>
            </w:rPr>
          </w:pPr>
          <w:r>
            <w:rPr>
              <w:rFonts w:hint="eastAsia" w:ascii="黑体" w:hAnsi="黑体" w:eastAsia="黑体" w:cs="黑体"/>
              <w:sz w:val="28"/>
              <w:szCs w:val="28"/>
              <w:highlight w:val="red"/>
            </w:rPr>
            <w:fldChar w:fldCharType="begin"/>
          </w:r>
          <w:r>
            <w:rPr>
              <w:rFonts w:hint="eastAsia" w:ascii="黑体" w:hAnsi="黑体" w:eastAsia="黑体" w:cs="黑体"/>
              <w:sz w:val="28"/>
              <w:szCs w:val="28"/>
              <w:highlight w:val="red"/>
            </w:rPr>
            <w:instrText xml:space="preserve"> HYPERLINK \l _Toc11856 </w:instrText>
          </w:r>
          <w:r>
            <w:rPr>
              <w:rFonts w:hint="eastAsia" w:ascii="黑体" w:hAnsi="黑体" w:eastAsia="黑体" w:cs="黑体"/>
              <w:sz w:val="28"/>
              <w:szCs w:val="28"/>
              <w:highlight w:val="red"/>
            </w:rPr>
            <w:fldChar w:fldCharType="separate"/>
          </w:r>
          <w:r>
            <w:rPr>
              <w:rFonts w:hint="eastAsia" w:ascii="黑体" w:hAnsi="黑体" w:eastAsia="黑体" w:cs="黑体"/>
              <w:bCs/>
              <w:kern w:val="2"/>
              <w:sz w:val="28"/>
              <w:szCs w:val="28"/>
              <w:highlight w:val="none"/>
              <w:lang w:val="en-US" w:eastAsia="zh-CN" w:bidi="ar-SA"/>
            </w:rPr>
            <w:t>六、评价工作组人员名单及签字</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_Toc11856 \h </w:instrText>
          </w:r>
          <w:r>
            <w:rPr>
              <w:rFonts w:hint="eastAsia" w:ascii="黑体" w:hAnsi="黑体" w:eastAsia="黑体" w:cs="黑体"/>
              <w:sz w:val="28"/>
              <w:szCs w:val="28"/>
            </w:rPr>
            <w:fldChar w:fldCharType="separate"/>
          </w:r>
          <w:r>
            <w:rPr>
              <w:rFonts w:hint="eastAsia" w:ascii="黑体" w:hAnsi="黑体" w:eastAsia="黑体" w:cs="黑体"/>
              <w:sz w:val="28"/>
              <w:szCs w:val="28"/>
            </w:rPr>
            <w:t>14</w:t>
          </w:r>
          <w:r>
            <w:rPr>
              <w:rFonts w:hint="eastAsia" w:ascii="黑体" w:hAnsi="黑体" w:eastAsia="黑体" w:cs="黑体"/>
              <w:sz w:val="28"/>
              <w:szCs w:val="28"/>
            </w:rPr>
            <w:fldChar w:fldCharType="end"/>
          </w:r>
          <w:r>
            <w:rPr>
              <w:rFonts w:hint="eastAsia" w:ascii="黑体" w:hAnsi="黑体" w:eastAsia="黑体" w:cs="黑体"/>
              <w:sz w:val="28"/>
              <w:szCs w:val="28"/>
              <w:highlight w:val="red"/>
            </w:rPr>
            <w:fldChar w:fldCharType="end"/>
          </w:r>
        </w:p>
        <w:p>
          <w:pPr>
            <w:pStyle w:val="5"/>
            <w:keepNext w:val="0"/>
            <w:keepLines w:val="0"/>
            <w:pageBreakBefore w:val="0"/>
            <w:kinsoku/>
            <w:wordWrap/>
            <w:overflowPunct/>
            <w:topLinePunct w:val="0"/>
            <w:autoSpaceDE/>
            <w:autoSpaceDN/>
            <w:bidi w:val="0"/>
            <w:adjustRightInd/>
            <w:snapToGrid/>
            <w:spacing w:line="640" w:lineRule="exact"/>
            <w:textAlignment w:val="auto"/>
            <w:rPr>
              <w:rFonts w:hint="eastAsia"/>
              <w:highlight w:val="none"/>
            </w:rPr>
            <w:sectPr>
              <w:footerReference r:id="rId4" w:type="default"/>
              <w:pgSz w:w="11906" w:h="16838"/>
              <w:pgMar w:top="1440" w:right="1474" w:bottom="1440" w:left="1587" w:header="851" w:footer="992" w:gutter="0"/>
              <w:pgNumType w:start="1"/>
              <w:cols w:space="425" w:num="1"/>
              <w:docGrid w:type="lines" w:linePitch="312" w:charSpace="0"/>
            </w:sectPr>
          </w:pPr>
          <w:r>
            <w:rPr>
              <w:rFonts w:hint="eastAsia" w:ascii="黑体" w:hAnsi="黑体" w:eastAsia="黑体" w:cs="黑体"/>
              <w:sz w:val="28"/>
              <w:szCs w:val="28"/>
              <w:highlight w:val="red"/>
            </w:rPr>
            <w:fldChar w:fldCharType="end"/>
          </w:r>
        </w:p>
      </w:sdtContent>
    </w:sdt>
    <w:p>
      <w:pPr>
        <w:pStyle w:val="5"/>
        <w:rPr>
          <w:rFonts w:hint="eastAsia"/>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jc w:val="center"/>
        <w:textAlignment w:val="auto"/>
        <w:outlineLvl w:val="9"/>
        <w:rPr>
          <w:rFonts w:hint="eastAsia" w:ascii="宋体" w:hAnsi="宋体" w:eastAsia="宋体" w:cs="宋体"/>
          <w:b/>
          <w:bCs/>
          <w:sz w:val="44"/>
          <w:szCs w:val="44"/>
          <w:highlight w:val="none"/>
          <w:lang w:val="en-US" w:eastAsia="zh-CN"/>
        </w:rPr>
      </w:pPr>
      <w:bookmarkStart w:id="15" w:name="_Toc23851"/>
      <w:bookmarkStart w:id="16" w:name="_Toc3160"/>
      <w:r>
        <w:rPr>
          <w:rFonts w:hint="eastAsia" w:ascii="宋体" w:hAnsi="宋体" w:eastAsia="宋体" w:cs="宋体"/>
          <w:b/>
          <w:bCs/>
          <w:sz w:val="44"/>
          <w:szCs w:val="44"/>
          <w:highlight w:val="none"/>
          <w:lang w:val="en-US" w:eastAsia="zh-CN"/>
        </w:rPr>
        <w:t>石家庄市住房和城乡建设局</w:t>
      </w:r>
      <w:bookmarkEnd w:id="15"/>
      <w:bookmarkEnd w:id="16"/>
    </w:p>
    <w:p>
      <w:pPr>
        <w:keepNext w:val="0"/>
        <w:keepLines w:val="0"/>
        <w:pageBreakBefore w:val="0"/>
        <w:widowControl w:val="0"/>
        <w:kinsoku/>
        <w:wordWrap/>
        <w:overflowPunct/>
        <w:topLinePunct w:val="0"/>
        <w:autoSpaceDE/>
        <w:autoSpaceDN/>
        <w:bidi w:val="0"/>
        <w:adjustRightInd/>
        <w:snapToGrid/>
        <w:spacing w:line="600" w:lineRule="exact"/>
        <w:ind w:left="0" w:leftChars="0" w:right="0"/>
        <w:jc w:val="center"/>
        <w:textAlignment w:val="auto"/>
        <w:outlineLvl w:val="9"/>
        <w:rPr>
          <w:rFonts w:hint="eastAsia" w:ascii="宋体" w:hAnsi="宋体" w:eastAsia="宋体" w:cs="宋体"/>
          <w:b/>
          <w:bCs/>
          <w:sz w:val="44"/>
          <w:szCs w:val="44"/>
          <w:highlight w:val="none"/>
          <w:lang w:val="en-US" w:eastAsia="zh-CN"/>
        </w:rPr>
      </w:pPr>
      <w:bookmarkStart w:id="17" w:name="_Toc24901"/>
      <w:bookmarkStart w:id="18" w:name="_Toc4542"/>
      <w:r>
        <w:rPr>
          <w:rFonts w:hint="eastAsia" w:ascii="宋体" w:hAnsi="宋体" w:eastAsia="宋体" w:cs="宋体"/>
          <w:b/>
          <w:bCs/>
          <w:sz w:val="44"/>
          <w:szCs w:val="44"/>
          <w:highlight w:val="none"/>
          <w:lang w:val="en-US" w:eastAsia="zh-CN"/>
        </w:rPr>
        <w:t>2023年度部门整体支出</w:t>
      </w:r>
      <w:bookmarkEnd w:id="17"/>
      <w:bookmarkEnd w:id="18"/>
    </w:p>
    <w:p>
      <w:pPr>
        <w:keepNext w:val="0"/>
        <w:keepLines w:val="0"/>
        <w:pageBreakBefore w:val="0"/>
        <w:widowControl w:val="0"/>
        <w:kinsoku/>
        <w:wordWrap/>
        <w:overflowPunct/>
        <w:topLinePunct w:val="0"/>
        <w:autoSpaceDE/>
        <w:autoSpaceDN/>
        <w:bidi w:val="0"/>
        <w:adjustRightInd/>
        <w:snapToGrid/>
        <w:spacing w:line="600" w:lineRule="exact"/>
        <w:ind w:left="0" w:leftChars="0" w:right="0"/>
        <w:jc w:val="center"/>
        <w:textAlignment w:val="auto"/>
        <w:outlineLvl w:val="9"/>
        <w:rPr>
          <w:rFonts w:hint="eastAsia" w:ascii="宋体" w:hAnsi="宋体" w:eastAsia="宋体" w:cs="宋体"/>
          <w:b/>
          <w:bCs/>
          <w:sz w:val="44"/>
          <w:szCs w:val="44"/>
          <w:highlight w:val="none"/>
          <w:lang w:val="en-US" w:eastAsia="zh-CN"/>
        </w:rPr>
      </w:pPr>
      <w:bookmarkStart w:id="19" w:name="_Toc30896"/>
      <w:bookmarkStart w:id="20" w:name="_Toc7314"/>
      <w:r>
        <w:rPr>
          <w:rFonts w:hint="eastAsia" w:ascii="宋体" w:hAnsi="宋体" w:eastAsia="宋体" w:cs="宋体"/>
          <w:b/>
          <w:bCs/>
          <w:sz w:val="44"/>
          <w:szCs w:val="44"/>
          <w:highlight w:val="none"/>
          <w:lang w:val="en-US" w:eastAsia="zh-CN"/>
        </w:rPr>
        <w:t>绩效自评报告</w:t>
      </w:r>
      <w:bookmarkEnd w:id="19"/>
      <w:bookmarkEnd w:id="20"/>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Times New Roman"/>
          <w:bCs/>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为贯彻落实市委市政府《关于全面落实预算绩效管理的实施意见》（石发﹝2019﹞8号）文件精神，遵循“科学性、规范性、客观性和公正性”的原则，</w:t>
      </w:r>
      <w:r>
        <w:rPr>
          <w:rFonts w:hint="eastAsia" w:ascii="仿宋" w:hAnsi="仿宋" w:eastAsia="仿宋" w:cs="仿宋"/>
          <w:sz w:val="32"/>
          <w:szCs w:val="32"/>
          <w:highlight w:val="none"/>
          <w:lang w:val="en-US" w:eastAsia="zh-CN"/>
        </w:rPr>
        <w:t>2024年3月15日至4月3日</w:t>
      </w:r>
      <w:r>
        <w:rPr>
          <w:rFonts w:hint="eastAsia" w:ascii="仿宋" w:hAnsi="仿宋" w:eastAsia="仿宋" w:cs="Times New Roman"/>
          <w:bCs/>
          <w:kern w:val="2"/>
          <w:sz w:val="32"/>
          <w:szCs w:val="32"/>
          <w:highlight w:val="none"/>
          <w:lang w:val="en-US" w:eastAsia="zh-CN" w:bidi="ar-SA"/>
        </w:rPr>
        <w:t>，石家庄市住房和城乡建设局（以下简称“我局”）对2023年部门整体支出情况实施了财政支出绩效自评价，此次评价根据定性分析与定量分析相结合的方法，从总体绩效目标实现情况、分项绩效指标完成情况、专项资金使用及项目效益等方面进行了综合分析，最终形成了本评价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eastAsia" w:ascii="黑体" w:hAnsi="黑体" w:eastAsia="黑体" w:cs="黑体"/>
          <w:bCs/>
          <w:kern w:val="2"/>
          <w:sz w:val="32"/>
          <w:szCs w:val="32"/>
          <w:highlight w:val="none"/>
          <w:lang w:val="en-US" w:eastAsia="zh-CN" w:bidi="ar-SA"/>
        </w:rPr>
      </w:pPr>
      <w:bookmarkStart w:id="21" w:name="_Toc27659"/>
      <w:r>
        <w:rPr>
          <w:rFonts w:hint="eastAsia" w:ascii="黑体" w:hAnsi="黑体" w:eastAsia="黑体" w:cs="黑体"/>
          <w:bCs/>
          <w:kern w:val="2"/>
          <w:sz w:val="32"/>
          <w:szCs w:val="32"/>
          <w:highlight w:val="none"/>
          <w:lang w:val="en-US" w:eastAsia="zh-CN" w:bidi="ar-SA"/>
        </w:rPr>
        <w:t>一、部门基本情况</w:t>
      </w:r>
      <w:bookmarkEnd w:id="21"/>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22" w:name="_Toc7034"/>
      <w:r>
        <w:rPr>
          <w:rFonts w:hint="eastAsia" w:ascii="楷体" w:hAnsi="楷体" w:eastAsia="楷体" w:cs="楷体"/>
          <w:bCs/>
          <w:kern w:val="2"/>
          <w:sz w:val="32"/>
          <w:szCs w:val="32"/>
          <w:highlight w:val="none"/>
          <w:lang w:val="en-US" w:eastAsia="zh-CN" w:bidi="ar-SA"/>
        </w:rPr>
        <w:t>（一）部门概况</w:t>
      </w:r>
      <w:bookmarkEnd w:id="22"/>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1.部门职能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根据《市住房和城乡建设局职能配置、内设机构和人员编制规定》，我局的主要职责是：（1）贯彻执行国家和省住房城乡建设工作的方针、政策和法律、法规；（2）拟订城镇住房保障相关政策并组织实施；（3）负责推进住房制度改革；（4）负责全市房地产市场的监督管理；（5）负责建筑市场的监督管理；（6）统筹编制市区市政基础设施建设中长期发展规划，会同有关部门拟订市本级城建计划并组织实施；（7）指导推进新型城镇化和县城建设工作；（8）指导村镇建设工作；（9）负责建筑工程质量安全监督；（10）负责推进建筑节能工作；（11）拟订物业行业发展规划并组织实施；（12）负责拟订国有土地上房屋征收、城市危房管理政策并组织实施；（13）拟订地下综合管廊中长期建设计划，制定地下综合管廊运营、维护管理办法和配套政策；（14）负责住房城乡建设行业的对外经济技术合作和引进；（15）负责住房和城乡建设行业人才队伍建设；（16）负责各类房屋建筑及其附属设施和城市市政设施建设工程的抗震设防监督管理；（17）负责城市建设档案监督管理工作；（18）会同有关部门做好支油、支铁建设协调工作；（19）负责直管公有住房的资产、售房款和售后维修资金的管理工作；（20）会同有关部门，做好城市建设行业涉及本部门的相关专业规划的编制和实施工作；（21）负责住房城乡建设行业信息采集、整理、统计、分析、发布等工作；（22）完成市政府交办的其他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2.机构设置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red"/>
          <w:lang w:val="en-US" w:eastAsia="zh-CN" w:bidi="ar-SA"/>
        </w:rPr>
      </w:pPr>
      <w:r>
        <w:rPr>
          <w:rFonts w:hint="eastAsia" w:ascii="仿宋" w:hAnsi="仿宋" w:eastAsia="仿宋" w:cs="Times New Roman"/>
          <w:bCs/>
          <w:kern w:val="2"/>
          <w:sz w:val="32"/>
          <w:szCs w:val="32"/>
          <w:highlight w:val="none"/>
          <w:lang w:val="en-US" w:eastAsia="zh-CN" w:bidi="ar-SA"/>
        </w:rPr>
        <w:t>我局系财政全额拨款单位，单位性质为行政单位，有石家庄市住房和城乡建设局本级、石家庄市城市建设档案馆、石家庄市绿色建筑发展中心、石家庄市建设工程招投标中心、石家庄市建设工程施工安全服务中心、石家庄市工程建设造价管理站、石家庄市建设工程质量监督管理站、石家庄市建设工程劳务管理中心、石家庄市房产交易中心、石家庄市房屋安全鉴定中心、石家庄市保障性住房管理中心、石家庄市住房维修资金管理中心等12个下属单位，我局本级在职人员96人，全部为行政人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3.资产情况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截止2023年底，我局共有资产30002.25万元，其中：货币资金23063.28万元,固定资产原值（房屋、车辆等）13890.3万元，固定资产累计折旧6951.33万元，固定资产净值6938.97万元。资产管理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23" w:name="_Toc20860"/>
      <w:r>
        <w:rPr>
          <w:rFonts w:hint="eastAsia" w:ascii="楷体" w:hAnsi="楷体" w:eastAsia="楷体" w:cs="楷体"/>
          <w:bCs/>
          <w:kern w:val="2"/>
          <w:sz w:val="32"/>
          <w:szCs w:val="32"/>
          <w:highlight w:val="none"/>
          <w:lang w:val="en-US" w:eastAsia="zh-CN" w:bidi="ar-SA"/>
        </w:rPr>
        <w:t>（二）部门收支预决算情况</w:t>
      </w:r>
      <w:bookmarkEnd w:id="23"/>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1.预算安排情况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我局2023年一般公共预算62430.53万元,政府性基金预算8552.66万元;基本支出11414.17万元，项目支出59569.02万元。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2.预算调整情况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2023年预算调整具体为：一般公共预算45168.28万元,政府性基金预算75365.03万元，年初结转和结余365.17万元;基本支出11447.16万元，项目支出109451.32万元。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3.决算情况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2023年决算收入120634.75万元,其中：一般公共预算44904.55万元，政府性基金预算75365.03万元,年初结转和结余365.17万元;基本支出11161.22万元，项目支出109447.01万元,年末结转和结余26.52万元。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24" w:name="_Toc32245"/>
      <w:r>
        <w:rPr>
          <w:rFonts w:hint="eastAsia" w:ascii="楷体" w:hAnsi="楷体" w:eastAsia="楷体" w:cs="楷体"/>
          <w:bCs/>
          <w:kern w:val="2"/>
          <w:sz w:val="32"/>
          <w:szCs w:val="32"/>
          <w:highlight w:val="none"/>
          <w:lang w:val="en-US" w:eastAsia="zh-CN" w:bidi="ar-SA"/>
        </w:rPr>
        <w:t>（三）部门整体支出绩效目标、指标</w:t>
      </w:r>
      <w:bookmarkEnd w:id="24"/>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1.整体绩效目标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坚持以习近平新时代中国特色社会主义思想为指导，深入学习贯彻党的二十大和二十届二中全会精神，持续巩固“村收集、乡（镇）转运、县集中处理”的城乡一体化垃圾治理模式，推进所有行政村收集转运体系全覆盖，积极发挥试点城市的示范引领作用，按照《石家庄市城市地下综合管廊专项规划》，结合道路建设，有序推动管廊项目建设，完善三级运营管理体系，加强管廊安全运营管理，实现我市综合管廊运营的统一标准、统一管理，确保管廊安全运行，推动城市高质量发展。进一步加大节能工作力度，促进我市建筑节能、绿色建筑与装配式建筑等各项工作再上一个新台阶，2023年全市新开工装配式建筑目标占26%以上，被动式超低能耗建筑22万平方米以上，新建绿色建筑占比达到93%以上。建立健全城市社区治理制度机制，推进城市社区“共治、共建、共管、共享”，加强物业企业党建，推进物业企业党的组织和工作全覆盖，着力打造“红色物业”，充分发挥物业企业党组织战斗堡垒和党员先锋模范作用，全面提升物业企业服务质量水平，切实改善城市社区居住环境，提高居民群众生活水平，增强居民群众获得感、幸福感、安全感。继续优化“6个办服务方式”，严格落实《建设工程消防设计审查验收管理暂行规定》要求，结合安全社会环境建设需求，有序推进建设工程消防设计审查工作，不断完善建设项目 审批制度，始终把解决群众关心的热点难点问题放在工作的第一位，有序开展全市特殊建设工程消防设计审查质量巡查工作，抽查数量不少于10个。全面提升保障房后期运营管理服务水平，2023年，保障性住房后期管理工作逐步形成标准化、规范化、智能化管理模式，实现房屋租金实现应收尽收、标准管理不断优化、小区品质不断提升、智慧社区逐步提档、安全管理持续加强，保障房后期管理水平不断得到提升，为我市广大保障房居民群体打造舒适、宜居、安全、便捷的小区环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 w:val="0"/>
          <w:bCs/>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2.分项绩效目标、指标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（1）推动物业服务行业健康稳定发展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目标：推进“红色物业”工作，加强党建引领，充分发挥物业企业党组织战斗堡垒和党员先锋模范作用，推动物业企业服务和管理规范化、科学化，使物业企业服务管理与社区治理融合协调发展,切实改善城市社区居住环境，提高居民群众生活水平；修订《石家庄市物业管理条例》，规范全市物业管理活动，维护业主、物业服务企业及物业管理各方的合法权益，保障物业的安全与合理使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指标：配合市委组织部开展“红色物业”分级分类评价验收抽查，完成对符合条件的“红色物业”按相关标准发放物业补贴，至2023年年底补贴发放率达到100%；对《“红色物业”资料汇编》进行补充并印制；聘请物业专家开展“金牌红色物业”评定1次，对“红色物业”小区验收1次；组织召开“红色物业”现场观摩会；组织开展至少1次市级“金牌红色物业”评选活动，进行表彰通报并发放奖金；提请市人大完成《石家庄市物业管理条例》的修订和颁布工作，完成率100%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（2）加强全市农村垃圾治理工作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绩效目标：指导各县(市、区)根据生活垃圾焚烧处理设施运行情况，推进所有行政村收集转运体系全覆盖，优化收集转运设施布局，充分发挥设施设备作用，进一步提高无害化处理水平。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指标：持续巩固“村收集、乡（镇）转运、县集中处理”的城乡一体化垃圾治理模式，健全长效管护机制，构筑科学、合理的农村生活垃圾治理机制和垃圾收运体系，提升农村生活垃圾治理水平，让村庄居住环境更美更干净。17个县(市、区)3848个村庄建立日常监管机制，并全部实现了生活垃圾日产日清，到2023年底，村庄生活垃圾治理水平得到提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（3）推广建筑节能、绿色建筑和装配式建筑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目标：推动我市建筑节能、绿色建筑、装配式建筑、被动式超低能耗建筑和可再生能源建筑应用等工作。装配式建筑以标准化设计、工厂化生产、装配化施工、一体化装修、信息化管理、智能化应用为主要特征。开展全市建筑领域碳达峰方案研究，加大绿色建筑应用，继续全面按照绿色建筑标准进行设计、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绩效指标：2023年全市新开工装配式建筑目标100万平方米，被动式超低能耗建筑22万平方米以上，新建绿色建筑占比达到93%以上。被动房节能标准达到90%以上，可最大限度地减少夏季空调制冷和冬季供暖需求。</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保障房后期管理工作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绩效目标：严格落实“收支两条线”规定，及时足额上缴保障房租金，完善程序，及时做好保障房维修工作，做好保障房资产运营管理工作。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指标：保障房租金收缴率保持在90%以上；保障房租金应控制在季度终了10日内上缴，实行收支两条线管理，集中保障房物业管理标准争取不低于三级物业服务标准，按规范日常保养电梯430部，直接服务、保障的保障房46527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（5）加强勘察设计、施工图审查机构和造价咨询行业监管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目标：完善企业信用风险差异化随机抽查机制，大力推行内部联合、重点领域和基于信用风险分级的随机抽查模式,对勘察设计行业、施工图审查机构和造价咨询行业进行“双随机、一公开”监督检查，提升我市勘查设计及造价咨询行业整体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指标：对勘察设计行业、施工图审查机构和造价咨询行业进行“双随机、一公开”监督检查抽查。勘察设计行业监督检查个数不低于90个，造价咨询行业监督检查个数不低于40个,对各县市区勘察设计质量和建筑师负责制相关工作进行监督巡查，个数不低于26个，抽查对象的检查结果公示率达到100%，抽查发现问题的后续处置到位率达到100%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（6）推进地下综合管廊稳定健康运营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目标：通过公开招标采购咨询服务机构，为我市地下综合管廊运营安全状态及运营管理提供咨询服务；汇明路管廊运营管理规范，稳定安全运营；保障石家庄市城市地下综合管廊总控中心正常运行，实现对全市综合管廊运营统一标准、统一调度、统一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绩效指标：围绕全市地下综合管廊运营管理需求，继续完善综合管廊运营管理保障体系，切实提升管廊运营维护精细化管理水平。重点推进总控中心、汇明路管廊运营管理，保障管廊稳定健康、安全运营，客户满意度高，绩效考核达到85分以上，为汇明路、仓丰路、塔北路共计15公里管廊提供安全维护控制、安全评估、应急管理、人员从业管理等咨询服务，保障管廊安全、高效运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bCs/>
          <w:kern w:val="2"/>
          <w:sz w:val="32"/>
          <w:szCs w:val="32"/>
          <w:highlight w:val="none"/>
          <w:lang w:val="en-US" w:eastAsia="zh-CN" w:bidi="ar-SA"/>
        </w:rPr>
      </w:pPr>
      <w:r>
        <w:rPr>
          <w:rFonts w:hint="eastAsia" w:ascii="黑体" w:hAnsi="黑体" w:eastAsia="黑体" w:cs="黑体"/>
          <w:bCs/>
          <w:kern w:val="2"/>
          <w:sz w:val="32"/>
          <w:szCs w:val="32"/>
          <w:highlight w:val="none"/>
          <w:lang w:val="en-US" w:eastAsia="zh-CN" w:bidi="ar-SA"/>
        </w:rPr>
        <w:t>二、自评工作开展情况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25" w:name="_Toc31420"/>
      <w:r>
        <w:rPr>
          <w:rFonts w:hint="eastAsia" w:ascii="楷体" w:hAnsi="楷体" w:eastAsia="楷体" w:cs="楷体"/>
          <w:bCs/>
          <w:kern w:val="2"/>
          <w:sz w:val="32"/>
          <w:szCs w:val="32"/>
          <w:highlight w:val="none"/>
          <w:lang w:val="en-US" w:eastAsia="zh-CN" w:bidi="ar-SA"/>
        </w:rPr>
        <w:t>（一）自评的组织工作</w:t>
      </w:r>
      <w:bookmarkEnd w:id="25"/>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red"/>
          <w:lang w:val="en-US" w:eastAsia="zh-CN" w:bidi="ar-SA"/>
        </w:rPr>
      </w:pPr>
      <w:r>
        <w:rPr>
          <w:rFonts w:hint="eastAsia" w:ascii="仿宋" w:hAnsi="仿宋" w:eastAsia="仿宋" w:cs="Times New Roman"/>
          <w:bCs/>
          <w:kern w:val="2"/>
          <w:sz w:val="32"/>
          <w:szCs w:val="32"/>
          <w:highlight w:val="none"/>
          <w:lang w:val="en-US" w:eastAsia="zh-CN" w:bidi="ar-SA"/>
        </w:rPr>
        <w:t>我局为推进本年度预算绩效评价工作，抽调人员成立绩效评价工作组，由我局党组书记、局长李惠林担任组长，一级调研员穆增科为副组长，崔旭江为主任，成员包括财务主管部门陈智勇、赵晓惠等主要负责人。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按照通知要求，评价工作组制定自评工作方案，明确评价内容、评价程序及时间安排。组织相关人员召开专题会议，传达评价工作要求和部署各项工作安排。全面收集评价所需基础信息资料并对资料进行分类整理、审查和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26" w:name="_Toc29891"/>
      <w:r>
        <w:rPr>
          <w:rFonts w:hint="eastAsia" w:ascii="楷体" w:hAnsi="楷体" w:eastAsia="楷体" w:cs="楷体"/>
          <w:bCs/>
          <w:kern w:val="2"/>
          <w:sz w:val="32"/>
          <w:szCs w:val="32"/>
          <w:highlight w:val="none"/>
          <w:lang w:val="en-US" w:eastAsia="zh-CN" w:bidi="ar-SA"/>
        </w:rPr>
        <w:t>（二）绩效自评目的</w:t>
      </w:r>
      <w:bookmarkEnd w:id="26"/>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本次绩效自评将结合我局2023年度部门整体支出实际情况，运用科学、规范、合理的评价方法，全面、真实、客观地对我局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我局履行部门职责做出更好的预算管理和资金安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27" w:name="_Toc4296"/>
      <w:r>
        <w:rPr>
          <w:rFonts w:hint="eastAsia" w:ascii="楷体" w:hAnsi="楷体" w:eastAsia="楷体" w:cs="楷体"/>
          <w:bCs/>
          <w:kern w:val="2"/>
          <w:sz w:val="32"/>
          <w:szCs w:val="32"/>
          <w:highlight w:val="none"/>
          <w:lang w:val="en-US" w:eastAsia="zh-CN" w:bidi="ar-SA"/>
        </w:rPr>
        <w:t>（三）绩效自评内容</w:t>
      </w:r>
      <w:bookmarkEnd w:id="27"/>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本次我局部门整体支出绩效自评主要自评内容包括：</w:t>
      </w:r>
      <w:r>
        <w:rPr>
          <w:rFonts w:hint="eastAsia" w:ascii="仿宋" w:hAnsi="仿宋" w:eastAsia="仿宋" w:cs="Times New Roman"/>
          <w:b/>
          <w:bCs w:val="0"/>
          <w:kern w:val="2"/>
          <w:sz w:val="32"/>
          <w:szCs w:val="32"/>
          <w:highlight w:val="none"/>
          <w:lang w:val="en-US" w:eastAsia="zh-CN" w:bidi="ar-SA"/>
        </w:rPr>
        <w:t>一是</w:t>
      </w:r>
      <w:r>
        <w:rPr>
          <w:rFonts w:hint="eastAsia" w:ascii="仿宋" w:hAnsi="仿宋" w:eastAsia="仿宋" w:cs="Times New Roman"/>
          <w:bCs/>
          <w:kern w:val="2"/>
          <w:sz w:val="32"/>
          <w:szCs w:val="32"/>
          <w:highlight w:val="none"/>
          <w:lang w:val="en-US" w:eastAsia="zh-CN" w:bidi="ar-SA"/>
        </w:rPr>
        <w:t>绩效目标和预算编制情况；</w:t>
      </w:r>
      <w:r>
        <w:rPr>
          <w:rFonts w:hint="eastAsia" w:ascii="仿宋" w:hAnsi="仿宋" w:eastAsia="仿宋" w:cs="Times New Roman"/>
          <w:b/>
          <w:bCs w:val="0"/>
          <w:kern w:val="2"/>
          <w:sz w:val="32"/>
          <w:szCs w:val="32"/>
          <w:highlight w:val="none"/>
          <w:lang w:val="en-US" w:eastAsia="zh-CN" w:bidi="ar-SA"/>
        </w:rPr>
        <w:t>二是</w:t>
      </w:r>
      <w:r>
        <w:rPr>
          <w:rFonts w:hint="eastAsia" w:ascii="仿宋" w:hAnsi="仿宋" w:eastAsia="仿宋" w:cs="Times New Roman"/>
          <w:bCs/>
          <w:kern w:val="2"/>
          <w:sz w:val="32"/>
          <w:szCs w:val="32"/>
          <w:highlight w:val="none"/>
          <w:lang w:val="en-US" w:eastAsia="zh-CN" w:bidi="ar-SA"/>
        </w:rPr>
        <w:t>部门预决算收支情况；</w:t>
      </w:r>
      <w:r>
        <w:rPr>
          <w:rFonts w:hint="eastAsia" w:ascii="仿宋" w:hAnsi="仿宋" w:eastAsia="仿宋" w:cs="Times New Roman"/>
          <w:b/>
          <w:bCs w:val="0"/>
          <w:kern w:val="2"/>
          <w:sz w:val="32"/>
          <w:szCs w:val="32"/>
          <w:highlight w:val="none"/>
          <w:lang w:val="en-US" w:eastAsia="zh-CN" w:bidi="ar-SA"/>
        </w:rPr>
        <w:t>三是</w:t>
      </w:r>
      <w:r>
        <w:rPr>
          <w:rFonts w:hint="eastAsia" w:ascii="仿宋" w:hAnsi="仿宋" w:eastAsia="仿宋" w:cs="Times New Roman"/>
          <w:bCs/>
          <w:kern w:val="2"/>
          <w:sz w:val="32"/>
          <w:szCs w:val="32"/>
          <w:highlight w:val="none"/>
          <w:lang w:val="en-US" w:eastAsia="zh-CN" w:bidi="ar-SA"/>
        </w:rPr>
        <w:t>部门年度总体绩效目标完成情况；</w:t>
      </w:r>
      <w:r>
        <w:rPr>
          <w:rFonts w:hint="eastAsia" w:ascii="仿宋" w:hAnsi="仿宋" w:eastAsia="仿宋" w:cs="Times New Roman"/>
          <w:b/>
          <w:bCs w:val="0"/>
          <w:kern w:val="2"/>
          <w:sz w:val="32"/>
          <w:szCs w:val="32"/>
          <w:highlight w:val="none"/>
          <w:lang w:val="en-US" w:eastAsia="zh-CN" w:bidi="ar-SA"/>
        </w:rPr>
        <w:t>四是</w:t>
      </w:r>
      <w:r>
        <w:rPr>
          <w:rFonts w:hint="eastAsia" w:ascii="仿宋" w:hAnsi="仿宋" w:eastAsia="仿宋" w:cs="Times New Roman"/>
          <w:bCs/>
          <w:kern w:val="2"/>
          <w:sz w:val="32"/>
          <w:szCs w:val="32"/>
          <w:highlight w:val="none"/>
          <w:lang w:val="en-US" w:eastAsia="zh-CN" w:bidi="ar-SA"/>
        </w:rPr>
        <w:t>部门年度绩效指标完成情况，包括部门履职投入、履职过程、履职产出及履职效果等。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28" w:name="_Toc19678"/>
      <w:r>
        <w:rPr>
          <w:rFonts w:hint="eastAsia" w:ascii="楷体" w:hAnsi="楷体" w:eastAsia="楷体" w:cs="楷体"/>
          <w:bCs/>
          <w:kern w:val="2"/>
          <w:sz w:val="32"/>
          <w:szCs w:val="32"/>
          <w:highlight w:val="none"/>
          <w:lang w:val="en-US" w:eastAsia="zh-CN" w:bidi="ar-SA"/>
        </w:rPr>
        <w:t>（四）自评的方法</w:t>
      </w:r>
      <w:bookmarkEnd w:id="28"/>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1、科学公正原则。此次绩效自评运用科学合理的方法，按照规范的程序，对我局部门整体预算资金使用绩效进行客观、公正的反映。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2、统筹兼顾原则。单位自评、部门自评和财政自评应职责明确，各有侧重，相互衔接，绩效自评结果将上报财政部门作为财政自评参考依据。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3、激励约束原则。此次绩效自评结果与预算安排、政策调整、改进管理实质性挂钩，体现奖优罚劣和激励相容导向，有效安排、低效压减、无效问责。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4、公开透明原则。此次绩效自评结果应依法依规在政府门户网站进行公开，并自觉接受社会监督。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29" w:name="_Toc7387"/>
      <w:r>
        <w:rPr>
          <w:rFonts w:hint="eastAsia" w:ascii="楷体" w:hAnsi="楷体" w:eastAsia="楷体" w:cs="楷体"/>
          <w:bCs/>
          <w:kern w:val="2"/>
          <w:sz w:val="32"/>
          <w:szCs w:val="32"/>
          <w:highlight w:val="none"/>
          <w:lang w:val="en-US" w:eastAsia="zh-CN" w:bidi="ar-SA"/>
        </w:rPr>
        <w:t>（五）绩效自评过程</w:t>
      </w:r>
      <w:bookmarkEnd w:id="29"/>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本次绩效自评将资金使用产出及效果与年初指标值相比较，完成相应指标值的，赋全部分值；未完成指标值的，按照完成程度赋分，并对完成值低于指标值较多的，分析其形成原因，针对评价过程中发现的问题进一步提出相关意见建议，为以后年度我局履行部门职责做出更好的预算管理和资金安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eastAsia" w:ascii="黑体" w:hAnsi="黑体" w:eastAsia="黑体" w:cs="黑体"/>
          <w:bCs/>
          <w:kern w:val="2"/>
          <w:sz w:val="32"/>
          <w:szCs w:val="32"/>
          <w:highlight w:val="none"/>
          <w:lang w:val="en-US" w:eastAsia="zh-CN" w:bidi="ar-SA"/>
        </w:rPr>
      </w:pPr>
      <w:bookmarkStart w:id="30" w:name="_Toc16917"/>
      <w:r>
        <w:rPr>
          <w:rFonts w:hint="eastAsia" w:ascii="黑体" w:hAnsi="黑体" w:eastAsia="黑体" w:cs="黑体"/>
          <w:bCs/>
          <w:kern w:val="2"/>
          <w:sz w:val="32"/>
          <w:szCs w:val="32"/>
          <w:highlight w:val="none"/>
          <w:lang w:val="en-US" w:eastAsia="zh-CN" w:bidi="ar-SA"/>
        </w:rPr>
        <w:t>三、部门整体支出绩效目标实现情况及指标分析</w:t>
      </w:r>
      <w:bookmarkEnd w:id="3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31" w:name="_Toc27910"/>
      <w:r>
        <w:rPr>
          <w:rFonts w:hint="eastAsia" w:ascii="楷体" w:hAnsi="楷体" w:eastAsia="楷体" w:cs="楷体"/>
          <w:bCs/>
          <w:kern w:val="2"/>
          <w:sz w:val="32"/>
          <w:szCs w:val="32"/>
          <w:highlight w:val="none"/>
          <w:lang w:val="en-US" w:eastAsia="zh-CN" w:bidi="ar-SA"/>
        </w:rPr>
        <w:t>（一）总体绩效目标实现情况</w:t>
      </w:r>
      <w:bookmarkEnd w:id="31"/>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2023年市财政局批复我局151个项目，涉及预算资金351902.06万元，资金执行数344618.97万元，预算执行率为97.93%。</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根据我局2023年度部门整体的绩效目标表，部门年度总体绩效目标实现程度：在市委、市政府的坚强领导下，坚持以习近平新时代中国特色社会主义思想为指导，深入学习贯彻党的二十大和二十届二中全会精神，解放思想，真抓实干，自我加压、奋发进取，圆满完成了年度各项目标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32" w:name="_Toc19913"/>
      <w:r>
        <w:rPr>
          <w:rFonts w:hint="eastAsia" w:ascii="楷体" w:hAnsi="楷体" w:eastAsia="楷体" w:cs="楷体"/>
          <w:bCs/>
          <w:kern w:val="2"/>
          <w:sz w:val="32"/>
          <w:szCs w:val="32"/>
          <w:highlight w:val="none"/>
          <w:lang w:val="en-US" w:eastAsia="zh-CN" w:bidi="ar-SA"/>
        </w:rPr>
        <w:t>（二）分项绩效目标实现情况及指标分析</w:t>
      </w:r>
      <w:bookmarkEnd w:id="32"/>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red"/>
          <w:lang w:val="en-US" w:eastAsia="zh-CN" w:bidi="ar-SA"/>
        </w:rPr>
      </w:pPr>
      <w:r>
        <w:rPr>
          <w:rFonts w:hint="eastAsia" w:ascii="仿宋" w:hAnsi="仿宋" w:eastAsia="仿宋" w:cs="Times New Roman"/>
          <w:bCs/>
          <w:kern w:val="2"/>
          <w:sz w:val="32"/>
          <w:szCs w:val="32"/>
          <w:highlight w:val="none"/>
          <w:lang w:val="en-US" w:eastAsia="zh-CN" w:bidi="ar-SA"/>
        </w:rPr>
        <w:t>各项目时效指标考核的是资金支付、项目或者活动完成的及时性，经核实，资金及时拨付，项目或者活动基本及时完成；成本指标考核的均为是否超预算数，经核实，实际支出金额均未超预算数；满意度指标考核的是受益对象、服务对象、设备使用对象满意度，调查显示满意度均高于95%。各项目数量指标、质量指标、效益指标亦基本实现预期目标，具体实现情况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1.推动物业服务行业健康稳定发展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我局按照2023年初绩效工作的要求，推进“红色物业”工作，加强党建引领，充分发挥物业企业党组织战斗堡垒和党员先锋模范作用，推动物业企业服务和管理规范化、科学化，使物业企业服务管理与社区治理融合协调发展,切实改善城市社区居住环境，提高居民群众生活水平；修订《石家庄市物业管理条例》，规范全市物业管理活动，维护业主、物业服务企业及物业管理各方的合法权益，保障物业的安全与合理使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 w:val="0"/>
          <w:bCs/>
          <w:kern w:val="2"/>
          <w:sz w:val="32"/>
          <w:szCs w:val="32"/>
          <w:highlight w:val="red"/>
          <w:lang w:val="en-US" w:eastAsia="zh-CN" w:bidi="ar-SA"/>
        </w:rPr>
      </w:pPr>
      <w:r>
        <w:rPr>
          <w:rFonts w:hint="eastAsia" w:ascii="仿宋" w:hAnsi="仿宋" w:eastAsia="仿宋" w:cs="Times New Roman"/>
          <w:bCs/>
          <w:kern w:val="2"/>
          <w:sz w:val="32"/>
          <w:szCs w:val="32"/>
          <w:highlight w:val="none"/>
          <w:lang w:val="en-US" w:eastAsia="zh-CN" w:bidi="ar-SA"/>
        </w:rPr>
        <w:t>2023年我局取得以下成绩：</w:t>
      </w:r>
      <w:r>
        <w:rPr>
          <w:rFonts w:hint="eastAsia" w:ascii="仿宋" w:hAnsi="仿宋" w:eastAsia="仿宋" w:cs="Times New Roman"/>
          <w:b w:val="0"/>
          <w:bCs/>
          <w:kern w:val="2"/>
          <w:sz w:val="32"/>
          <w:szCs w:val="32"/>
          <w:highlight w:val="none"/>
          <w:lang w:val="en-US" w:eastAsia="zh-CN" w:bidi="ar-SA"/>
        </w:rPr>
        <w:t>配合市委组织部开展“红色物业”分级分类评价验收抽查，完成对符合条件的“红色物业”按相关标准发放物业补贴，至2023年年底补贴发放率达到100%；对《“红色物业”资料汇编》进行补充并印制；聘请物业专家开展“金牌红色物业”评定1次，对“红色物业”小区验收1次；组织召开“红色物业”现场观摩会；组织开展1次市级“金牌红色物业”评选活动，进行表彰通报并发放奖金；制作“红色物业”视频宣传片，展示“红色物业”工作；提请市人大完成《石家庄市物业管理条例》的修订和颁布工作，完成率100%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2.加强全市农村垃圾治理工作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我局按照2023年初绩效工作的要求，指导各县(市、区)根据生活垃圾焚烧处理设施运行情况，推进所有行政村收集转运体系全覆盖，优化收集转运设施布局，充分发挥设施设备作用，进一步提高无害化处理水平。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2023年我局取得以下成绩：持续巩固“村收集、乡（镇）转运、县集中处理”的城乡一体化垃圾治理模式，健全长效管护机制，构筑科学、合理的农村生活垃圾治理机制和垃圾收运体系，提升农村生活垃圾治理水平，让村庄居住环境更美更干净。17个县(市、区)3859个村庄建立日常监管机制，并全部实现了生活垃圾日产日清，到2023年底，村庄生活垃圾治理水平得到提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3.推广建筑节能、绿色建筑和装配式建筑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我局按照2023年初绩效工作的要求，推动我市建筑节能、绿色建筑、装配式建筑、被动式超低能耗建筑和可再生能源建筑应用等工作。装配式建筑以标准化设计、工厂化生产、装配化施工、一体化装修、信息化管理、智能化应用为主要特征。开展全市建筑领域碳达峰方案研究，加大绿色建筑应用，继续全面按照绿色建筑标准进行设计、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2023年我局取得以下成绩：2023年全市新开工装配式建筑361.08万平方米，被动式超低能耗建筑22万平方米以上，新建绿色建筑占比达到93%以上。被动房节能标准达到90%以上，可最大限度地减少夏季空调制冷和冬季供暖需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4.保障房后期管理工作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我局按照2023年初绩效工作的要求，严格落实“收支两条线”规定，及时足额上缴保障房租金，完善程序，及时做好保障房维修工作，做好保障房资产运营管理工作。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2023年我局取得以下成绩：保障房租金收缴率保持在90%以上；保障房租金应控制在季度终了10日内上缴，实行收支两条线管理，集中保障房物业管理标准争取不低于三级物业服务标准，按规范日常保养电梯448部，直接服务、保障的保障房47527户。收回已建成164套配建保障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5.加强勘察设计、施工图审查机构和造价咨询行业监管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我局按照2023年初绩效工作的要求，完善企业信用风险差异化随机抽查机制，大力推行内部联合、重点领域和基于信用风险分级的随机抽查模式,对勘察设计行业、施工图审查机构和造价咨询行业进行“双随机、一公开”监督检查，提升我市勘查设计及造价咨询行业整体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2023年我局取得以下成绩：对勘察设计行业、施工图审查机构和造价咨询行业进行“双随机、一公开”监督检查抽查。勘察设计行业进行90个监督检查，造价咨询行业进行40个监督检查,对各县市区勘察设计质量和建筑师负责制相关工作进行26个监督巡查，抽查对象的检查结果公示率达到100%，抽查发现问题的后续处置到位率达到100%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6.推进地下综合管廊稳定健康运营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我局按照2023年初绩效工作的要求，通过公开招标采购咨询服务机构，为我市地下综合管廊运营安全状态及运营管理提供咨询服务；汇明路管廊运营管理规范，稳定安全运营；保障石家庄市城市地下综合管廊总控中心正常运行，实现对全市综合管廊运营统一标准、统一调度、统一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2023年我局取得以下成绩：围绕全市地下综合管廊运营管理需求，继续完善综合管廊运营管理保障体系，切实提升管廊运营维护精细化管理水平。推进管廊建设和入廊运营，管廊总里程达到81.51公里，入廊管线354.61公里。重点推进总控中心、汇明路管廊运营管理，保障管廊稳定健康、安全运营，客户满意度高，绩效考核达到85分以上，为汇明路、仓丰路、塔北路共计15公里管廊提供安全维护控制、安全评估、应急管理、人员从业管理等咨询服务，保障管廊安全、高效运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eastAsia" w:ascii="黑体" w:hAnsi="黑体" w:eastAsia="黑体" w:cs="黑体"/>
          <w:bCs/>
          <w:kern w:val="2"/>
          <w:sz w:val="32"/>
          <w:szCs w:val="32"/>
          <w:highlight w:val="none"/>
          <w:lang w:val="en-US" w:eastAsia="zh-CN" w:bidi="ar-SA"/>
        </w:rPr>
      </w:pPr>
      <w:bookmarkStart w:id="33" w:name="_Toc12906"/>
      <w:r>
        <w:rPr>
          <w:rFonts w:hint="eastAsia" w:ascii="黑体" w:hAnsi="黑体" w:eastAsia="黑体" w:cs="黑体"/>
          <w:bCs/>
          <w:kern w:val="2"/>
          <w:sz w:val="32"/>
          <w:szCs w:val="32"/>
          <w:highlight w:val="none"/>
          <w:lang w:val="en-US" w:eastAsia="zh-CN" w:bidi="ar-SA"/>
        </w:rPr>
        <w:t>四、评价结论和评价等级</w:t>
      </w:r>
      <w:bookmarkEnd w:id="33"/>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经过整体评价，我局根据2023年工作计划，坚持以习近平新时代中国特色社会主义思想为指导，深入学习贯彻党的二十大和二十届二中全会精神，持续巩固“村收集、乡（镇）转运、县集中处理”的城乡一体化垃圾治理模式，推进所有行政村收集转运体系全覆盖，积极发挥试点城市的示范引领作用，按照《石家庄市城市地下综合管廊专项规划》，结合道路建设，有序推动管廊项目建设，完善三级运营管理体系，加强管廊安全运营管理，实现我市综合管廊运营的统一标准、统一管理，确保管廊安全运行，推动城市高质量发展。我局2023年度部门整体绩效自评得分95.72分，评价等级为“优秀</w:t>
      </w:r>
      <w:r>
        <w:rPr>
          <w:rFonts w:hint="default" w:ascii="仿宋" w:hAnsi="仿宋" w:eastAsia="仿宋" w:cs="Times New Roman"/>
          <w:bCs/>
          <w:kern w:val="2"/>
          <w:sz w:val="32"/>
          <w:szCs w:val="32"/>
          <w:highlight w:val="none"/>
          <w:lang w:val="en-US" w:eastAsia="zh-CN" w:bidi="ar-SA"/>
        </w:rPr>
        <w:t>”</w:t>
      </w:r>
      <w:r>
        <w:rPr>
          <w:rFonts w:hint="eastAsia" w:ascii="仿宋" w:hAnsi="仿宋" w:eastAsia="仿宋" w:cs="Times New Roman"/>
          <w:bCs/>
          <w:kern w:val="2"/>
          <w:sz w:val="32"/>
          <w:szCs w:val="32"/>
          <w:highlight w:val="none"/>
          <w:lang w:val="en-US" w:eastAsia="zh-CN" w:bidi="ar-SA"/>
        </w:rPr>
        <w:t>。</w:t>
      </w:r>
      <w:bookmarkStart w:id="34" w:name="_Toc11449"/>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eastAsia" w:ascii="黑体" w:hAnsi="黑体" w:eastAsia="黑体" w:cs="黑体"/>
          <w:bCs/>
          <w:kern w:val="2"/>
          <w:sz w:val="32"/>
          <w:szCs w:val="32"/>
          <w:highlight w:val="none"/>
          <w:lang w:val="en-US" w:eastAsia="zh-CN" w:bidi="ar-SA"/>
        </w:rPr>
      </w:pPr>
      <w:r>
        <w:rPr>
          <w:rFonts w:hint="eastAsia" w:ascii="黑体" w:hAnsi="黑体" w:eastAsia="黑体" w:cs="黑体"/>
          <w:bCs/>
          <w:kern w:val="2"/>
          <w:sz w:val="32"/>
          <w:szCs w:val="32"/>
          <w:highlight w:val="none"/>
          <w:lang w:val="en-US" w:eastAsia="zh-CN" w:bidi="ar-SA"/>
        </w:rPr>
        <w:t>五、存在的问题及改进措施</w:t>
      </w:r>
      <w:bookmarkEnd w:id="34"/>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35" w:name="_Toc20073"/>
      <w:r>
        <w:rPr>
          <w:rFonts w:hint="eastAsia" w:ascii="楷体" w:hAnsi="楷体" w:eastAsia="楷体" w:cs="楷体"/>
          <w:bCs/>
          <w:kern w:val="2"/>
          <w:sz w:val="32"/>
          <w:szCs w:val="32"/>
          <w:highlight w:val="none"/>
          <w:lang w:val="en-US" w:eastAsia="zh-CN" w:bidi="ar-SA"/>
        </w:rPr>
        <w:t>（一）存在的主要问题</w:t>
      </w:r>
      <w:bookmarkEnd w:id="35"/>
      <w:bookmarkStart w:id="42" w:name="_GoBack"/>
      <w:bookmarkEnd w:id="42"/>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1.个别项目目标和指标设置简化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个别绩效目标不够完善，不能完整清晰体现工作活动的产出和效果，依据绩效目标所设置的绩效指标不够细化，不能完整清晰的反映活动目标完成情况。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
          <w:bCs/>
          <w:kern w:val="2"/>
          <w:sz w:val="32"/>
          <w:szCs w:val="32"/>
          <w:highlight w:val="none"/>
          <w:lang w:val="en-US" w:eastAsia="zh-CN" w:bidi="ar-SA"/>
        </w:rPr>
      </w:pPr>
      <w:bookmarkStart w:id="36" w:name="_Toc23534"/>
      <w:r>
        <w:rPr>
          <w:rFonts w:hint="eastAsia" w:ascii="楷体" w:hAnsi="楷体" w:eastAsia="楷体" w:cs="楷体"/>
          <w:bCs/>
          <w:kern w:val="2"/>
          <w:sz w:val="32"/>
          <w:szCs w:val="32"/>
          <w:highlight w:val="none"/>
          <w:lang w:val="en-US" w:eastAsia="zh-CN" w:bidi="ar-SA"/>
        </w:rPr>
        <w:t>（二）针对问题提出具体的改进措施或建议</w:t>
      </w:r>
      <w:bookmarkEnd w:id="36"/>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1.科学设定绩效目标和指标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Times New Roman"/>
          <w:b w:val="0"/>
          <w:bCs/>
          <w:kern w:val="2"/>
          <w:sz w:val="32"/>
          <w:szCs w:val="32"/>
          <w:highlight w:val="none"/>
          <w:lang w:val="en-US" w:eastAsia="zh-CN" w:bidi="ar-SA"/>
        </w:rPr>
      </w:pPr>
      <w:r>
        <w:rPr>
          <w:rFonts w:hint="eastAsia" w:ascii="仿宋" w:hAnsi="仿宋" w:eastAsia="仿宋" w:cs="Times New Roman"/>
          <w:b w:val="0"/>
          <w:bCs/>
          <w:kern w:val="2"/>
          <w:sz w:val="32"/>
          <w:szCs w:val="32"/>
          <w:highlight w:val="none"/>
          <w:lang w:val="en-US" w:eastAsia="zh-CN" w:bidi="ar-SA"/>
        </w:rPr>
        <w:t>2.加强项目管理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进一步加强对项目实施的管理，加强对项目实施全过程的监管，做到事前计划合理、事中执行监管有力、事后评价及时有效反馈。同时建立项目责任体系，落实执行责任制，督促、指导各科室加强项目监管工作，确定项目的负责人、执行科室、项目建设周期、并制定具体的执行计划，按计划开展项目工作，保证项目的顺利完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eastAsia" w:ascii="黑体" w:hAnsi="黑体" w:eastAsia="黑体" w:cs="黑体"/>
          <w:bCs/>
          <w:kern w:val="2"/>
          <w:sz w:val="32"/>
          <w:szCs w:val="32"/>
          <w:highlight w:val="none"/>
          <w:lang w:val="en-US" w:eastAsia="zh-CN" w:bidi="ar-SA"/>
        </w:rPr>
      </w:pPr>
      <w:bookmarkStart w:id="37" w:name="_Toc11856"/>
      <w:r>
        <w:rPr>
          <w:rFonts w:hint="eastAsia" w:ascii="黑体" w:hAnsi="黑体" w:eastAsia="黑体" w:cs="黑体"/>
          <w:bCs/>
          <w:kern w:val="2"/>
          <w:sz w:val="32"/>
          <w:szCs w:val="32"/>
          <w:highlight w:val="none"/>
          <w:lang w:val="en-US" w:eastAsia="zh-CN" w:bidi="ar-SA"/>
        </w:rPr>
        <w:t>六、评价工作组人员名单及签字</w:t>
      </w:r>
      <w:bookmarkEnd w:id="37"/>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组  长：李惠林       党组书记、局长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副组长：穆增科       一级调研员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 xml:space="preserve">主  任：崔旭江       财务科科长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成  员：陈智勇       财务科二级主任科员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sz w:val="32"/>
          <w:szCs w:val="32"/>
          <w:highlight w:val="none"/>
          <w:lang w:val="en-US" w:eastAsia="zh-CN"/>
        </w:rPr>
      </w:pPr>
      <w:r>
        <w:rPr>
          <w:rFonts w:hint="eastAsia" w:ascii="仿宋" w:hAnsi="仿宋" w:eastAsia="仿宋" w:cs="Times New Roman"/>
          <w:bCs/>
          <w:kern w:val="2"/>
          <w:sz w:val="32"/>
          <w:szCs w:val="32"/>
          <w:highlight w:val="none"/>
          <w:lang w:val="en-US" w:eastAsia="zh-CN" w:bidi="ar-SA"/>
        </w:rPr>
        <w:t>成  员：赵晓惠       财务科四级主任科员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bCs/>
          <w:kern w:val="2"/>
          <w:sz w:val="32"/>
          <w:szCs w:val="32"/>
          <w:highlight w:val="none"/>
          <w:lang w:val="en-US" w:eastAsia="zh-CN" w:bidi="ar-SA"/>
        </w:rPr>
      </w:pPr>
      <w:r>
        <w:rPr>
          <w:rFonts w:hint="eastAsia" w:ascii="仿宋" w:hAnsi="仿宋" w:eastAsia="仿宋" w:cs="Times New Roman"/>
          <w:bCs/>
          <w:kern w:val="2"/>
          <w:sz w:val="32"/>
          <w:szCs w:val="32"/>
          <w:highlight w:val="none"/>
          <w:lang w:val="en-US" w:eastAsia="zh-CN" w:bidi="ar-SA"/>
        </w:rPr>
        <w:t xml:space="preserve">     </w:t>
      </w:r>
    </w:p>
    <w:p>
      <w:pPr>
        <w:pStyle w:val="5"/>
        <w:rPr>
          <w:rFonts w:hint="eastAsia" w:ascii="仿宋" w:hAnsi="仿宋" w:eastAsia="仿宋" w:cs="Times New Roman"/>
          <w:bCs/>
          <w:kern w:val="2"/>
          <w:sz w:val="32"/>
          <w:szCs w:val="32"/>
          <w:lang w:val="en-US" w:eastAsia="zh-CN" w:bidi="ar-SA"/>
        </w:rPr>
      </w:pPr>
    </w:p>
    <w:p>
      <w:pPr>
        <w:pStyle w:val="5"/>
        <w:jc w:val="right"/>
        <w:outlineLvl w:val="9"/>
        <w:rPr>
          <w:rFonts w:hint="eastAsia" w:ascii="仿宋" w:hAnsi="仿宋" w:eastAsia="仿宋" w:cs="Times New Roman"/>
          <w:b/>
          <w:bCs w:val="0"/>
          <w:kern w:val="2"/>
          <w:sz w:val="32"/>
          <w:szCs w:val="32"/>
          <w:lang w:val="en-US" w:eastAsia="zh-CN" w:bidi="ar-SA"/>
        </w:rPr>
      </w:pPr>
      <w:bookmarkStart w:id="38" w:name="_Toc10230"/>
      <w:bookmarkStart w:id="39" w:name="_Toc27133"/>
      <w:r>
        <w:rPr>
          <w:rFonts w:hint="eastAsia" w:ascii="仿宋" w:hAnsi="仿宋" w:eastAsia="仿宋" w:cs="Times New Roman"/>
          <w:b/>
          <w:bCs w:val="0"/>
          <w:kern w:val="2"/>
          <w:sz w:val="32"/>
          <w:szCs w:val="32"/>
          <w:lang w:val="en-US" w:eastAsia="zh-CN" w:bidi="ar-SA"/>
        </w:rPr>
        <w:t>石家庄市住房和城乡建设局</w:t>
      </w:r>
      <w:bookmarkEnd w:id="38"/>
      <w:bookmarkEnd w:id="39"/>
    </w:p>
    <w:p>
      <w:pPr>
        <w:pStyle w:val="5"/>
        <w:jc w:val="center"/>
        <w:outlineLvl w:val="9"/>
        <w:rPr>
          <w:rFonts w:hint="default" w:ascii="仿宋" w:hAnsi="仿宋" w:eastAsia="仿宋" w:cs="Times New Roman"/>
          <w:b/>
          <w:bCs w:val="0"/>
          <w:kern w:val="2"/>
          <w:sz w:val="32"/>
          <w:szCs w:val="32"/>
          <w:lang w:val="en-US" w:eastAsia="zh-CN" w:bidi="ar-SA"/>
        </w:rPr>
      </w:pPr>
      <w:r>
        <w:rPr>
          <w:rFonts w:hint="eastAsia" w:ascii="仿宋" w:hAnsi="仿宋" w:eastAsia="仿宋" w:cs="Times New Roman"/>
          <w:b/>
          <w:bCs w:val="0"/>
          <w:kern w:val="2"/>
          <w:sz w:val="32"/>
          <w:szCs w:val="32"/>
          <w:lang w:val="en-US" w:eastAsia="zh-CN" w:bidi="ar-SA"/>
        </w:rPr>
        <w:t xml:space="preserve">                        </w:t>
      </w:r>
      <w:bookmarkStart w:id="40" w:name="_Toc8405"/>
      <w:bookmarkStart w:id="41" w:name="_Toc11065"/>
      <w:r>
        <w:rPr>
          <w:rFonts w:hint="eastAsia" w:ascii="仿宋" w:hAnsi="仿宋" w:eastAsia="仿宋" w:cs="Times New Roman"/>
          <w:b/>
          <w:bCs w:val="0"/>
          <w:kern w:val="2"/>
          <w:sz w:val="32"/>
          <w:szCs w:val="32"/>
          <w:lang w:val="en-US" w:eastAsia="zh-CN" w:bidi="ar-SA"/>
        </w:rPr>
        <w:t>2024年4月3日</w:t>
      </w:r>
      <w:bookmarkEnd w:id="40"/>
      <w:bookmarkEnd w:id="41"/>
    </w:p>
    <w:sectPr>
      <w:footerReference r:id="rId5" w:type="default"/>
      <w:pgSz w:w="11906" w:h="16838"/>
      <w:pgMar w:top="1440" w:right="1474" w:bottom="1440" w:left="1587"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A970691-C721-49A5-B5D6-33E6B6CDEA8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F0F6A63-D5AA-45E9-9265-0D0C962F5554}"/>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embedRegular r:id="rId3" w:fontKey="{64C12F7C-CCB3-43AA-9FE1-55C611CEE2AC}"/>
  </w:font>
  <w:font w:name="方正小标宋简体">
    <w:panose1 w:val="02000000000000000000"/>
    <w:charset w:val="86"/>
    <w:family w:val="auto"/>
    <w:pitch w:val="default"/>
    <w:sig w:usb0="00000001" w:usb1="08000000" w:usb2="00000000" w:usb3="00000000" w:csb0="00040000" w:csb1="00000000"/>
    <w:embedRegular r:id="rId4" w:fontKey="{E77A3405-C07A-4F39-9411-9BC07A553F75}"/>
  </w:font>
  <w:font w:name="仿宋_GB2312">
    <w:panose1 w:val="02010609030101010101"/>
    <w:charset w:val="86"/>
    <w:family w:val="modern"/>
    <w:pitch w:val="default"/>
    <w:sig w:usb0="00000001" w:usb1="080E0000" w:usb2="00000000" w:usb3="00000000" w:csb0="00040000" w:csb1="00000000"/>
    <w:embedRegular r:id="rId5" w:fontKey="{EEB3EA3E-20AB-4820-95E5-90A7465EA44B}"/>
  </w:font>
  <w:font w:name="楷体">
    <w:panose1 w:val="02010609060101010101"/>
    <w:charset w:val="86"/>
    <w:family w:val="auto"/>
    <w:pitch w:val="default"/>
    <w:sig w:usb0="800002BF" w:usb1="38CF7CFA" w:usb2="00000016" w:usb3="00000000" w:csb0="00040001" w:csb1="00000000"/>
    <w:embedRegular r:id="rId6" w:fontKey="{20E45CB5-139B-4856-A847-D3BF9175A298}"/>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51504B"/>
    <w:multiLevelType w:val="singleLevel"/>
    <w:tmpl w:val="AD51504B"/>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xZWQwYjA0YzUyMWM0OTQyNDNmODk5MTBiMWQ4MzAifQ=="/>
  </w:docVars>
  <w:rsids>
    <w:rsidRoot w:val="45616303"/>
    <w:rsid w:val="007E4A19"/>
    <w:rsid w:val="014337F8"/>
    <w:rsid w:val="0170013A"/>
    <w:rsid w:val="01E736DC"/>
    <w:rsid w:val="0337493F"/>
    <w:rsid w:val="04CD61FB"/>
    <w:rsid w:val="05F73B04"/>
    <w:rsid w:val="062F6780"/>
    <w:rsid w:val="077F4088"/>
    <w:rsid w:val="097E6863"/>
    <w:rsid w:val="0AB94B2B"/>
    <w:rsid w:val="0B9566F4"/>
    <w:rsid w:val="0C831CFA"/>
    <w:rsid w:val="0D1F15BD"/>
    <w:rsid w:val="0DA86CB2"/>
    <w:rsid w:val="0FBE2B5A"/>
    <w:rsid w:val="10A342B4"/>
    <w:rsid w:val="12D22E65"/>
    <w:rsid w:val="132316DC"/>
    <w:rsid w:val="15DE62C9"/>
    <w:rsid w:val="168224A3"/>
    <w:rsid w:val="1706734A"/>
    <w:rsid w:val="1B2607E4"/>
    <w:rsid w:val="1B397082"/>
    <w:rsid w:val="1B6F54BE"/>
    <w:rsid w:val="1DA84CB7"/>
    <w:rsid w:val="1E0068A1"/>
    <w:rsid w:val="1FAC5170"/>
    <w:rsid w:val="21611D4D"/>
    <w:rsid w:val="21676C37"/>
    <w:rsid w:val="26002B8D"/>
    <w:rsid w:val="2A891D3F"/>
    <w:rsid w:val="2C4F375B"/>
    <w:rsid w:val="2FCF4325"/>
    <w:rsid w:val="3079519A"/>
    <w:rsid w:val="3A8A77C7"/>
    <w:rsid w:val="3B284A78"/>
    <w:rsid w:val="3C9C5234"/>
    <w:rsid w:val="3E815103"/>
    <w:rsid w:val="42713368"/>
    <w:rsid w:val="43317CE6"/>
    <w:rsid w:val="44593B2B"/>
    <w:rsid w:val="45616303"/>
    <w:rsid w:val="47F05881"/>
    <w:rsid w:val="485F2101"/>
    <w:rsid w:val="4A043F63"/>
    <w:rsid w:val="4C6D0CF6"/>
    <w:rsid w:val="4D616AAD"/>
    <w:rsid w:val="51711289"/>
    <w:rsid w:val="52E25375"/>
    <w:rsid w:val="5387152B"/>
    <w:rsid w:val="53EC3E90"/>
    <w:rsid w:val="550B72FE"/>
    <w:rsid w:val="5A547786"/>
    <w:rsid w:val="5E1C0C18"/>
    <w:rsid w:val="616736A5"/>
    <w:rsid w:val="62E53885"/>
    <w:rsid w:val="650E243D"/>
    <w:rsid w:val="65F567AB"/>
    <w:rsid w:val="68673F82"/>
    <w:rsid w:val="68953657"/>
    <w:rsid w:val="6DAA04F9"/>
    <w:rsid w:val="6DAF6EBC"/>
    <w:rsid w:val="71846312"/>
    <w:rsid w:val="734D525A"/>
    <w:rsid w:val="77916753"/>
    <w:rsid w:val="79F521A7"/>
    <w:rsid w:val="7A465BB6"/>
    <w:rsid w:val="7E892FF5"/>
    <w:rsid w:val="7EC954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6"/>
    <w:basedOn w:val="1"/>
    <w:next w:val="1"/>
    <w:autoRedefine/>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2">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autoRedefine/>
    <w:semiHidden/>
    <w:unhideWhenUsed/>
    <w:qFormat/>
    <w:uiPriority w:val="99"/>
    <w:pPr>
      <w:ind w:firstLine="420" w:firstLineChars="200"/>
    </w:pPr>
  </w:style>
  <w:style w:type="paragraph" w:styleId="3">
    <w:name w:val="Body Text Indent"/>
    <w:basedOn w:val="1"/>
    <w:autoRedefine/>
    <w:semiHidden/>
    <w:unhideWhenUsed/>
    <w:qFormat/>
    <w:uiPriority w:val="99"/>
    <w:pPr>
      <w:spacing w:after="120" w:afterLines="0" w:afterAutospacing="0"/>
      <w:ind w:left="420" w:leftChars="200"/>
    </w:pPr>
  </w:style>
  <w:style w:type="paragraph" w:styleId="5">
    <w:name w:val="Normal Indent"/>
    <w:basedOn w:val="1"/>
    <w:autoRedefine/>
    <w:unhideWhenUsed/>
    <w:qFormat/>
    <w:uiPriority w:val="99"/>
    <w:pPr>
      <w:ind w:firstLine="420" w:firstLineChars="200"/>
    </w:pPr>
  </w:style>
  <w:style w:type="paragraph" w:styleId="6">
    <w:name w:val="Body Text Indent 2"/>
    <w:basedOn w:val="1"/>
    <w:autoRedefine/>
    <w:qFormat/>
    <w:uiPriority w:val="0"/>
    <w:pPr>
      <w:spacing w:after="120" w:afterLines="0" w:line="480" w:lineRule="auto"/>
      <w:ind w:left="420" w:leftChars="200"/>
    </w:pPr>
    <w:rPr>
      <w:rFonts w:ascii="Times New Roman" w:hAnsi="Times New Roman" w:eastAsia="宋体" w:cs="Times New Roman"/>
    </w:rPr>
  </w:style>
  <w:style w:type="paragraph" w:styleId="7">
    <w:name w:val="footer"/>
    <w:basedOn w:val="1"/>
    <w:autoRedefine/>
    <w:qFormat/>
    <w:uiPriority w:val="0"/>
    <w:pPr>
      <w:tabs>
        <w:tab w:val="center" w:pos="4153"/>
        <w:tab w:val="right" w:pos="8306"/>
      </w:tabs>
      <w:snapToGrid w:val="0"/>
      <w:jc w:val="left"/>
    </w:pPr>
    <w:rPr>
      <w:sz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toc 1"/>
    <w:basedOn w:val="1"/>
    <w:next w:val="1"/>
    <w:autoRedefine/>
    <w:qFormat/>
    <w:uiPriority w:val="0"/>
  </w:style>
  <w:style w:type="paragraph" w:styleId="10">
    <w:name w:val="toc 2"/>
    <w:next w:val="1"/>
    <w:autoRedefine/>
    <w:qFormat/>
    <w:uiPriority w:val="0"/>
    <w:pPr>
      <w:ind w:left="420" w:leftChars="200"/>
    </w:pPr>
    <w:rPr>
      <w:rFonts w:ascii="Times New Roman" w:hAnsi="Times New Roman" w:eastAsia="宋体" w:cs="Times New Roman"/>
    </w:rPr>
  </w:style>
  <w:style w:type="paragraph" w:customStyle="1" w:styleId="13">
    <w:name w:val="WPSOffice手动目录 1"/>
    <w:autoRedefine/>
    <w:qFormat/>
    <w:uiPriority w:val="0"/>
    <w:pPr>
      <w:ind w:leftChars="0"/>
    </w:pPr>
    <w:rPr>
      <w:rFonts w:asciiTheme="minorHAnsi" w:hAnsiTheme="minorHAnsi" w:eastAsiaTheme="minorEastAsia" w:cstheme="minorBidi"/>
      <w:sz w:val="20"/>
      <w:szCs w:val="20"/>
    </w:rPr>
  </w:style>
  <w:style w:type="paragraph" w:customStyle="1" w:styleId="14">
    <w:name w:val="WPSOffice手动目录 2"/>
    <w:autoRedefine/>
    <w:qFormat/>
    <w:uiPriority w:val="0"/>
    <w:pPr>
      <w:ind w:leftChars="200"/>
    </w:pPr>
    <w:rPr>
      <w:rFonts w:asciiTheme="minorHAnsi" w:hAnsiTheme="minorHAnsi" w:eastAsiaTheme="minorEastAsia" w:cstheme="minorBidi"/>
      <w:sz w:val="20"/>
      <w:szCs w:val="20"/>
    </w:rPr>
  </w:style>
  <w:style w:type="paragraph" w:customStyle="1" w:styleId="15">
    <w:name w:val="index 9"/>
    <w:basedOn w:val="1"/>
    <w:next w:val="1"/>
    <w:autoRedefine/>
    <w:qFormat/>
    <w:uiPriority w:val="0"/>
    <w:pPr>
      <w:ind w:left="3360"/>
    </w:pPr>
    <w:rPr>
      <w:rFonts w:ascii="Times New Roman" w:hAnsi="Times New Roman" w:eastAsia="宋体" w:cs="等线"/>
      <w:szCs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8084</Words>
  <Characters>8503</Characters>
  <Lines>0</Lines>
  <Paragraphs>0</Paragraphs>
  <TotalTime>13</TotalTime>
  <ScaleCrop>false</ScaleCrop>
  <LinksUpToDate>false</LinksUpToDate>
  <CharactersWithSpaces>8636</CharactersWithSpaces>
  <Application>WPS Office_12.1.0.16910_F1E327BC-269C-435d-A152-05C5408002CA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2022-03-29T08:02:00Z</dcterms:created>
  <dc:creator>你是我的神经病1417941470</dc:creator>
  <cp:lastModifiedBy>小皮.</cp:lastModifiedBy>
  <cp:lastPrinted>2022-03-31T03:28:00Z</cp:lastPrinted>
  <dcterms:modified xsi:type="dcterms:W3CDTF">2024-05-14T02:03:14Z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2052-12.1.0.16910</vt:lpwstr>
  </property>
  <property fmtid="{D5CDD505-2E9C-101B-9397-08002B2CF9AE}" pid="3" name="ICV">
    <vt:lpwstr>34EAF5660494476DAD254CB9E8ECE44D_13</vt:lpwstr>
  </property>
</Properties>
</file>