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hint="eastAsia" w:ascii="宋体" w:hAnsi="宋体" w:eastAsia="宋体" w:cs="宋体"/>
          <w:b/>
          <w:bCs/>
          <w:sz w:val="44"/>
          <w:szCs w:val="44"/>
          <w:highlight w:val="none"/>
          <w:shd w:val="clear" w:color="auto" w:fill="auto"/>
        </w:rPr>
      </w:pP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shd w:val="clear" w:color="auto" w:fill="auto"/>
          <w:lang w:eastAsia="zh-CN"/>
        </w:rPr>
      </w:pPr>
      <w:r>
        <w:rPr>
          <w:rFonts w:hint="eastAsia" w:ascii="宋体" w:hAnsi="宋体" w:cs="宋体"/>
          <w:b/>
          <w:bCs/>
          <w:kern w:val="0"/>
          <w:sz w:val="44"/>
          <w:szCs w:val="44"/>
          <w:highlight w:val="none"/>
          <w:shd w:val="clear" w:color="auto" w:fill="auto"/>
          <w:lang w:val="en-US" w:eastAsia="zh-CN"/>
        </w:rPr>
        <w:t>中共</w:t>
      </w:r>
      <w:r>
        <w:rPr>
          <w:rFonts w:hint="eastAsia" w:ascii="宋体" w:hAnsi="宋体" w:cs="宋体"/>
          <w:b/>
          <w:bCs/>
          <w:kern w:val="0"/>
          <w:sz w:val="44"/>
          <w:szCs w:val="44"/>
          <w:highlight w:val="none"/>
          <w:shd w:val="clear" w:color="auto" w:fill="auto"/>
          <w:lang w:eastAsia="zh-CN"/>
        </w:rPr>
        <w:t>石家庄市</w:t>
      </w:r>
      <w:r>
        <w:rPr>
          <w:rFonts w:hint="eastAsia" w:ascii="宋体" w:hAnsi="宋体" w:cs="宋体"/>
          <w:b/>
          <w:bCs/>
          <w:kern w:val="0"/>
          <w:sz w:val="44"/>
          <w:szCs w:val="44"/>
          <w:highlight w:val="none"/>
          <w:shd w:val="clear" w:color="auto" w:fill="auto"/>
          <w:lang w:val="en-US" w:eastAsia="zh-CN"/>
        </w:rPr>
        <w:t>委老干部局</w:t>
      </w: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shd w:val="clear" w:color="auto" w:fill="auto"/>
          <w:lang w:eastAsia="zh-CN"/>
        </w:rPr>
      </w:pPr>
      <w:r>
        <w:rPr>
          <w:rFonts w:hint="eastAsia" w:ascii="宋体" w:hAnsi="宋体" w:cs="宋体"/>
          <w:b/>
          <w:bCs/>
          <w:kern w:val="0"/>
          <w:sz w:val="44"/>
          <w:szCs w:val="44"/>
          <w:highlight w:val="none"/>
          <w:shd w:val="clear" w:color="auto" w:fill="auto"/>
          <w:lang w:val="en-US" w:eastAsia="zh-CN"/>
        </w:rPr>
        <w:t>2023年度部门整体支出绩效</w:t>
      </w:r>
      <w:r>
        <w:rPr>
          <w:rFonts w:hint="eastAsia" w:ascii="宋体" w:hAnsi="宋体" w:cs="宋体"/>
          <w:b/>
          <w:bCs/>
          <w:kern w:val="0"/>
          <w:sz w:val="44"/>
          <w:szCs w:val="44"/>
          <w:highlight w:val="none"/>
          <w:shd w:val="clear" w:color="auto" w:fill="auto"/>
          <w:lang w:eastAsia="zh-CN"/>
        </w:rPr>
        <w:t>自评报告</w:t>
      </w: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default" w:ascii="方正小标宋简体" w:hAnsi="Calibri" w:eastAsia="方正小标宋简体" w:cs="黑体"/>
          <w:b/>
          <w:bCs/>
          <w:sz w:val="44"/>
          <w:szCs w:val="44"/>
          <w:highlight w:val="none"/>
          <w:shd w:val="clear" w:color="auto" w:fill="auto"/>
          <w:lang w:val="en-US" w:eastAsia="zh-CN"/>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pPr>
        <w:keepNext w:val="0"/>
        <w:keepLines w:val="0"/>
        <w:pageBreakBefore w:val="0"/>
        <w:widowControl w:val="0"/>
        <w:kinsoku/>
        <w:wordWrap/>
        <w:overflowPunct/>
        <w:topLinePunct w:val="0"/>
        <w:autoSpaceDE/>
        <w:autoSpaceDN/>
        <w:bidi w:val="0"/>
        <w:adjustRightInd/>
        <w:snapToGrid/>
        <w:spacing w:before="240" w:after="60" w:line="780" w:lineRule="exact"/>
        <w:textAlignment w:val="auto"/>
        <w:rPr>
          <w:rFonts w:ascii="仿宋_GB2312" w:hAnsi="Calibri" w:eastAsia="仿宋_GB2312"/>
          <w:bCs/>
          <w:kern w:val="28"/>
          <w:sz w:val="32"/>
          <w:szCs w:val="20"/>
          <w:highlight w:val="none"/>
          <w:shd w:val="clear" w:color="auto" w:fill="auto"/>
          <w:lang w:val="zh-CN"/>
        </w:rPr>
      </w:pPr>
    </w:p>
    <w:p>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eastAsia" w:eastAsia="宋体" w:cs="Times New Roman"/>
          <w:b/>
          <w:bCs/>
          <w:sz w:val="32"/>
          <w:szCs w:val="32"/>
          <w:highlight w:val="none"/>
          <w:shd w:val="clear" w:color="auto" w:fill="auto"/>
          <w:lang w:val="en-US" w:eastAsia="zh-CN"/>
        </w:rPr>
      </w:pPr>
    </w:p>
    <w:p>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default" w:ascii="仿宋_GB2312" w:hAnsi="Calibri" w:eastAsia="仿宋_GB2312"/>
          <w:b/>
          <w:bCs w:val="0"/>
          <w:kern w:val="28"/>
          <w:sz w:val="32"/>
          <w:szCs w:val="20"/>
          <w:highlight w:val="none"/>
          <w:shd w:val="clear" w:color="auto" w:fill="auto"/>
          <w:lang w:val="en-US" w:eastAsia="zh-CN"/>
        </w:rPr>
      </w:pPr>
      <w:r>
        <w:rPr>
          <w:rFonts w:hint="eastAsia" w:cs="Times New Roman"/>
          <w:b/>
          <w:bCs/>
          <w:sz w:val="32"/>
          <w:szCs w:val="32"/>
          <w:highlight w:val="none"/>
          <w:shd w:val="clear" w:color="auto" w:fill="auto"/>
          <w:lang w:val="en-US" w:eastAsia="zh-CN"/>
        </w:rPr>
        <w:t>中共石家庄市委老干部局</w:t>
      </w: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shd w:val="clear" w:color="auto" w:fill="auto"/>
          <w:lang w:val="zh-CN"/>
        </w:rPr>
      </w:pPr>
      <w:bookmarkStart w:id="0" w:name="_Toc3470"/>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shd w:val="clear" w:color="auto" w:fill="auto"/>
          <w:lang w:val="zh-CN"/>
        </w:rPr>
      </w:pP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宋体" w:hAnsi="宋体" w:eastAsia="宋体" w:cs="宋体"/>
          <w:sz w:val="44"/>
          <w:szCs w:val="44"/>
          <w:highlight w:val="none"/>
          <w:shd w:val="clear" w:color="auto" w:fill="auto"/>
        </w:rPr>
      </w:pPr>
      <w:r>
        <w:rPr>
          <w:rFonts w:hint="eastAsia" w:eastAsia="宋体" w:cs="Times New Roman"/>
          <w:b/>
          <w:bCs/>
          <w:sz w:val="32"/>
          <w:szCs w:val="32"/>
          <w:highlight w:val="none"/>
          <w:shd w:val="clear" w:color="auto" w:fill="auto"/>
          <w:lang w:val="zh-CN" w:eastAsia="zh-CN"/>
        </w:rPr>
        <w:t>202</w:t>
      </w:r>
      <w:r>
        <w:rPr>
          <w:rFonts w:hint="eastAsia" w:cs="Times New Roman"/>
          <w:b/>
          <w:bCs/>
          <w:sz w:val="32"/>
          <w:szCs w:val="32"/>
          <w:highlight w:val="none"/>
          <w:shd w:val="clear" w:color="auto" w:fill="auto"/>
          <w:lang w:val="en-US" w:eastAsia="zh-CN"/>
        </w:rPr>
        <w:t>4</w:t>
      </w:r>
      <w:r>
        <w:rPr>
          <w:rFonts w:hint="eastAsia" w:eastAsia="宋体" w:cs="Times New Roman"/>
          <w:b/>
          <w:bCs/>
          <w:sz w:val="32"/>
          <w:szCs w:val="32"/>
          <w:highlight w:val="none"/>
          <w:shd w:val="clear" w:color="auto" w:fill="auto"/>
          <w:lang w:val="zh-CN" w:eastAsia="zh-CN"/>
        </w:rPr>
        <w:t>年</w:t>
      </w:r>
      <w:r>
        <w:rPr>
          <w:rFonts w:hint="eastAsia" w:cs="Times New Roman"/>
          <w:b/>
          <w:bCs/>
          <w:sz w:val="32"/>
          <w:szCs w:val="32"/>
          <w:highlight w:val="none"/>
          <w:shd w:val="clear" w:color="auto" w:fill="auto"/>
          <w:lang w:val="en-US" w:eastAsia="zh-CN"/>
        </w:rPr>
        <w:t>4</w:t>
      </w:r>
      <w:r>
        <w:rPr>
          <w:rFonts w:hint="eastAsia" w:eastAsia="宋体" w:cs="Times New Roman"/>
          <w:b/>
          <w:bCs/>
          <w:sz w:val="32"/>
          <w:szCs w:val="32"/>
          <w:highlight w:val="none"/>
          <w:shd w:val="clear" w:color="auto" w:fill="auto"/>
          <w:lang w:val="zh-CN" w:eastAsia="zh-CN"/>
        </w:rPr>
        <w:t>月</w:t>
      </w:r>
      <w:bookmarkEnd w:id="0"/>
    </w:p>
    <w:p>
      <w:pPr>
        <w:spacing w:line="360" w:lineRule="auto"/>
        <w:jc w:val="both"/>
        <w:rPr>
          <w:rFonts w:hint="eastAsia" w:ascii="宋体" w:hAnsi="宋体" w:eastAsia="宋体" w:cs="宋体"/>
          <w:sz w:val="44"/>
          <w:szCs w:val="44"/>
          <w:highlight w:val="none"/>
          <w:shd w:val="clear" w:color="auto" w:fill="auto"/>
        </w:rPr>
      </w:pPr>
    </w:p>
    <w:p>
      <w:pPr>
        <w:spacing w:line="360" w:lineRule="auto"/>
        <w:jc w:val="both"/>
        <w:rPr>
          <w:rFonts w:hint="eastAsia" w:ascii="仿宋_GB2312" w:hAnsi="Calibri" w:eastAsia="仿宋_GB2312"/>
          <w:bCs/>
          <w:sz w:val="32"/>
          <w:szCs w:val="20"/>
          <w:highlight w:val="none"/>
          <w:shd w:val="clear" w:color="auto" w:fill="auto"/>
          <w:lang w:val="zh-CN"/>
        </w:rPr>
        <w:sectPr>
          <w:headerReference r:id="rId3" w:type="default"/>
          <w:pgSz w:w="11906" w:h="16838"/>
          <w:pgMar w:top="2041" w:right="1304" w:bottom="1701" w:left="1531" w:header="851" w:footer="992" w:gutter="0"/>
          <w:pgBorders>
            <w:top w:val="none" w:sz="0" w:space="0"/>
            <w:left w:val="none" w:sz="0" w:space="0"/>
            <w:bottom w:val="none" w:sz="0" w:space="0"/>
            <w:right w:val="none" w:sz="0" w:space="0"/>
          </w:pgBorders>
          <w:pgNumType w:fmt="decimal"/>
          <w:cols w:space="720" w:num="1"/>
          <w:docGrid w:type="lines" w:linePitch="312" w:charSpace="0"/>
        </w:sectPr>
      </w:pPr>
    </w:p>
    <w:sdt>
      <w:sdtPr>
        <w:rPr>
          <w:rFonts w:ascii="宋体" w:hAnsi="宋体" w:eastAsia="宋体" w:cs="黑体"/>
          <w:kern w:val="2"/>
          <w:sz w:val="21"/>
          <w:szCs w:val="22"/>
          <w:highlight w:val="none"/>
          <w:shd w:val="clear" w:color="auto" w:fill="auto"/>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21"/>
          <w:szCs w:val="44"/>
          <w:highlight w:val="none"/>
          <w:shd w:val="clear" w:color="auto" w:fill="auto"/>
          <w:lang w:val="en-US" w:eastAsia="zh-CN" w:bidi="ar-SA"/>
        </w:rPr>
      </w:sdtEndPr>
      <w:sdtContent>
        <w:p>
          <w:pPr>
            <w:tabs>
              <w:tab w:val="left" w:pos="1151"/>
            </w:tabs>
            <w:spacing w:before="0" w:beforeLines="0" w:after="0" w:afterLines="0" w:line="240" w:lineRule="auto"/>
            <w:ind w:left="0" w:leftChars="0" w:right="0" w:rightChars="0" w:firstLine="0" w:firstLineChars="0"/>
            <w:jc w:val="center"/>
            <w:outlineLvl w:val="9"/>
            <w:rPr>
              <w:rFonts w:ascii="宋体" w:hAnsi="宋体" w:eastAsia="宋体"/>
              <w:b/>
              <w:bCs/>
              <w:sz w:val="32"/>
              <w:szCs w:val="32"/>
              <w:highlight w:val="none"/>
              <w:shd w:val="clear" w:color="auto" w:fill="auto"/>
            </w:rPr>
          </w:pPr>
          <w:r>
            <w:rPr>
              <w:rFonts w:hint="eastAsia" w:ascii="宋体" w:hAnsi="宋体" w:eastAsia="宋体" w:cs="Times New Roman"/>
              <w:b/>
              <w:bCs/>
              <w:kern w:val="2"/>
              <w:sz w:val="36"/>
              <w:szCs w:val="36"/>
              <w:highlight w:val="none"/>
              <w:shd w:val="clear" w:color="auto" w:fill="auto"/>
              <w:lang w:val="en-US" w:eastAsia="zh-CN" w:bidi="ar-SA"/>
            </w:rPr>
            <w:t>目录</w:t>
          </w:r>
        </w:p>
        <w:p>
          <w:pPr>
            <w:pStyle w:val="4"/>
            <w:rPr>
              <w:highlight w:val="none"/>
              <w:shd w:val="clear" w:color="auto" w:fill="auto"/>
            </w:rPr>
          </w:pPr>
        </w:p>
        <w:p>
          <w:pPr>
            <w:pStyle w:val="8"/>
            <w:tabs>
              <w:tab w:val="right" w:leader="dot" w:pos="8845"/>
            </w:tabs>
            <w:rPr>
              <w:highlight w:val="none"/>
              <w:shd w:val="clear" w:color="auto" w:fill="auto"/>
            </w:rPr>
          </w:pPr>
          <w:r>
            <w:rPr>
              <w:rFonts w:hint="eastAsia" w:ascii="宋体" w:hAnsi="宋体" w:cs="宋体"/>
              <w:b/>
              <w:bCs/>
              <w:sz w:val="44"/>
              <w:szCs w:val="44"/>
              <w:highlight w:val="none"/>
              <w:shd w:val="clear" w:color="auto" w:fill="auto"/>
              <w:lang w:eastAsia="zh-CN"/>
            </w:rPr>
            <w:fldChar w:fldCharType="begin"/>
          </w:r>
          <w:r>
            <w:rPr>
              <w:rFonts w:hint="eastAsia" w:ascii="宋体" w:hAnsi="宋体" w:cs="宋体"/>
              <w:b/>
              <w:bCs/>
              <w:sz w:val="44"/>
              <w:szCs w:val="44"/>
              <w:highlight w:val="none"/>
              <w:shd w:val="clear" w:color="auto" w:fill="auto"/>
              <w:lang w:eastAsia="zh-CN"/>
            </w:rPr>
            <w:instrText xml:space="preserve">TOC \o "1-2" \h \u </w:instrText>
          </w:r>
          <w:r>
            <w:rPr>
              <w:rFonts w:hint="eastAsia" w:ascii="宋体" w:hAnsi="宋体" w:cs="宋体"/>
              <w:b/>
              <w:bCs/>
              <w:sz w:val="44"/>
              <w:szCs w:val="44"/>
              <w:highlight w:val="none"/>
              <w:shd w:val="clear" w:color="auto" w:fill="auto"/>
              <w:lang w:eastAsia="zh-CN"/>
            </w:rPr>
            <w:fldChar w:fldCharType="separate"/>
          </w: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_Toc28342 </w:instrText>
          </w:r>
          <w:r>
            <w:rPr>
              <w:rFonts w:hint="eastAsia" w:ascii="宋体" w:hAnsi="宋体" w:cs="宋体"/>
              <w:bCs/>
              <w:szCs w:val="44"/>
              <w:highlight w:val="none"/>
              <w:shd w:val="clear" w:color="auto" w:fill="auto"/>
              <w:lang w:eastAsia="zh-CN"/>
            </w:rPr>
            <w:fldChar w:fldCharType="separate"/>
          </w:r>
          <w:r>
            <w:rPr>
              <w:rFonts w:hint="eastAsia" w:ascii="黑体" w:hAnsi="黑体" w:eastAsia="黑体"/>
              <w:szCs w:val="32"/>
              <w:highlight w:val="none"/>
              <w:shd w:val="clear" w:color="auto" w:fill="auto"/>
            </w:rPr>
            <w:t>一、</w:t>
          </w:r>
          <w:r>
            <w:rPr>
              <w:rFonts w:hint="eastAsia" w:ascii="黑体" w:hAnsi="黑体" w:eastAsia="黑体"/>
              <w:szCs w:val="32"/>
              <w:highlight w:val="none"/>
              <w:shd w:val="clear" w:color="auto" w:fill="auto"/>
              <w:lang w:eastAsia="zh-CN"/>
            </w:rPr>
            <w:t>部门</w:t>
          </w:r>
          <w:r>
            <w:rPr>
              <w:rFonts w:hint="eastAsia" w:ascii="黑体" w:hAnsi="黑体" w:eastAsia="黑体"/>
              <w:szCs w:val="36"/>
              <w:highlight w:val="none"/>
              <w:shd w:val="clear" w:color="auto" w:fill="auto"/>
            </w:rPr>
            <w:t>基本情况</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_Toc28342 \h </w:instrText>
          </w:r>
          <w:r>
            <w:rPr>
              <w:highlight w:val="none"/>
              <w:shd w:val="clear" w:color="auto" w:fill="auto"/>
            </w:rPr>
            <w:fldChar w:fldCharType="separate"/>
          </w:r>
          <w:r>
            <w:rPr>
              <w:highlight w:val="none"/>
              <w:shd w:val="clear" w:color="auto" w:fill="auto"/>
            </w:rPr>
            <w:t>- 1 -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_Toc15197 </w:instrText>
          </w:r>
          <w:r>
            <w:rPr>
              <w:rFonts w:hint="eastAsia" w:ascii="宋体" w:hAnsi="宋体" w:cs="宋体"/>
              <w:bCs/>
              <w:szCs w:val="44"/>
              <w:highlight w:val="none"/>
              <w:shd w:val="clear" w:color="auto" w:fill="auto"/>
              <w:lang w:eastAsia="zh-CN"/>
            </w:rPr>
            <w:fldChar w:fldCharType="separate"/>
          </w:r>
          <w:r>
            <w:rPr>
              <w:rFonts w:hint="eastAsia" w:ascii="楷体" w:hAnsi="楷体" w:eastAsia="楷体" w:cs="楷体"/>
              <w:szCs w:val="32"/>
              <w:highlight w:val="none"/>
              <w:shd w:val="clear" w:color="auto" w:fill="auto"/>
            </w:rPr>
            <w:t>（一）</w:t>
          </w:r>
          <w:r>
            <w:rPr>
              <w:rFonts w:hint="eastAsia" w:ascii="楷体" w:hAnsi="楷体" w:eastAsia="楷体" w:cs="楷体"/>
              <w:szCs w:val="32"/>
              <w:highlight w:val="none"/>
              <w:shd w:val="clear" w:color="auto" w:fill="auto"/>
              <w:lang w:eastAsia="zh-CN"/>
            </w:rPr>
            <w:t>部门</w:t>
          </w:r>
          <w:r>
            <w:rPr>
              <w:rFonts w:hint="eastAsia" w:ascii="楷体" w:hAnsi="楷体" w:eastAsia="楷体" w:cs="楷体"/>
              <w:szCs w:val="32"/>
              <w:highlight w:val="none"/>
              <w:shd w:val="clear" w:color="auto" w:fill="auto"/>
            </w:rPr>
            <w:t>概况</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_Toc15197 \h </w:instrText>
          </w:r>
          <w:r>
            <w:rPr>
              <w:highlight w:val="none"/>
              <w:shd w:val="clear" w:color="auto" w:fill="auto"/>
            </w:rPr>
            <w:fldChar w:fldCharType="separate"/>
          </w:r>
          <w:r>
            <w:rPr>
              <w:highlight w:val="none"/>
              <w:shd w:val="clear" w:color="auto" w:fill="auto"/>
            </w:rPr>
            <w:t>- 1 -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_Toc1285 </w:instrText>
          </w:r>
          <w:r>
            <w:rPr>
              <w:rFonts w:hint="eastAsia" w:ascii="宋体" w:hAnsi="宋体" w:cs="宋体"/>
              <w:bCs/>
              <w:szCs w:val="44"/>
              <w:highlight w:val="none"/>
              <w:shd w:val="clear" w:color="auto" w:fill="auto"/>
              <w:lang w:eastAsia="zh-CN"/>
            </w:rPr>
            <w:fldChar w:fldCharType="separate"/>
          </w:r>
          <w:r>
            <w:rPr>
              <w:rFonts w:hint="eastAsia" w:ascii="仿宋_GB2312" w:hAnsi="仿宋" w:eastAsia="仿宋_GB2312"/>
              <w:szCs w:val="32"/>
              <w:highlight w:val="none"/>
              <w:shd w:val="clear" w:color="auto" w:fill="auto"/>
              <w:lang w:val="en-US" w:eastAsia="zh-CN"/>
            </w:rPr>
            <w:t xml:space="preserve">（二） </w:t>
          </w:r>
          <w:r>
            <w:rPr>
              <w:rFonts w:hint="eastAsia" w:ascii="楷体" w:hAnsi="楷体" w:eastAsia="楷体" w:cs="楷体"/>
              <w:szCs w:val="32"/>
              <w:highlight w:val="none"/>
              <w:shd w:val="clear" w:color="auto" w:fill="auto"/>
              <w:lang w:eastAsia="zh-CN"/>
            </w:rPr>
            <w:t>部门收支预决算情况</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_Toc1285 \h </w:instrText>
          </w:r>
          <w:r>
            <w:rPr>
              <w:highlight w:val="none"/>
              <w:shd w:val="clear" w:color="auto" w:fill="auto"/>
            </w:rPr>
            <w:fldChar w:fldCharType="separate"/>
          </w:r>
          <w:r>
            <w:rPr>
              <w:highlight w:val="none"/>
              <w:shd w:val="clear" w:color="auto" w:fill="auto"/>
            </w:rPr>
            <w:t>- 3 -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_Toc18831 </w:instrText>
          </w:r>
          <w:r>
            <w:rPr>
              <w:rFonts w:hint="eastAsia" w:ascii="宋体" w:hAnsi="宋体" w:cs="宋体"/>
              <w:bCs/>
              <w:szCs w:val="44"/>
              <w:highlight w:val="none"/>
              <w:shd w:val="clear" w:color="auto" w:fill="auto"/>
              <w:lang w:eastAsia="zh-CN"/>
            </w:rPr>
            <w:fldChar w:fldCharType="separate"/>
          </w:r>
          <w:r>
            <w:rPr>
              <w:rFonts w:hint="eastAsia" w:ascii="楷体" w:hAnsi="楷体" w:eastAsia="楷体" w:cs="楷体"/>
              <w:bCs w:val="0"/>
              <w:szCs w:val="32"/>
              <w:highlight w:val="none"/>
              <w:shd w:val="clear" w:color="auto" w:fill="auto"/>
              <w:lang w:eastAsia="zh-CN"/>
            </w:rPr>
            <w:t>（三）部门整体支出绩效目标、指标</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_Toc18831 \h </w:instrText>
          </w:r>
          <w:r>
            <w:rPr>
              <w:highlight w:val="none"/>
              <w:shd w:val="clear" w:color="auto" w:fill="auto"/>
            </w:rPr>
            <w:fldChar w:fldCharType="separate"/>
          </w:r>
          <w:r>
            <w:rPr>
              <w:highlight w:val="none"/>
              <w:shd w:val="clear" w:color="auto" w:fill="auto"/>
            </w:rPr>
            <w:t>- 4 -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8"/>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_Toc4434 </w:instrText>
          </w:r>
          <w:r>
            <w:rPr>
              <w:rFonts w:hint="eastAsia" w:ascii="宋体" w:hAnsi="宋体" w:cs="宋体"/>
              <w:bCs/>
              <w:szCs w:val="44"/>
              <w:highlight w:val="none"/>
              <w:shd w:val="clear" w:color="auto" w:fill="auto"/>
              <w:lang w:eastAsia="zh-CN"/>
            </w:rPr>
            <w:fldChar w:fldCharType="separate"/>
          </w:r>
          <w:r>
            <w:rPr>
              <w:rFonts w:hint="eastAsia" w:ascii="黑体" w:hAnsi="黑体" w:eastAsia="黑体"/>
              <w:szCs w:val="32"/>
              <w:highlight w:val="none"/>
              <w:shd w:val="clear" w:color="auto" w:fill="auto"/>
            </w:rPr>
            <w:t>二、 自评工作</w:t>
          </w:r>
          <w:r>
            <w:rPr>
              <w:rFonts w:hint="eastAsia" w:ascii="黑体" w:hAnsi="黑体" w:eastAsia="黑体"/>
              <w:szCs w:val="32"/>
              <w:highlight w:val="none"/>
              <w:shd w:val="clear" w:color="auto" w:fill="auto"/>
              <w:lang w:eastAsia="zh-CN"/>
            </w:rPr>
            <w:t>开展</w:t>
          </w:r>
          <w:r>
            <w:rPr>
              <w:rFonts w:hint="eastAsia" w:ascii="黑体" w:hAnsi="黑体" w:eastAsia="黑体"/>
              <w:szCs w:val="32"/>
              <w:highlight w:val="none"/>
              <w:shd w:val="clear" w:color="auto" w:fill="auto"/>
            </w:rPr>
            <w:t>情况</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_Toc4434 \h </w:instrText>
          </w:r>
          <w:r>
            <w:rPr>
              <w:highlight w:val="none"/>
              <w:shd w:val="clear" w:color="auto" w:fill="auto"/>
            </w:rPr>
            <w:fldChar w:fldCharType="separate"/>
          </w:r>
          <w:r>
            <w:rPr>
              <w:highlight w:val="none"/>
              <w:shd w:val="clear" w:color="auto" w:fill="auto"/>
            </w:rPr>
            <w:t>- 5 -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_Toc4325 </w:instrText>
          </w:r>
          <w:r>
            <w:rPr>
              <w:rFonts w:hint="eastAsia" w:ascii="宋体" w:hAnsi="宋体" w:cs="宋体"/>
              <w:bCs/>
              <w:szCs w:val="44"/>
              <w:highlight w:val="none"/>
              <w:shd w:val="clear" w:color="auto" w:fill="auto"/>
              <w:lang w:eastAsia="zh-CN"/>
            </w:rPr>
            <w:fldChar w:fldCharType="separate"/>
          </w:r>
          <w:r>
            <w:rPr>
              <w:rFonts w:hint="eastAsia" w:ascii="楷体" w:hAnsi="楷体" w:eastAsia="楷体" w:cs="楷体"/>
              <w:bCs w:val="0"/>
              <w:szCs w:val="32"/>
              <w:highlight w:val="none"/>
              <w:shd w:val="clear" w:color="auto" w:fill="auto"/>
              <w:lang w:eastAsia="zh-CN"/>
            </w:rPr>
            <w:t>（一）自评的组织工作</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_Toc4325 \h </w:instrText>
          </w:r>
          <w:r>
            <w:rPr>
              <w:highlight w:val="none"/>
              <w:shd w:val="clear" w:color="auto" w:fill="auto"/>
            </w:rPr>
            <w:fldChar w:fldCharType="separate"/>
          </w:r>
          <w:r>
            <w:rPr>
              <w:highlight w:val="none"/>
              <w:shd w:val="clear" w:color="auto" w:fill="auto"/>
            </w:rPr>
            <w:t>- 5 -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_Toc30851 </w:instrText>
          </w:r>
          <w:r>
            <w:rPr>
              <w:rFonts w:hint="eastAsia" w:ascii="宋体" w:hAnsi="宋体" w:cs="宋体"/>
              <w:bCs/>
              <w:szCs w:val="44"/>
              <w:highlight w:val="none"/>
              <w:shd w:val="clear" w:color="auto" w:fill="auto"/>
              <w:lang w:eastAsia="zh-CN"/>
            </w:rPr>
            <w:fldChar w:fldCharType="separate"/>
          </w:r>
          <w:r>
            <w:rPr>
              <w:rFonts w:hint="eastAsia" w:ascii="仿宋_GB2312" w:hAnsi="仿宋_GB2312" w:eastAsia="仿宋_GB2312" w:cs="仿宋_GB2312"/>
              <w:bCs/>
              <w:szCs w:val="32"/>
              <w:highlight w:val="none"/>
              <w:shd w:val="clear" w:color="auto" w:fill="auto"/>
              <w:lang w:eastAsia="zh-CN"/>
            </w:rPr>
            <w:t>（</w:t>
          </w:r>
          <w:r>
            <w:rPr>
              <w:rFonts w:hint="eastAsia" w:ascii="仿宋_GB2312" w:hAnsi="仿宋_GB2312" w:eastAsia="仿宋_GB2312" w:cs="仿宋_GB2312"/>
              <w:bCs/>
              <w:szCs w:val="32"/>
              <w:highlight w:val="none"/>
              <w:shd w:val="clear" w:color="auto" w:fill="auto"/>
              <w:lang w:val="en-US" w:eastAsia="zh-CN"/>
            </w:rPr>
            <w:t>二</w:t>
          </w:r>
          <w:r>
            <w:rPr>
              <w:rFonts w:hint="eastAsia" w:ascii="仿宋_GB2312" w:hAnsi="仿宋_GB2312" w:eastAsia="仿宋_GB2312" w:cs="仿宋_GB2312"/>
              <w:bCs/>
              <w:szCs w:val="32"/>
              <w:highlight w:val="none"/>
              <w:shd w:val="clear" w:color="auto" w:fill="auto"/>
              <w:lang w:eastAsia="zh-CN"/>
            </w:rPr>
            <w:t>）</w:t>
          </w:r>
          <w:r>
            <w:rPr>
              <w:rFonts w:hint="eastAsia" w:ascii="仿宋_GB2312" w:hAnsi="仿宋_GB2312" w:eastAsia="仿宋_GB2312" w:cs="仿宋_GB2312"/>
              <w:bCs/>
              <w:szCs w:val="32"/>
              <w:highlight w:val="none"/>
              <w:shd w:val="clear" w:color="auto" w:fill="auto"/>
            </w:rPr>
            <w:t>绩效自评目的</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_Toc30851 \h </w:instrText>
          </w:r>
          <w:r>
            <w:rPr>
              <w:highlight w:val="none"/>
              <w:shd w:val="clear" w:color="auto" w:fill="auto"/>
            </w:rPr>
            <w:fldChar w:fldCharType="separate"/>
          </w:r>
          <w:r>
            <w:rPr>
              <w:highlight w:val="none"/>
              <w:shd w:val="clear" w:color="auto" w:fill="auto"/>
            </w:rPr>
            <w:t>- 6 -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_Toc3543 </w:instrText>
          </w:r>
          <w:r>
            <w:rPr>
              <w:rFonts w:hint="eastAsia" w:ascii="宋体" w:hAnsi="宋体" w:cs="宋体"/>
              <w:bCs/>
              <w:szCs w:val="44"/>
              <w:highlight w:val="none"/>
              <w:shd w:val="clear" w:color="auto" w:fill="auto"/>
              <w:lang w:eastAsia="zh-CN"/>
            </w:rPr>
            <w:fldChar w:fldCharType="separate"/>
          </w:r>
          <w:r>
            <w:rPr>
              <w:rFonts w:hint="eastAsia" w:ascii="仿宋_GB2312" w:hAnsi="仿宋_GB2312" w:eastAsia="仿宋_GB2312" w:cs="仿宋_GB2312"/>
              <w:bCs/>
              <w:szCs w:val="32"/>
              <w:highlight w:val="none"/>
              <w:shd w:val="clear" w:color="auto" w:fill="auto"/>
              <w:lang w:eastAsia="zh-CN"/>
            </w:rPr>
            <w:t>（</w:t>
          </w:r>
          <w:r>
            <w:rPr>
              <w:rFonts w:hint="eastAsia" w:ascii="仿宋_GB2312" w:hAnsi="仿宋_GB2312" w:eastAsia="仿宋_GB2312" w:cs="仿宋_GB2312"/>
              <w:bCs/>
              <w:szCs w:val="32"/>
              <w:highlight w:val="none"/>
              <w:shd w:val="clear" w:color="auto" w:fill="auto"/>
              <w:lang w:val="en-US" w:eastAsia="zh-CN"/>
            </w:rPr>
            <w:t>三</w:t>
          </w:r>
          <w:r>
            <w:rPr>
              <w:rFonts w:hint="eastAsia" w:ascii="仿宋_GB2312" w:hAnsi="仿宋_GB2312" w:eastAsia="仿宋_GB2312" w:cs="仿宋_GB2312"/>
              <w:bCs/>
              <w:szCs w:val="32"/>
              <w:highlight w:val="none"/>
              <w:shd w:val="clear" w:color="auto" w:fill="auto"/>
              <w:lang w:eastAsia="zh-CN"/>
            </w:rPr>
            <w:t>）</w:t>
          </w:r>
          <w:r>
            <w:rPr>
              <w:rFonts w:hint="eastAsia" w:ascii="仿宋_GB2312" w:hAnsi="仿宋_GB2312" w:eastAsia="仿宋_GB2312" w:cs="仿宋_GB2312"/>
              <w:bCs/>
              <w:szCs w:val="32"/>
              <w:highlight w:val="none"/>
              <w:shd w:val="clear" w:color="auto" w:fill="auto"/>
            </w:rPr>
            <w:t>绩效自评内容</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_Toc3543 \h </w:instrText>
          </w:r>
          <w:r>
            <w:rPr>
              <w:highlight w:val="none"/>
              <w:shd w:val="clear" w:color="auto" w:fill="auto"/>
            </w:rPr>
            <w:fldChar w:fldCharType="separate"/>
          </w:r>
          <w:r>
            <w:rPr>
              <w:highlight w:val="none"/>
              <w:shd w:val="clear" w:color="auto" w:fill="auto"/>
            </w:rPr>
            <w:t>- 6 -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_Toc11202 </w:instrText>
          </w:r>
          <w:r>
            <w:rPr>
              <w:rFonts w:hint="eastAsia" w:ascii="宋体" w:hAnsi="宋体" w:cs="宋体"/>
              <w:bCs/>
              <w:szCs w:val="44"/>
              <w:highlight w:val="none"/>
              <w:shd w:val="clear" w:color="auto" w:fill="auto"/>
              <w:lang w:eastAsia="zh-CN"/>
            </w:rPr>
            <w:fldChar w:fldCharType="separate"/>
          </w:r>
          <w:r>
            <w:rPr>
              <w:rFonts w:hint="eastAsia" w:ascii="仿宋" w:hAnsi="仿宋" w:eastAsia="仿宋" w:cs="楷体_GB2312"/>
              <w:bCs/>
              <w:szCs w:val="32"/>
              <w:highlight w:val="none"/>
              <w:shd w:val="clear" w:color="auto" w:fill="auto"/>
              <w:lang w:eastAsia="zh-CN"/>
            </w:rPr>
            <w:t>（</w:t>
          </w:r>
          <w:r>
            <w:rPr>
              <w:rFonts w:hint="eastAsia" w:ascii="仿宋" w:hAnsi="仿宋" w:eastAsia="仿宋" w:cs="楷体_GB2312"/>
              <w:bCs/>
              <w:szCs w:val="32"/>
              <w:highlight w:val="none"/>
              <w:shd w:val="clear" w:color="auto" w:fill="auto"/>
              <w:lang w:val="en-US" w:eastAsia="zh-CN"/>
            </w:rPr>
            <w:t>四</w:t>
          </w:r>
          <w:r>
            <w:rPr>
              <w:rFonts w:hint="eastAsia" w:ascii="仿宋" w:hAnsi="仿宋" w:eastAsia="仿宋" w:cs="楷体_GB2312"/>
              <w:bCs/>
              <w:szCs w:val="32"/>
              <w:highlight w:val="none"/>
              <w:shd w:val="clear" w:color="auto" w:fill="auto"/>
              <w:lang w:eastAsia="zh-CN"/>
            </w:rPr>
            <w:t>）</w:t>
          </w:r>
          <w:r>
            <w:rPr>
              <w:rFonts w:hint="eastAsia" w:ascii="仿宋" w:hAnsi="仿宋" w:eastAsia="仿宋" w:cs="楷体_GB2312"/>
              <w:bCs/>
              <w:szCs w:val="32"/>
              <w:highlight w:val="none"/>
              <w:shd w:val="clear" w:color="auto" w:fill="auto"/>
            </w:rPr>
            <w:t>自评的方法</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_Toc11202 \h </w:instrText>
          </w:r>
          <w:r>
            <w:rPr>
              <w:highlight w:val="none"/>
              <w:shd w:val="clear" w:color="auto" w:fill="auto"/>
            </w:rPr>
            <w:fldChar w:fldCharType="separate"/>
          </w:r>
          <w:r>
            <w:rPr>
              <w:highlight w:val="none"/>
              <w:shd w:val="clear" w:color="auto" w:fill="auto"/>
            </w:rPr>
            <w:t>- 6 -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_Toc12540 </w:instrText>
          </w:r>
          <w:r>
            <w:rPr>
              <w:rFonts w:hint="eastAsia" w:ascii="宋体" w:hAnsi="宋体" w:cs="宋体"/>
              <w:bCs/>
              <w:szCs w:val="44"/>
              <w:highlight w:val="none"/>
              <w:shd w:val="clear" w:color="auto" w:fill="auto"/>
              <w:lang w:eastAsia="zh-CN"/>
            </w:rPr>
            <w:fldChar w:fldCharType="separate"/>
          </w:r>
          <w:r>
            <w:rPr>
              <w:rFonts w:hint="eastAsia" w:ascii="仿宋_GB2312" w:hAnsi="仿宋_GB2312" w:eastAsia="仿宋_GB2312" w:cs="仿宋_GB2312"/>
              <w:bCs/>
              <w:szCs w:val="32"/>
              <w:highlight w:val="none"/>
              <w:shd w:val="clear" w:color="auto" w:fill="auto"/>
              <w:lang w:eastAsia="zh-CN"/>
            </w:rPr>
            <w:t>（</w:t>
          </w:r>
          <w:r>
            <w:rPr>
              <w:rFonts w:hint="eastAsia" w:ascii="仿宋_GB2312" w:hAnsi="仿宋_GB2312" w:eastAsia="仿宋_GB2312" w:cs="仿宋_GB2312"/>
              <w:bCs/>
              <w:szCs w:val="32"/>
              <w:highlight w:val="none"/>
              <w:shd w:val="clear" w:color="auto" w:fill="auto"/>
              <w:lang w:val="en-US" w:eastAsia="zh-CN"/>
            </w:rPr>
            <w:t>五</w:t>
          </w:r>
          <w:r>
            <w:rPr>
              <w:rFonts w:hint="eastAsia" w:ascii="仿宋_GB2312" w:hAnsi="仿宋_GB2312" w:eastAsia="仿宋_GB2312" w:cs="仿宋_GB2312"/>
              <w:bCs/>
              <w:szCs w:val="32"/>
              <w:highlight w:val="none"/>
              <w:shd w:val="clear" w:color="auto" w:fill="auto"/>
              <w:lang w:eastAsia="zh-CN"/>
            </w:rPr>
            <w:t>）</w:t>
          </w:r>
          <w:r>
            <w:rPr>
              <w:rFonts w:hint="eastAsia" w:ascii="仿宋_GB2312" w:hAnsi="仿宋_GB2312" w:eastAsia="仿宋_GB2312" w:cs="仿宋_GB2312"/>
              <w:bCs/>
              <w:szCs w:val="32"/>
              <w:highlight w:val="none"/>
              <w:shd w:val="clear" w:color="auto" w:fill="auto"/>
            </w:rPr>
            <w:t>绩效自评</w:t>
          </w:r>
          <w:r>
            <w:rPr>
              <w:rFonts w:hint="eastAsia" w:ascii="仿宋_GB2312" w:hAnsi="仿宋_GB2312" w:eastAsia="仿宋_GB2312" w:cs="仿宋_GB2312"/>
              <w:bCs/>
              <w:szCs w:val="32"/>
              <w:highlight w:val="none"/>
              <w:shd w:val="clear" w:color="auto" w:fill="auto"/>
              <w:lang w:val="en-US" w:eastAsia="zh-CN"/>
            </w:rPr>
            <w:t>过程</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_Toc12540 \h </w:instrText>
          </w:r>
          <w:r>
            <w:rPr>
              <w:highlight w:val="none"/>
              <w:shd w:val="clear" w:color="auto" w:fill="auto"/>
            </w:rPr>
            <w:fldChar w:fldCharType="separate"/>
          </w:r>
          <w:r>
            <w:rPr>
              <w:highlight w:val="none"/>
              <w:shd w:val="clear" w:color="auto" w:fill="auto"/>
            </w:rPr>
            <w:t>- 7 -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8"/>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_Toc23113 </w:instrText>
          </w:r>
          <w:r>
            <w:rPr>
              <w:rFonts w:hint="eastAsia" w:ascii="宋体" w:hAnsi="宋体" w:cs="宋体"/>
              <w:bCs/>
              <w:szCs w:val="44"/>
              <w:highlight w:val="none"/>
              <w:shd w:val="clear" w:color="auto" w:fill="auto"/>
              <w:lang w:eastAsia="zh-CN"/>
            </w:rPr>
            <w:fldChar w:fldCharType="separate"/>
          </w:r>
          <w:r>
            <w:rPr>
              <w:rFonts w:hint="eastAsia" w:ascii="黑体" w:hAnsi="黑体" w:eastAsia="黑体"/>
              <w:szCs w:val="32"/>
              <w:highlight w:val="none"/>
              <w:shd w:val="clear" w:color="auto" w:fill="auto"/>
            </w:rPr>
            <w:t>三、</w:t>
          </w:r>
          <w:r>
            <w:rPr>
              <w:rFonts w:hint="eastAsia" w:ascii="黑体" w:hAnsi="黑体" w:eastAsia="黑体"/>
              <w:szCs w:val="32"/>
              <w:highlight w:val="none"/>
              <w:shd w:val="clear" w:color="auto" w:fill="auto"/>
              <w:lang w:eastAsia="zh-CN"/>
            </w:rPr>
            <w:t>部门整体支出</w:t>
          </w:r>
          <w:r>
            <w:rPr>
              <w:rFonts w:hint="eastAsia" w:ascii="黑体" w:hAnsi="黑体" w:eastAsia="黑体"/>
              <w:szCs w:val="32"/>
              <w:highlight w:val="none"/>
              <w:shd w:val="clear" w:color="auto" w:fill="auto"/>
            </w:rPr>
            <w:t>绩效</w:t>
          </w:r>
          <w:r>
            <w:rPr>
              <w:rFonts w:hint="eastAsia" w:ascii="黑体" w:hAnsi="黑体" w:eastAsia="黑体"/>
              <w:szCs w:val="32"/>
              <w:highlight w:val="none"/>
              <w:shd w:val="clear" w:color="auto" w:fill="auto"/>
              <w:lang w:eastAsia="zh-CN"/>
            </w:rPr>
            <w:t>目标实现情况及指标分析</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_Toc23113 \h </w:instrText>
          </w:r>
          <w:r>
            <w:rPr>
              <w:highlight w:val="none"/>
              <w:shd w:val="clear" w:color="auto" w:fill="auto"/>
            </w:rPr>
            <w:fldChar w:fldCharType="separate"/>
          </w:r>
          <w:r>
            <w:rPr>
              <w:highlight w:val="none"/>
              <w:shd w:val="clear" w:color="auto" w:fill="auto"/>
            </w:rPr>
            <w:t>- 7 -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_Toc29092 </w:instrText>
          </w:r>
          <w:r>
            <w:rPr>
              <w:rFonts w:hint="eastAsia" w:ascii="宋体" w:hAnsi="宋体" w:cs="宋体"/>
              <w:bCs/>
              <w:szCs w:val="44"/>
              <w:highlight w:val="none"/>
              <w:shd w:val="clear" w:color="auto" w:fill="auto"/>
              <w:lang w:eastAsia="zh-CN"/>
            </w:rPr>
            <w:fldChar w:fldCharType="separate"/>
          </w:r>
          <w:r>
            <w:rPr>
              <w:rFonts w:hint="eastAsia" w:ascii="仿宋" w:hAnsi="仿宋" w:eastAsia="仿宋"/>
              <w:bCs/>
              <w:szCs w:val="32"/>
              <w:highlight w:val="none"/>
              <w:shd w:val="clear" w:color="auto" w:fill="auto"/>
              <w:lang w:val="en-US" w:eastAsia="zh-CN"/>
            </w:rPr>
            <w:t xml:space="preserve">（一） </w:t>
          </w:r>
          <w:r>
            <w:rPr>
              <w:rFonts w:hint="eastAsia" w:ascii="仿宋" w:hAnsi="仿宋" w:eastAsia="仿宋" w:cs="楷体_GB2312"/>
              <w:bCs/>
              <w:szCs w:val="32"/>
              <w:highlight w:val="none"/>
              <w:shd w:val="clear" w:color="auto" w:fill="auto"/>
              <w:lang w:eastAsia="zh-CN"/>
            </w:rPr>
            <w:t>总体绩效目标实现情况</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_Toc29092 \h </w:instrText>
          </w:r>
          <w:r>
            <w:rPr>
              <w:highlight w:val="none"/>
              <w:shd w:val="clear" w:color="auto" w:fill="auto"/>
            </w:rPr>
            <w:fldChar w:fldCharType="separate"/>
          </w:r>
          <w:r>
            <w:rPr>
              <w:highlight w:val="none"/>
              <w:shd w:val="clear" w:color="auto" w:fill="auto"/>
            </w:rPr>
            <w:t>- 7 -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_Toc30524 </w:instrText>
          </w:r>
          <w:r>
            <w:rPr>
              <w:rFonts w:hint="eastAsia" w:ascii="宋体" w:hAnsi="宋体" w:cs="宋体"/>
              <w:bCs/>
              <w:szCs w:val="44"/>
              <w:highlight w:val="none"/>
              <w:shd w:val="clear" w:color="auto" w:fill="auto"/>
              <w:lang w:eastAsia="zh-CN"/>
            </w:rPr>
            <w:fldChar w:fldCharType="separate"/>
          </w:r>
          <w:r>
            <w:rPr>
              <w:rFonts w:hint="eastAsia" w:ascii="仿宋" w:hAnsi="仿宋" w:eastAsia="仿宋" w:cs="楷体_GB2312"/>
              <w:bCs/>
              <w:szCs w:val="32"/>
              <w:highlight w:val="none"/>
              <w:shd w:val="clear" w:color="auto" w:fill="auto"/>
              <w:lang w:eastAsia="zh-CN"/>
            </w:rPr>
            <w:t>（二） 分项绩效目标实现情况及指标分析</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_Toc30524 \h </w:instrText>
          </w:r>
          <w:r>
            <w:rPr>
              <w:highlight w:val="none"/>
              <w:shd w:val="clear" w:color="auto" w:fill="auto"/>
            </w:rPr>
            <w:fldChar w:fldCharType="separate"/>
          </w:r>
          <w:r>
            <w:rPr>
              <w:highlight w:val="none"/>
              <w:shd w:val="clear" w:color="auto" w:fill="auto"/>
            </w:rPr>
            <w:t>- 8 -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8"/>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_Toc13098 </w:instrText>
          </w:r>
          <w:r>
            <w:rPr>
              <w:rFonts w:hint="eastAsia" w:ascii="宋体" w:hAnsi="宋体" w:cs="宋体"/>
              <w:bCs/>
              <w:szCs w:val="44"/>
              <w:highlight w:val="none"/>
              <w:shd w:val="clear" w:color="auto" w:fill="auto"/>
              <w:lang w:eastAsia="zh-CN"/>
            </w:rPr>
            <w:fldChar w:fldCharType="separate"/>
          </w:r>
          <w:r>
            <w:rPr>
              <w:rFonts w:hint="eastAsia" w:ascii="黑体" w:hAnsi="黑体" w:eastAsia="黑体"/>
              <w:szCs w:val="32"/>
              <w:highlight w:val="none"/>
              <w:shd w:val="clear" w:color="auto" w:fill="auto"/>
            </w:rPr>
            <w:t>四、评价结论和评价等级</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_Toc13098 \h </w:instrText>
          </w:r>
          <w:r>
            <w:rPr>
              <w:highlight w:val="none"/>
              <w:shd w:val="clear" w:color="auto" w:fill="auto"/>
            </w:rPr>
            <w:fldChar w:fldCharType="separate"/>
          </w:r>
          <w:r>
            <w:rPr>
              <w:highlight w:val="none"/>
              <w:shd w:val="clear" w:color="auto" w:fill="auto"/>
            </w:rPr>
            <w:t>- 10 -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8"/>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_Toc18986 </w:instrText>
          </w:r>
          <w:r>
            <w:rPr>
              <w:rFonts w:hint="eastAsia" w:ascii="宋体" w:hAnsi="宋体" w:cs="宋体"/>
              <w:bCs/>
              <w:szCs w:val="44"/>
              <w:highlight w:val="none"/>
              <w:shd w:val="clear" w:color="auto" w:fill="auto"/>
              <w:lang w:eastAsia="zh-CN"/>
            </w:rPr>
            <w:fldChar w:fldCharType="separate"/>
          </w:r>
          <w:r>
            <w:rPr>
              <w:rFonts w:hint="eastAsia" w:ascii="黑体" w:hAnsi="黑体" w:eastAsia="黑体" w:cs="黑体"/>
              <w:szCs w:val="32"/>
              <w:highlight w:val="none"/>
              <w:shd w:val="clear" w:color="auto" w:fill="auto"/>
              <w:lang w:val="en-US" w:eastAsia="zh-CN"/>
            </w:rPr>
            <w:t>五、存在的问题及改进措施</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_Toc18986 \h </w:instrText>
          </w:r>
          <w:r>
            <w:rPr>
              <w:highlight w:val="none"/>
              <w:shd w:val="clear" w:color="auto" w:fill="auto"/>
            </w:rPr>
            <w:fldChar w:fldCharType="separate"/>
          </w:r>
          <w:r>
            <w:rPr>
              <w:highlight w:val="none"/>
              <w:shd w:val="clear" w:color="auto" w:fill="auto"/>
            </w:rPr>
            <w:t>- 11 -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_Toc20992 </w:instrText>
          </w:r>
          <w:r>
            <w:rPr>
              <w:rFonts w:hint="eastAsia" w:ascii="宋体" w:hAnsi="宋体" w:cs="宋体"/>
              <w:bCs/>
              <w:szCs w:val="44"/>
              <w:highlight w:val="none"/>
              <w:shd w:val="clear" w:color="auto" w:fill="auto"/>
              <w:lang w:eastAsia="zh-CN"/>
            </w:rPr>
            <w:fldChar w:fldCharType="separate"/>
          </w:r>
          <w:r>
            <w:rPr>
              <w:rFonts w:hint="eastAsia" w:ascii="仿宋" w:hAnsi="仿宋" w:eastAsia="仿宋"/>
              <w:bCs/>
              <w:szCs w:val="32"/>
              <w:highlight w:val="none"/>
              <w:shd w:val="clear" w:color="auto" w:fill="auto"/>
            </w:rPr>
            <w:t>（</w:t>
          </w:r>
          <w:r>
            <w:rPr>
              <w:rFonts w:hint="eastAsia" w:ascii="仿宋" w:hAnsi="仿宋" w:eastAsia="仿宋"/>
              <w:bCs/>
              <w:szCs w:val="32"/>
              <w:highlight w:val="none"/>
              <w:shd w:val="clear" w:color="auto" w:fill="auto"/>
              <w:lang w:val="en-US" w:eastAsia="zh-CN"/>
            </w:rPr>
            <w:t>一</w:t>
          </w:r>
          <w:r>
            <w:rPr>
              <w:rFonts w:hint="eastAsia" w:ascii="仿宋" w:hAnsi="仿宋" w:eastAsia="仿宋"/>
              <w:bCs/>
              <w:szCs w:val="32"/>
              <w:highlight w:val="none"/>
              <w:shd w:val="clear" w:color="auto" w:fill="auto"/>
            </w:rPr>
            <w:t>）</w:t>
          </w:r>
          <w:r>
            <w:rPr>
              <w:rFonts w:hint="eastAsia" w:ascii="仿宋" w:hAnsi="仿宋" w:eastAsia="仿宋"/>
              <w:bCs/>
              <w:szCs w:val="32"/>
              <w:highlight w:val="none"/>
              <w:shd w:val="clear" w:color="auto" w:fill="auto"/>
              <w:lang w:val="en-US" w:eastAsia="zh-CN"/>
            </w:rPr>
            <w:t>存在的问题</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_Toc20992 \h </w:instrText>
          </w:r>
          <w:r>
            <w:rPr>
              <w:highlight w:val="none"/>
              <w:shd w:val="clear" w:color="auto" w:fill="auto"/>
            </w:rPr>
            <w:fldChar w:fldCharType="separate"/>
          </w:r>
          <w:r>
            <w:rPr>
              <w:highlight w:val="none"/>
              <w:shd w:val="clear" w:color="auto" w:fill="auto"/>
            </w:rPr>
            <w:t>- 11 -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9"/>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_Toc3187 </w:instrText>
          </w:r>
          <w:r>
            <w:rPr>
              <w:rFonts w:hint="eastAsia" w:ascii="宋体" w:hAnsi="宋体" w:cs="宋体"/>
              <w:bCs/>
              <w:szCs w:val="44"/>
              <w:highlight w:val="none"/>
              <w:shd w:val="clear" w:color="auto" w:fill="auto"/>
              <w:lang w:eastAsia="zh-CN"/>
            </w:rPr>
            <w:fldChar w:fldCharType="separate"/>
          </w:r>
          <w:r>
            <w:rPr>
              <w:rFonts w:hint="eastAsia" w:ascii="仿宋" w:hAnsi="仿宋" w:eastAsia="仿宋"/>
              <w:bCs/>
              <w:szCs w:val="32"/>
              <w:highlight w:val="none"/>
              <w:shd w:val="clear" w:color="auto" w:fill="auto"/>
            </w:rPr>
            <w:t>（二）针对问题提出具体的改进措施或建议</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_Toc3187 \h </w:instrText>
          </w:r>
          <w:r>
            <w:rPr>
              <w:highlight w:val="none"/>
              <w:shd w:val="clear" w:color="auto" w:fill="auto"/>
            </w:rPr>
            <w:fldChar w:fldCharType="separate"/>
          </w:r>
          <w:r>
            <w:rPr>
              <w:highlight w:val="none"/>
              <w:shd w:val="clear" w:color="auto" w:fill="auto"/>
            </w:rPr>
            <w:t>- 11 -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8"/>
            <w:tabs>
              <w:tab w:val="right" w:leader="dot" w:pos="8845"/>
            </w:tabs>
            <w:rPr>
              <w:highlight w:val="none"/>
              <w:shd w:val="clear" w:color="auto" w:fill="auto"/>
            </w:rPr>
          </w:pPr>
          <w:r>
            <w:rPr>
              <w:rFonts w:hint="eastAsia" w:ascii="宋体" w:hAnsi="宋体" w:cs="宋体"/>
              <w:bCs/>
              <w:szCs w:val="44"/>
              <w:highlight w:val="none"/>
              <w:shd w:val="clear" w:color="auto" w:fill="auto"/>
              <w:lang w:eastAsia="zh-CN"/>
            </w:rPr>
            <w:fldChar w:fldCharType="begin"/>
          </w:r>
          <w:r>
            <w:rPr>
              <w:rFonts w:hint="eastAsia" w:ascii="宋体" w:hAnsi="宋体" w:cs="宋体"/>
              <w:bCs/>
              <w:szCs w:val="44"/>
              <w:highlight w:val="none"/>
              <w:shd w:val="clear" w:color="auto" w:fill="auto"/>
              <w:lang w:eastAsia="zh-CN"/>
            </w:rPr>
            <w:instrText xml:space="preserve"> HYPERLINK \l _Toc32232 </w:instrText>
          </w:r>
          <w:r>
            <w:rPr>
              <w:rFonts w:hint="eastAsia" w:ascii="宋体" w:hAnsi="宋体" w:cs="宋体"/>
              <w:bCs/>
              <w:szCs w:val="44"/>
              <w:highlight w:val="none"/>
              <w:shd w:val="clear" w:color="auto" w:fill="auto"/>
              <w:lang w:eastAsia="zh-CN"/>
            </w:rPr>
            <w:fldChar w:fldCharType="separate"/>
          </w:r>
          <w:r>
            <w:rPr>
              <w:rFonts w:hint="eastAsia" w:ascii="黑体" w:hAnsi="黑体" w:eastAsia="黑体" w:cs="黑体"/>
              <w:szCs w:val="32"/>
              <w:highlight w:val="none"/>
              <w:shd w:val="clear" w:color="auto" w:fill="auto"/>
              <w:lang w:val="en-US" w:eastAsia="zh-CN"/>
            </w:rPr>
            <w:t>六</w:t>
          </w:r>
          <w:r>
            <w:rPr>
              <w:rFonts w:hint="eastAsia" w:ascii="黑体" w:hAnsi="黑体" w:eastAsia="黑体" w:cs="黑体"/>
              <w:szCs w:val="32"/>
              <w:highlight w:val="none"/>
              <w:shd w:val="clear" w:color="auto" w:fill="auto"/>
            </w:rPr>
            <w:t>、评价工作组人员名单及签字</w:t>
          </w:r>
          <w:r>
            <w:rPr>
              <w:highlight w:val="none"/>
              <w:shd w:val="clear" w:color="auto" w:fill="auto"/>
            </w:rPr>
            <w:tab/>
          </w:r>
          <w:r>
            <w:rPr>
              <w:highlight w:val="none"/>
              <w:shd w:val="clear" w:color="auto" w:fill="auto"/>
            </w:rPr>
            <w:fldChar w:fldCharType="begin"/>
          </w:r>
          <w:r>
            <w:rPr>
              <w:highlight w:val="none"/>
              <w:shd w:val="clear" w:color="auto" w:fill="auto"/>
            </w:rPr>
            <w:instrText xml:space="preserve"> PAGEREF _Toc32232 \h </w:instrText>
          </w:r>
          <w:r>
            <w:rPr>
              <w:highlight w:val="none"/>
              <w:shd w:val="clear" w:color="auto" w:fill="auto"/>
            </w:rPr>
            <w:fldChar w:fldCharType="separate"/>
          </w:r>
          <w:r>
            <w:rPr>
              <w:highlight w:val="none"/>
              <w:shd w:val="clear" w:color="auto" w:fill="auto"/>
            </w:rPr>
            <w:t>- 12 -</w:t>
          </w:r>
          <w:r>
            <w:rPr>
              <w:highlight w:val="none"/>
              <w:shd w:val="clear" w:color="auto" w:fill="auto"/>
            </w:rPr>
            <w:fldChar w:fldCharType="end"/>
          </w:r>
          <w:r>
            <w:rPr>
              <w:rFonts w:hint="eastAsia" w:ascii="宋体" w:hAnsi="宋体" w:cs="宋体"/>
              <w:bCs/>
              <w:szCs w:val="44"/>
              <w:highlight w:val="none"/>
              <w:shd w:val="clear" w:color="auto" w:fill="auto"/>
              <w:lang w:eastAsia="zh-CN"/>
            </w:rPr>
            <w:fldChar w:fldCharType="end"/>
          </w:r>
        </w:p>
        <w:p>
          <w:pPr>
            <w:pStyle w:val="4"/>
            <w:spacing w:before="0" w:beforeLines="0" w:after="0" w:afterLines="0" w:line="240" w:lineRule="auto"/>
            <w:ind w:left="0" w:leftChars="0" w:right="0" w:rightChars="0" w:firstLine="0" w:firstLineChars="0"/>
            <w:jc w:val="center"/>
            <w:outlineLvl w:val="9"/>
            <w:rPr>
              <w:rFonts w:hint="eastAsia" w:ascii="宋体" w:hAnsi="宋体" w:cs="宋体"/>
              <w:b/>
              <w:bCs/>
              <w:sz w:val="44"/>
              <w:szCs w:val="44"/>
              <w:highlight w:val="none"/>
              <w:shd w:val="clear" w:color="auto" w:fill="auto"/>
              <w:lang w:eastAsia="zh-CN"/>
            </w:rPr>
          </w:pPr>
          <w:r>
            <w:rPr>
              <w:rFonts w:hint="eastAsia" w:ascii="宋体" w:hAnsi="宋体" w:cs="宋体"/>
              <w:bCs/>
              <w:szCs w:val="44"/>
              <w:highlight w:val="none"/>
              <w:shd w:val="clear" w:color="auto" w:fill="auto"/>
              <w:lang w:eastAsia="zh-CN"/>
            </w:rPr>
            <w:fldChar w:fldCharType="end"/>
          </w:r>
        </w:p>
      </w:sdtContent>
    </w:sdt>
    <w:p>
      <w:pPr>
        <w:rPr>
          <w:rFonts w:hint="eastAsia" w:ascii="宋体" w:hAnsi="宋体" w:cs="宋体"/>
          <w:b/>
          <w:bCs/>
          <w:sz w:val="44"/>
          <w:szCs w:val="44"/>
          <w:highlight w:val="none"/>
          <w:shd w:val="clear" w:color="auto" w:fill="auto"/>
          <w:lang w:eastAsia="zh-CN"/>
        </w:rPr>
      </w:pPr>
    </w:p>
    <w:p>
      <w:pPr>
        <w:pStyle w:val="4"/>
        <w:outlineLvl w:val="9"/>
        <w:rPr>
          <w:rFonts w:hint="eastAsia" w:ascii="宋体" w:hAnsi="宋体" w:cs="宋体"/>
          <w:b/>
          <w:bCs/>
          <w:sz w:val="44"/>
          <w:szCs w:val="44"/>
          <w:highlight w:val="none"/>
          <w:shd w:val="clear" w:color="auto" w:fill="auto"/>
          <w:lang w:eastAsia="zh-CN"/>
        </w:rPr>
        <w:sectPr>
          <w:footerReference r:id="rId4"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pPr>
    </w:p>
    <w:p>
      <w:pPr>
        <w:rPr>
          <w:rFonts w:hint="eastAsia"/>
          <w:highlight w:val="none"/>
          <w:shd w:val="clear" w:color="auto" w:fill="auto"/>
          <w:lang w:eastAsia="zh-CN"/>
        </w:rPr>
      </w:pPr>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eastAsia="宋体" w:cs="宋体"/>
          <w:b/>
          <w:bCs/>
          <w:sz w:val="44"/>
          <w:szCs w:val="44"/>
          <w:highlight w:val="none"/>
          <w:shd w:val="clear" w:color="auto" w:fill="auto"/>
          <w:lang w:eastAsia="zh-CN"/>
        </w:rPr>
      </w:pPr>
      <w:bookmarkStart w:id="1" w:name="_Toc22702"/>
      <w:bookmarkStart w:id="2" w:name="_Toc21542"/>
      <w:r>
        <w:rPr>
          <w:rFonts w:hint="eastAsia" w:ascii="宋体" w:hAnsi="宋体" w:cs="宋体"/>
          <w:b/>
          <w:bCs/>
          <w:sz w:val="44"/>
          <w:szCs w:val="44"/>
          <w:highlight w:val="none"/>
          <w:shd w:val="clear" w:color="auto" w:fill="auto"/>
          <w:lang w:val="en-US" w:eastAsia="zh-CN"/>
        </w:rPr>
        <w:t>中共石家庄市委老干部</w:t>
      </w:r>
      <w:r>
        <w:rPr>
          <w:rFonts w:hint="eastAsia" w:ascii="宋体" w:hAnsi="宋体" w:cs="宋体"/>
          <w:b/>
          <w:bCs/>
          <w:sz w:val="44"/>
          <w:szCs w:val="44"/>
          <w:highlight w:val="none"/>
          <w:shd w:val="clear" w:color="auto" w:fill="auto"/>
          <w:lang w:eastAsia="zh-CN"/>
        </w:rPr>
        <w:t>局</w:t>
      </w:r>
      <w:bookmarkEnd w:id="1"/>
      <w:bookmarkEnd w:id="2"/>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cs="宋体"/>
          <w:b/>
          <w:bCs/>
          <w:sz w:val="44"/>
          <w:szCs w:val="44"/>
          <w:highlight w:val="none"/>
          <w:shd w:val="clear" w:color="auto" w:fill="auto"/>
        </w:rPr>
      </w:pPr>
      <w:bookmarkStart w:id="3" w:name="_Toc22577"/>
      <w:bookmarkStart w:id="4" w:name="_Toc6783"/>
      <w:r>
        <w:rPr>
          <w:rFonts w:hint="eastAsia" w:ascii="宋体" w:hAnsi="宋体" w:eastAsia="宋体" w:cs="宋体"/>
          <w:b/>
          <w:bCs/>
          <w:sz w:val="44"/>
          <w:szCs w:val="44"/>
          <w:highlight w:val="none"/>
          <w:shd w:val="clear" w:color="auto" w:fill="auto"/>
          <w:lang w:val="en-US" w:eastAsia="zh-CN"/>
        </w:rPr>
        <w:t>202</w:t>
      </w:r>
      <w:r>
        <w:rPr>
          <w:rFonts w:hint="eastAsia" w:ascii="宋体" w:hAnsi="宋体" w:cs="宋体"/>
          <w:b/>
          <w:bCs/>
          <w:sz w:val="44"/>
          <w:szCs w:val="44"/>
          <w:highlight w:val="none"/>
          <w:shd w:val="clear" w:color="auto" w:fill="auto"/>
          <w:lang w:val="en-US" w:eastAsia="zh-CN"/>
        </w:rPr>
        <w:t>3</w:t>
      </w:r>
      <w:r>
        <w:rPr>
          <w:rFonts w:hint="eastAsia" w:ascii="宋体" w:hAnsi="宋体" w:eastAsia="宋体" w:cs="宋体"/>
          <w:b/>
          <w:bCs/>
          <w:sz w:val="44"/>
          <w:szCs w:val="44"/>
          <w:highlight w:val="none"/>
          <w:shd w:val="clear" w:color="auto" w:fill="auto"/>
          <w:lang w:val="en-US" w:eastAsia="zh-CN"/>
        </w:rPr>
        <w:t>年度</w:t>
      </w:r>
      <w:r>
        <w:rPr>
          <w:rFonts w:hint="eastAsia" w:ascii="宋体" w:hAnsi="宋体" w:cs="宋体"/>
          <w:b/>
          <w:bCs/>
          <w:sz w:val="44"/>
          <w:szCs w:val="44"/>
          <w:highlight w:val="none"/>
          <w:shd w:val="clear" w:color="auto" w:fill="auto"/>
          <w:lang w:val="en-US" w:eastAsia="zh-CN"/>
        </w:rPr>
        <w:t>部门</w:t>
      </w:r>
      <w:r>
        <w:rPr>
          <w:rFonts w:hint="eastAsia" w:ascii="宋体" w:hAnsi="宋体" w:eastAsia="宋体" w:cs="宋体"/>
          <w:b/>
          <w:bCs/>
          <w:sz w:val="44"/>
          <w:szCs w:val="44"/>
          <w:highlight w:val="none"/>
          <w:shd w:val="clear" w:color="auto" w:fill="auto"/>
          <w:lang w:val="en-US" w:eastAsia="zh-CN"/>
        </w:rPr>
        <w:t>整体支出</w:t>
      </w:r>
      <w:bookmarkEnd w:id="3"/>
      <w:bookmarkEnd w:id="4"/>
      <w:bookmarkStart w:id="5" w:name="_Toc15596"/>
      <w:bookmarkStart w:id="6" w:name="_Toc9764"/>
      <w:r>
        <w:rPr>
          <w:rFonts w:hint="eastAsia" w:ascii="宋体" w:hAnsi="宋体" w:eastAsia="宋体" w:cs="宋体"/>
          <w:b/>
          <w:bCs/>
          <w:sz w:val="44"/>
          <w:szCs w:val="44"/>
          <w:highlight w:val="none"/>
          <w:shd w:val="clear" w:color="auto" w:fill="auto"/>
          <w:lang w:val="en-US" w:eastAsia="zh-CN"/>
        </w:rPr>
        <w:t>绩效</w:t>
      </w:r>
      <w:r>
        <w:rPr>
          <w:rFonts w:hint="eastAsia" w:ascii="宋体" w:hAnsi="宋体" w:eastAsia="宋体" w:cs="宋体"/>
          <w:b/>
          <w:bCs/>
          <w:sz w:val="44"/>
          <w:szCs w:val="44"/>
          <w:highlight w:val="none"/>
          <w:shd w:val="clear" w:color="auto" w:fill="auto"/>
          <w:lang w:eastAsia="zh-CN"/>
        </w:rPr>
        <w:t>自</w:t>
      </w:r>
      <w:r>
        <w:rPr>
          <w:rFonts w:hint="eastAsia" w:ascii="宋体" w:hAnsi="宋体" w:cs="宋体"/>
          <w:b/>
          <w:bCs/>
          <w:sz w:val="44"/>
          <w:szCs w:val="44"/>
          <w:highlight w:val="none"/>
          <w:shd w:val="clear" w:color="auto" w:fill="auto"/>
        </w:rPr>
        <w:t>评报告</w:t>
      </w:r>
      <w:bookmarkEnd w:id="5"/>
      <w:bookmarkEnd w:id="6"/>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ascii="华文楷体" w:eastAsia="华文楷体"/>
          <w:sz w:val="32"/>
          <w:szCs w:val="32"/>
          <w:highlight w:val="none"/>
          <w:shd w:val="clear" w:color="auto" w:fill="auto"/>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ascii="仿宋" w:hAnsi="仿宋" w:eastAsia="仿宋"/>
          <w:sz w:val="32"/>
          <w:szCs w:val="32"/>
          <w:highlight w:val="none"/>
          <w:shd w:val="clear" w:color="auto" w:fill="auto"/>
        </w:rPr>
      </w:pPr>
      <w:r>
        <w:rPr>
          <w:rFonts w:hint="eastAsia" w:ascii="仿宋" w:hAnsi="仿宋" w:eastAsia="仿宋"/>
          <w:sz w:val="32"/>
          <w:szCs w:val="32"/>
          <w:highlight w:val="none"/>
          <w:shd w:val="clear" w:color="auto" w:fill="auto"/>
          <w:lang w:val="en-US" w:eastAsia="zh-CN"/>
        </w:rPr>
        <w:t>为</w:t>
      </w:r>
      <w:r>
        <w:rPr>
          <w:rFonts w:hint="eastAsia" w:ascii="仿宋" w:hAnsi="仿宋" w:eastAsia="仿宋"/>
          <w:sz w:val="32"/>
          <w:szCs w:val="32"/>
          <w:highlight w:val="none"/>
          <w:shd w:val="clear" w:color="auto" w:fill="auto"/>
        </w:rPr>
        <w:t>贯彻落实</w:t>
      </w:r>
      <w:r>
        <w:rPr>
          <w:rFonts w:hint="eastAsia" w:ascii="仿宋" w:hAnsi="仿宋" w:eastAsia="仿宋"/>
          <w:sz w:val="32"/>
          <w:szCs w:val="32"/>
          <w:highlight w:val="none"/>
          <w:shd w:val="clear" w:color="auto" w:fill="auto"/>
          <w:lang w:eastAsia="zh-CN"/>
        </w:rPr>
        <w:t>市委市政府《关于全面落实预算绩效管理的实施意见》（石发﹝</w:t>
      </w:r>
      <w:r>
        <w:rPr>
          <w:rFonts w:hint="eastAsia" w:ascii="仿宋" w:hAnsi="仿宋" w:eastAsia="仿宋"/>
          <w:sz w:val="32"/>
          <w:szCs w:val="32"/>
          <w:highlight w:val="none"/>
          <w:shd w:val="clear" w:color="auto" w:fill="auto"/>
          <w:lang w:val="en-US" w:eastAsia="zh-CN"/>
        </w:rPr>
        <w:t>2019</w:t>
      </w:r>
      <w:r>
        <w:rPr>
          <w:rFonts w:hint="eastAsia" w:ascii="仿宋" w:hAnsi="仿宋" w:eastAsia="仿宋"/>
          <w:sz w:val="32"/>
          <w:szCs w:val="32"/>
          <w:highlight w:val="none"/>
          <w:shd w:val="clear" w:color="auto" w:fill="auto"/>
          <w:lang w:eastAsia="zh-CN"/>
        </w:rPr>
        <w:t>﹞</w:t>
      </w:r>
      <w:r>
        <w:rPr>
          <w:rFonts w:hint="eastAsia" w:ascii="仿宋" w:hAnsi="仿宋" w:eastAsia="仿宋"/>
          <w:sz w:val="32"/>
          <w:szCs w:val="32"/>
          <w:highlight w:val="none"/>
          <w:shd w:val="clear" w:color="auto" w:fill="auto"/>
          <w:lang w:val="en-US" w:eastAsia="zh-CN"/>
        </w:rPr>
        <w:t>8号</w:t>
      </w:r>
      <w:r>
        <w:rPr>
          <w:rFonts w:hint="eastAsia" w:ascii="仿宋" w:hAnsi="仿宋" w:eastAsia="仿宋"/>
          <w:sz w:val="32"/>
          <w:szCs w:val="32"/>
          <w:highlight w:val="none"/>
          <w:shd w:val="clear" w:color="auto" w:fill="auto"/>
          <w:lang w:eastAsia="zh-CN"/>
        </w:rPr>
        <w:t>）</w:t>
      </w:r>
      <w:r>
        <w:rPr>
          <w:rFonts w:hint="eastAsia" w:ascii="仿宋" w:hAnsi="仿宋" w:eastAsia="仿宋"/>
          <w:sz w:val="32"/>
          <w:szCs w:val="32"/>
          <w:highlight w:val="none"/>
          <w:shd w:val="clear" w:color="auto" w:fill="auto"/>
        </w:rPr>
        <w:t>文件精神，遵循“科学性、规范性、客观性和公正性”的原则，</w:t>
      </w:r>
      <w:r>
        <w:rPr>
          <w:rFonts w:hint="eastAsia" w:ascii="仿宋" w:hAnsi="仿宋" w:eastAsia="仿宋"/>
          <w:sz w:val="32"/>
          <w:szCs w:val="32"/>
          <w:highlight w:val="none"/>
          <w:shd w:val="clear" w:color="auto" w:fill="auto"/>
          <w:lang w:val="en-US" w:eastAsia="zh-CN"/>
        </w:rPr>
        <w:t>中共石家庄市委老干部局对</w:t>
      </w:r>
      <w:r>
        <w:rPr>
          <w:rFonts w:hint="eastAsia" w:ascii="仿宋" w:hAnsi="仿宋" w:eastAsia="仿宋" w:cs="仿宋"/>
          <w:sz w:val="32"/>
          <w:szCs w:val="32"/>
          <w:highlight w:val="none"/>
          <w:shd w:val="clear" w:color="auto" w:fill="auto"/>
          <w:lang w:eastAsia="zh-CN"/>
        </w:rPr>
        <w:t>（</w:t>
      </w:r>
      <w:r>
        <w:rPr>
          <w:rFonts w:hint="eastAsia" w:ascii="仿宋" w:hAnsi="仿宋" w:eastAsia="仿宋" w:cs="仿宋"/>
          <w:sz w:val="32"/>
          <w:szCs w:val="32"/>
          <w:highlight w:val="none"/>
          <w:shd w:val="clear" w:color="auto" w:fill="auto"/>
          <w:lang w:val="en-US" w:eastAsia="zh-CN"/>
        </w:rPr>
        <w:t>以下简称“我部门”</w:t>
      </w:r>
      <w:r>
        <w:rPr>
          <w:rFonts w:hint="eastAsia" w:ascii="仿宋" w:hAnsi="仿宋" w:eastAsia="仿宋" w:cs="仿宋"/>
          <w:sz w:val="32"/>
          <w:szCs w:val="32"/>
          <w:highlight w:val="none"/>
          <w:shd w:val="clear" w:color="auto" w:fill="auto"/>
          <w:lang w:eastAsia="zh-CN"/>
        </w:rPr>
        <w:t>）</w:t>
      </w:r>
      <w:r>
        <w:rPr>
          <w:rFonts w:hint="eastAsia" w:ascii="仿宋" w:hAnsi="仿宋" w:eastAsia="仿宋"/>
          <w:sz w:val="32"/>
          <w:szCs w:val="32"/>
          <w:highlight w:val="none"/>
          <w:shd w:val="clear" w:color="auto" w:fill="auto"/>
          <w:lang w:val="en-US" w:eastAsia="zh-CN"/>
        </w:rPr>
        <w:t>2023年部门</w:t>
      </w:r>
      <w:r>
        <w:rPr>
          <w:rFonts w:hint="eastAsia" w:ascii="仿宋" w:hAnsi="仿宋" w:eastAsia="仿宋"/>
          <w:sz w:val="32"/>
          <w:szCs w:val="32"/>
          <w:highlight w:val="none"/>
          <w:shd w:val="clear" w:color="auto" w:fill="auto"/>
          <w:lang w:eastAsia="zh-CN"/>
        </w:rPr>
        <w:t>整体支出情况</w:t>
      </w:r>
      <w:r>
        <w:rPr>
          <w:rFonts w:hint="eastAsia" w:ascii="仿宋" w:hAnsi="仿宋" w:eastAsia="仿宋"/>
          <w:sz w:val="32"/>
          <w:szCs w:val="32"/>
          <w:highlight w:val="none"/>
          <w:shd w:val="clear" w:color="auto" w:fill="auto"/>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ascii="黑体" w:hAnsi="黑体" w:eastAsia="黑体"/>
          <w:b/>
          <w:bCs/>
          <w:sz w:val="32"/>
          <w:szCs w:val="36"/>
          <w:highlight w:val="none"/>
          <w:shd w:val="clear" w:color="auto" w:fill="auto"/>
        </w:rPr>
      </w:pPr>
      <w:bookmarkStart w:id="7" w:name="_Toc28342"/>
      <w:r>
        <w:rPr>
          <w:rFonts w:hint="eastAsia" w:ascii="黑体" w:hAnsi="黑体" w:eastAsia="黑体"/>
          <w:sz w:val="32"/>
          <w:szCs w:val="32"/>
          <w:highlight w:val="none"/>
          <w:shd w:val="clear" w:color="auto" w:fill="auto"/>
        </w:rPr>
        <w:t>一、</w:t>
      </w:r>
      <w:r>
        <w:rPr>
          <w:rFonts w:hint="eastAsia" w:ascii="黑体" w:hAnsi="黑体" w:eastAsia="黑体"/>
          <w:sz w:val="32"/>
          <w:szCs w:val="32"/>
          <w:highlight w:val="none"/>
          <w:shd w:val="clear" w:color="auto" w:fill="auto"/>
          <w:lang w:eastAsia="zh-CN"/>
        </w:rPr>
        <w:t>部门</w:t>
      </w:r>
      <w:r>
        <w:rPr>
          <w:rFonts w:hint="eastAsia" w:ascii="黑体" w:hAnsi="黑体" w:eastAsia="黑体"/>
          <w:sz w:val="32"/>
          <w:szCs w:val="36"/>
          <w:highlight w:val="none"/>
          <w:shd w:val="clear" w:color="auto" w:fill="auto"/>
        </w:rPr>
        <w:t>基本情况</w:t>
      </w:r>
      <w:bookmarkEnd w:id="7"/>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highlight w:val="none"/>
          <w:shd w:val="clear" w:color="auto" w:fill="auto"/>
        </w:rPr>
      </w:pPr>
      <w:bookmarkStart w:id="8" w:name="_Toc15197"/>
      <w:r>
        <w:rPr>
          <w:rFonts w:hint="eastAsia" w:ascii="楷体" w:hAnsi="楷体" w:eastAsia="楷体" w:cs="楷体"/>
          <w:sz w:val="32"/>
          <w:szCs w:val="32"/>
          <w:highlight w:val="none"/>
          <w:shd w:val="clear" w:color="auto" w:fill="auto"/>
        </w:rPr>
        <w:t>（一）</w:t>
      </w:r>
      <w:r>
        <w:rPr>
          <w:rFonts w:hint="eastAsia" w:ascii="楷体" w:hAnsi="楷体" w:eastAsia="楷体" w:cs="楷体"/>
          <w:sz w:val="32"/>
          <w:szCs w:val="32"/>
          <w:highlight w:val="none"/>
          <w:shd w:val="clear" w:color="auto" w:fill="auto"/>
          <w:lang w:eastAsia="zh-CN"/>
        </w:rPr>
        <w:t>部门</w:t>
      </w:r>
      <w:r>
        <w:rPr>
          <w:rFonts w:hint="eastAsia" w:ascii="楷体" w:hAnsi="楷体" w:eastAsia="楷体" w:cs="楷体"/>
          <w:sz w:val="32"/>
          <w:szCs w:val="32"/>
          <w:highlight w:val="none"/>
          <w:shd w:val="clear" w:color="auto" w:fill="auto"/>
        </w:rPr>
        <w:t>概况</w:t>
      </w:r>
      <w:bookmarkEnd w:id="8"/>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_GB2312" w:hAnsi="仿宋" w:eastAsia="仿宋_GB2312"/>
          <w:b/>
          <w:bCs/>
          <w:sz w:val="32"/>
          <w:szCs w:val="32"/>
          <w:highlight w:val="none"/>
          <w:shd w:val="clear" w:color="auto" w:fill="auto"/>
          <w:lang w:val="en-US" w:eastAsia="zh-CN"/>
        </w:rPr>
      </w:pPr>
      <w:r>
        <w:rPr>
          <w:rFonts w:hint="eastAsia" w:ascii="仿宋_GB2312" w:hAnsi="仿宋" w:eastAsia="仿宋_GB2312"/>
          <w:b/>
          <w:bCs/>
          <w:sz w:val="32"/>
          <w:szCs w:val="32"/>
          <w:highlight w:val="none"/>
          <w:shd w:val="clear" w:color="auto" w:fill="auto"/>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1）全面贯彻加强党对离退休干部工作的集中统一领导要求,负责宣传贯彻落实党中央、国务院和省、市党委、政府关于离退休干部工作的方针政策;拟订或参与拟订全市离退休干部工作有关具体规定和办法;总结宣传全市离退休干部工作和先进典型。</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（2）负责指导、督促、检查各级各部门离退休干部工作组织和协调有关部门做好离退休干部工作。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3）负责督促检查各级各部门落实离退休干部的政治和生活待遇,组织做好走访慰问工作;督促检查离休干部“两费”（离休费、医药费）落实情况;调查研究离退休干部政治和生活待遇中存在的间题,协调有关部门提出解决办法。</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（4）加强对全市离退休干部的政治引领和教育管理。负责做好新形势下离退休干部党组织建设工作,拟订离退休干部思想政治工作的制度办法和措施;组织开展离退休干部党组织书记的教育培训工作。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（5）指导各级老干部活动中心等活动阵地建设与管理;指导市老干部休养所创新发展。</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（6）指导各级各部门组织离退休干部利用自身优势,在政治、经济、文化和青少年教育等各领域发挥作用,增添正能量。</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（7）了解离退休干部对医疗保健方面的意见和要求。组织指导离退休干部开展健康科学的文化健身、保健讲座、参观学习等活动。</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（8）负责易地安置离休干部服务管理工作。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（9）会同有关部门拟订治丧办法,指导逝世老干部的善后工作,协助承办市委交办的丧葬事宜。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（10）承担市老干部工作领导小组、市关心下一代工作委员会的日常工作。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（11）完成市委交办的其他任务。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_GB2312" w:hAnsi="仿宋" w:eastAsia="仿宋_GB2312"/>
          <w:b/>
          <w:bCs/>
          <w:sz w:val="32"/>
          <w:szCs w:val="32"/>
          <w:highlight w:val="none"/>
          <w:shd w:val="clear" w:color="auto" w:fill="auto"/>
          <w:lang w:val="en-US" w:eastAsia="zh-CN"/>
        </w:rPr>
      </w:pPr>
      <w:r>
        <w:rPr>
          <w:rFonts w:hint="eastAsia" w:ascii="仿宋_GB2312" w:hAnsi="仿宋" w:eastAsia="仿宋_GB2312"/>
          <w:b/>
          <w:bCs/>
          <w:sz w:val="32"/>
          <w:szCs w:val="32"/>
          <w:highlight w:val="none"/>
          <w:shd w:val="clear" w:color="auto" w:fill="auto"/>
          <w:lang w:val="en-US" w:eastAsia="zh-CN"/>
        </w:rPr>
        <w:t>2.机构设置及人员组成</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从决算编报单位构成看，纳入2023年度本部门决算汇编范围的独立核算单位共4个，具体情况如下：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（1）中共石家庄市委老干部局（本级），单位性质为行政单位，资金保障形式为财政拨款；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（2）石家庄市老年大学，单位性质为参公事业单位，资金保障形式为财政拨款；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（3）石家庄市老干部休养所，单位性质为参公事业单位，资金保障形式为财政拨款；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（4）石家庄市老干部活动中心，单位性质为事业单位，资金保障形式为财政拨款。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2023年末，市老干部局部门实有在职人员83人，离休人员1人，在职人员较上年减少3人，变动原因为本年度在职人员转退休，退休人员已移交社保局。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 w:eastAsia="仿宋_GB2312"/>
          <w:b/>
          <w:bCs/>
          <w:sz w:val="32"/>
          <w:szCs w:val="32"/>
          <w:highlight w:val="none"/>
          <w:shd w:val="clear" w:color="auto" w:fill="auto"/>
          <w:lang w:val="en-US" w:eastAsia="zh-CN"/>
        </w:rPr>
      </w:pPr>
      <w:r>
        <w:rPr>
          <w:rFonts w:hint="eastAsia" w:ascii="仿宋_GB2312" w:hAnsi="仿宋" w:eastAsia="仿宋_GB2312"/>
          <w:b/>
          <w:bCs/>
          <w:sz w:val="32"/>
          <w:szCs w:val="32"/>
          <w:highlight w:val="none"/>
          <w:shd w:val="clear" w:color="auto" w:fill="auto"/>
          <w:lang w:val="en-US" w:eastAsia="zh-CN"/>
        </w:rPr>
        <w:t>3.资产情况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lang w:eastAsia="zh-CN"/>
        </w:rPr>
      </w:pPr>
      <w:r>
        <w:rPr>
          <w:rFonts w:hint="eastAsia" w:ascii="仿宋" w:hAnsi="仿宋" w:eastAsia="仿宋"/>
          <w:sz w:val="32"/>
          <w:szCs w:val="32"/>
          <w:highlight w:val="none"/>
          <w:shd w:val="clear" w:color="auto" w:fill="auto"/>
          <w:lang w:val="en-US" w:eastAsia="zh-CN"/>
        </w:rPr>
        <w:t>我部门资产管理</w:t>
      </w:r>
      <w:r>
        <w:rPr>
          <w:rFonts w:hint="eastAsia" w:ascii="仿宋" w:hAnsi="仿宋" w:eastAsia="仿宋"/>
          <w:sz w:val="32"/>
          <w:szCs w:val="32"/>
          <w:highlight w:val="none"/>
          <w:shd w:val="clear" w:color="auto" w:fill="auto"/>
          <w:lang w:eastAsia="zh-CN"/>
        </w:rPr>
        <w:t>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 w:eastAsia="仿宋_GB2312"/>
          <w:sz w:val="32"/>
          <w:szCs w:val="32"/>
          <w:highlight w:val="none"/>
          <w:shd w:val="clear" w:color="auto" w:fill="auto"/>
          <w:lang w:val="en-US" w:eastAsia="zh-CN"/>
        </w:rPr>
      </w:pPr>
      <w:r>
        <w:rPr>
          <w:rFonts w:hint="eastAsia" w:ascii="仿宋_GB2312" w:hAnsi="仿宋" w:eastAsia="仿宋_GB2312"/>
          <w:sz w:val="32"/>
          <w:szCs w:val="32"/>
          <w:highlight w:val="none"/>
          <w:shd w:val="clear" w:color="auto" w:fill="auto"/>
        </w:rPr>
        <w:t>202</w:t>
      </w:r>
      <w:r>
        <w:rPr>
          <w:rFonts w:hint="eastAsia" w:ascii="仿宋_GB2312" w:hAnsi="仿宋" w:eastAsia="仿宋_GB2312"/>
          <w:sz w:val="32"/>
          <w:szCs w:val="32"/>
          <w:highlight w:val="none"/>
          <w:shd w:val="clear" w:color="auto" w:fill="auto"/>
          <w:lang w:val="en-US" w:eastAsia="zh-CN"/>
        </w:rPr>
        <w:t>3</w:t>
      </w:r>
      <w:r>
        <w:rPr>
          <w:rFonts w:hint="eastAsia" w:ascii="仿宋_GB2312" w:hAnsi="仿宋" w:eastAsia="仿宋_GB2312"/>
          <w:sz w:val="32"/>
          <w:szCs w:val="32"/>
          <w:highlight w:val="none"/>
          <w:shd w:val="clear" w:color="auto" w:fill="auto"/>
        </w:rPr>
        <w:t>年年末，本部门“货币资金”</w:t>
      </w:r>
      <w:r>
        <w:rPr>
          <w:rFonts w:hint="eastAsia" w:ascii="仿宋_GB2312" w:hAnsi="仿宋" w:eastAsia="仿宋_GB2312"/>
          <w:sz w:val="32"/>
          <w:szCs w:val="32"/>
          <w:highlight w:val="none"/>
          <w:shd w:val="clear" w:color="auto" w:fill="auto"/>
          <w:lang w:val="en-US" w:eastAsia="zh-CN"/>
        </w:rPr>
        <w:t>19.54</w:t>
      </w:r>
      <w:r>
        <w:rPr>
          <w:rFonts w:hint="eastAsia" w:ascii="仿宋_GB2312" w:hAnsi="仿宋" w:eastAsia="仿宋_GB2312"/>
          <w:sz w:val="32"/>
          <w:szCs w:val="32"/>
          <w:highlight w:val="none"/>
          <w:shd w:val="clear" w:color="auto" w:fill="auto"/>
        </w:rPr>
        <w:t>万元，较上年</w:t>
      </w:r>
      <w:r>
        <w:rPr>
          <w:rFonts w:hint="eastAsia" w:ascii="仿宋_GB2312" w:hAnsi="仿宋" w:eastAsia="仿宋_GB2312"/>
          <w:sz w:val="32"/>
          <w:szCs w:val="32"/>
          <w:highlight w:val="none"/>
          <w:shd w:val="clear" w:color="auto" w:fill="auto"/>
          <w:lang w:eastAsia="zh-CN"/>
        </w:rPr>
        <w:t>减少</w:t>
      </w:r>
      <w:r>
        <w:rPr>
          <w:rFonts w:hint="eastAsia" w:ascii="仿宋_GB2312" w:hAnsi="仿宋" w:eastAsia="仿宋_GB2312"/>
          <w:sz w:val="32"/>
          <w:szCs w:val="32"/>
          <w:highlight w:val="none"/>
          <w:shd w:val="clear" w:color="auto" w:fill="auto"/>
          <w:lang w:val="en-US" w:eastAsia="zh-CN"/>
        </w:rPr>
        <w:t>89.80</w:t>
      </w:r>
      <w:r>
        <w:rPr>
          <w:rFonts w:hint="eastAsia" w:ascii="仿宋_GB2312" w:hAnsi="仿宋" w:eastAsia="仿宋_GB2312"/>
          <w:sz w:val="32"/>
          <w:szCs w:val="32"/>
          <w:highlight w:val="none"/>
          <w:shd w:val="clear" w:color="auto" w:fill="auto"/>
        </w:rPr>
        <w:t>万元，</w:t>
      </w:r>
      <w:r>
        <w:rPr>
          <w:rFonts w:hint="eastAsia" w:ascii="仿宋_GB2312" w:hAnsi="仿宋" w:eastAsia="仿宋_GB2312"/>
          <w:sz w:val="32"/>
          <w:szCs w:val="32"/>
          <w:highlight w:val="none"/>
          <w:shd w:val="clear" w:color="auto" w:fill="auto"/>
          <w:lang w:val="en-US" w:eastAsia="zh-CN"/>
        </w:rPr>
        <w:t>减少</w:t>
      </w:r>
      <w:r>
        <w:rPr>
          <w:rFonts w:hint="eastAsia" w:ascii="仿宋_GB2312" w:hAnsi="仿宋" w:eastAsia="仿宋_GB2312"/>
          <w:sz w:val="32"/>
          <w:szCs w:val="32"/>
          <w:highlight w:val="none"/>
          <w:shd w:val="clear" w:color="auto" w:fill="auto"/>
        </w:rPr>
        <w:t>原因为</w:t>
      </w:r>
      <w:r>
        <w:rPr>
          <w:rFonts w:hint="eastAsia" w:ascii="仿宋_GB2312" w:hAnsi="仿宋" w:eastAsia="仿宋_GB2312"/>
          <w:sz w:val="32"/>
          <w:szCs w:val="32"/>
          <w:highlight w:val="none"/>
          <w:shd w:val="clear" w:color="auto" w:fill="auto"/>
          <w:lang w:val="en-US" w:eastAsia="zh-CN"/>
        </w:rPr>
        <w:t>去年结转资金、存量资金今年上缴财政</w:t>
      </w:r>
      <w:r>
        <w:rPr>
          <w:rFonts w:hint="eastAsia" w:ascii="仿宋_GB2312" w:hAnsi="仿宋" w:eastAsia="仿宋_GB2312"/>
          <w:sz w:val="32"/>
          <w:szCs w:val="32"/>
          <w:highlight w:val="none"/>
          <w:shd w:val="clear" w:color="auto" w:fill="auto"/>
        </w:rPr>
        <w:t>。“房屋”价值</w:t>
      </w:r>
      <w:r>
        <w:rPr>
          <w:rFonts w:hint="eastAsia" w:ascii="仿宋_GB2312" w:hAnsi="仿宋" w:eastAsia="仿宋_GB2312"/>
          <w:sz w:val="32"/>
          <w:szCs w:val="32"/>
          <w:highlight w:val="none"/>
          <w:shd w:val="clear" w:color="auto" w:fill="auto"/>
          <w:lang w:val="en-US" w:eastAsia="zh-CN"/>
        </w:rPr>
        <w:t>6481.75</w:t>
      </w:r>
      <w:r>
        <w:rPr>
          <w:rFonts w:hint="eastAsia" w:ascii="仿宋_GB2312" w:hAnsi="仿宋" w:eastAsia="仿宋_GB2312"/>
          <w:sz w:val="32"/>
          <w:szCs w:val="32"/>
          <w:highlight w:val="none"/>
          <w:shd w:val="clear" w:color="auto" w:fill="auto"/>
        </w:rPr>
        <w:t>万元；</w:t>
      </w:r>
      <w:r>
        <w:rPr>
          <w:rFonts w:hint="eastAsia" w:ascii="仿宋_GB2312" w:hAnsi="仿宋" w:eastAsia="仿宋_GB2312"/>
          <w:sz w:val="32"/>
          <w:szCs w:val="32"/>
          <w:highlight w:val="none"/>
          <w:shd w:val="clear" w:color="auto" w:fill="auto"/>
          <w:lang w:val="en-US" w:eastAsia="zh-CN"/>
        </w:rPr>
        <w:t>与去年相比，减少195.29万元，原因为2022年“房屋价值”统计口径为土地、房屋及构筑物，今年调整为“房屋”，剔除土地及构筑物，价值发生变化。</w:t>
      </w:r>
      <w:r>
        <w:rPr>
          <w:rFonts w:hint="eastAsia" w:ascii="仿宋_GB2312" w:hAnsi="仿宋" w:eastAsia="仿宋_GB2312"/>
          <w:sz w:val="32"/>
          <w:szCs w:val="32"/>
          <w:highlight w:val="none"/>
          <w:shd w:val="clear" w:color="auto" w:fill="auto"/>
        </w:rPr>
        <w:t>“车辆”价值</w:t>
      </w:r>
      <w:r>
        <w:rPr>
          <w:rFonts w:hint="eastAsia" w:ascii="仿宋_GB2312" w:hAnsi="仿宋" w:eastAsia="仿宋_GB2312"/>
          <w:sz w:val="32"/>
          <w:szCs w:val="32"/>
          <w:highlight w:val="none"/>
          <w:shd w:val="clear" w:color="auto" w:fill="auto"/>
          <w:lang w:val="en-US" w:eastAsia="zh-CN"/>
        </w:rPr>
        <w:t>152.57</w:t>
      </w:r>
      <w:r>
        <w:rPr>
          <w:rFonts w:hint="eastAsia" w:ascii="仿宋_GB2312" w:hAnsi="仿宋" w:eastAsia="仿宋_GB2312"/>
          <w:sz w:val="32"/>
          <w:szCs w:val="32"/>
          <w:highlight w:val="none"/>
          <w:shd w:val="clear" w:color="auto" w:fill="auto"/>
        </w:rPr>
        <w:t>万元</w:t>
      </w:r>
      <w:r>
        <w:rPr>
          <w:rFonts w:hint="eastAsia" w:ascii="仿宋_GB2312" w:hAnsi="仿宋" w:eastAsia="仿宋_GB2312"/>
          <w:sz w:val="32"/>
          <w:szCs w:val="32"/>
          <w:highlight w:val="none"/>
          <w:shd w:val="clear" w:color="auto" w:fill="auto"/>
          <w:lang w:eastAsia="zh-CN"/>
        </w:rPr>
        <w:t>，</w:t>
      </w:r>
      <w:r>
        <w:rPr>
          <w:rFonts w:hint="eastAsia" w:ascii="仿宋_GB2312" w:hAnsi="仿宋" w:eastAsia="仿宋_GB2312"/>
          <w:sz w:val="32"/>
          <w:szCs w:val="32"/>
          <w:highlight w:val="none"/>
          <w:shd w:val="clear" w:color="auto" w:fill="auto"/>
          <w:lang w:val="en-US" w:eastAsia="zh-CN"/>
        </w:rPr>
        <w:t>与去年持平。</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 w:eastAsia="仿宋_GB2312"/>
          <w:b/>
          <w:bCs/>
          <w:sz w:val="32"/>
          <w:szCs w:val="32"/>
          <w:highlight w:val="none"/>
          <w:shd w:val="clear" w:color="auto" w:fill="auto"/>
          <w:lang w:val="en-US" w:eastAsia="zh-CN"/>
        </w:rPr>
      </w:pPr>
      <w:r>
        <w:rPr>
          <w:rFonts w:hint="eastAsia" w:ascii="仿宋_GB2312" w:hAnsi="仿宋" w:eastAsia="仿宋_GB2312"/>
          <w:b/>
          <w:bCs/>
          <w:sz w:val="32"/>
          <w:szCs w:val="32"/>
          <w:highlight w:val="none"/>
          <w:shd w:val="clear" w:color="auto" w:fill="auto"/>
          <w:lang w:val="en-US" w:eastAsia="zh-CN"/>
        </w:rPr>
        <w:t>4.负债情况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 w:eastAsia="仿宋_GB2312"/>
          <w:sz w:val="32"/>
          <w:szCs w:val="32"/>
          <w:highlight w:val="none"/>
          <w:shd w:val="clear" w:color="auto" w:fill="auto"/>
          <w:lang w:val="en-US" w:eastAsia="zh-CN"/>
        </w:rPr>
      </w:pPr>
      <w:r>
        <w:rPr>
          <w:rFonts w:hint="eastAsia" w:ascii="仿宋_GB2312" w:hAnsi="仿宋" w:eastAsia="仿宋_GB2312"/>
          <w:sz w:val="32"/>
          <w:szCs w:val="32"/>
          <w:highlight w:val="none"/>
          <w:shd w:val="clear" w:color="auto" w:fill="auto"/>
          <w:lang w:val="en-US" w:eastAsia="zh-CN"/>
        </w:rPr>
        <w:t>2023年年末“应付职工薪酬”15.59万元，与去年相比，减少5.78万元，原因为在职人员减少，各项已扣待缴保险相应减少。</w:t>
      </w:r>
    </w:p>
    <w:p>
      <w:pPr>
        <w:keepNext w:val="0"/>
        <w:keepLines w:val="0"/>
        <w:pageBreakBefore w:val="0"/>
        <w:widowControl w:val="0"/>
        <w:numPr>
          <w:ilvl w:val="0"/>
          <w:numId w:val="1"/>
        </w:numPr>
        <w:kinsoku/>
        <w:wordWrap/>
        <w:overflowPunct/>
        <w:topLinePunct w:val="0"/>
        <w:autoSpaceDE/>
        <w:autoSpaceDN/>
        <w:bidi w:val="0"/>
        <w:adjustRightInd w:val="0"/>
        <w:snapToGrid w:val="0"/>
        <w:spacing w:line="240" w:lineRule="atLeast"/>
        <w:ind w:left="0" w:leftChars="0" w:right="0" w:firstLine="640" w:firstLineChars="200"/>
        <w:textAlignment w:val="auto"/>
        <w:outlineLvl w:val="1"/>
        <w:rPr>
          <w:rFonts w:hint="eastAsia" w:ascii="楷体" w:hAnsi="楷体" w:eastAsia="楷体" w:cs="楷体"/>
          <w:sz w:val="32"/>
          <w:szCs w:val="32"/>
          <w:highlight w:val="none"/>
          <w:shd w:val="clear" w:color="auto" w:fill="auto"/>
          <w:lang w:val="en-US" w:eastAsia="zh-CN"/>
        </w:rPr>
      </w:pPr>
      <w:bookmarkStart w:id="9" w:name="_Toc1285"/>
      <w:r>
        <w:rPr>
          <w:rFonts w:hint="eastAsia" w:ascii="楷体" w:hAnsi="楷体" w:eastAsia="楷体" w:cs="楷体"/>
          <w:sz w:val="32"/>
          <w:szCs w:val="32"/>
          <w:highlight w:val="none"/>
          <w:shd w:val="clear" w:color="auto" w:fill="auto"/>
          <w:lang w:eastAsia="zh-CN"/>
        </w:rPr>
        <w:t>部门收支预决算情况</w:t>
      </w:r>
      <w:bookmarkEnd w:id="9"/>
    </w:p>
    <w:tbl>
      <w:tblPr>
        <w:tblStyle w:val="1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0"/>
        <w:gridCol w:w="2209"/>
        <w:gridCol w:w="1309"/>
        <w:gridCol w:w="1227"/>
        <w:gridCol w:w="2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9060" w:type="dxa"/>
            <w:gridSpan w:val="5"/>
            <w:tcBorders>
              <w:top w:val="nil"/>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right="0"/>
              <w:jc w:val="center"/>
              <w:textAlignment w:val="auto"/>
              <w:outlineLvl w:val="9"/>
              <w:rPr>
                <w:rFonts w:hint="eastAsia" w:ascii="仿宋_GB2312" w:hAnsi="仿宋" w:eastAsia="仿宋_GB2312"/>
                <w:sz w:val="24"/>
                <w:highlight w:val="none"/>
                <w:shd w:val="clear" w:color="auto" w:fill="auto"/>
              </w:rPr>
            </w:pPr>
            <w:r>
              <w:rPr>
                <w:rFonts w:hint="eastAsia" w:ascii="仿宋_GB2312" w:hAnsi="仿宋" w:eastAsia="仿宋_GB2312"/>
                <w:sz w:val="32"/>
                <w:szCs w:val="32"/>
                <w:highlight w:val="none"/>
                <w:shd w:val="clear" w:color="auto" w:fill="auto"/>
                <w:lang w:val="en-US" w:eastAsia="zh-CN"/>
              </w:rPr>
              <w:t>《部门收支预决算情况对比分析表》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gridSpan w:val="5"/>
            <w:tcBorders>
              <w:top w:val="nil"/>
              <w:left w:val="nil"/>
              <w:right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240" w:lineRule="atLeast"/>
              <w:jc w:val="right"/>
              <w:textAlignment w:val="auto"/>
              <w:rPr>
                <w:rFonts w:hint="eastAsia" w:ascii="仿宋_GB2312" w:hAnsi="仿宋" w:eastAsia="仿宋_GB2312"/>
                <w:sz w:val="24"/>
                <w:highlight w:val="none"/>
                <w:shd w:val="clear" w:color="auto" w:fill="auto"/>
              </w:rPr>
            </w:pPr>
            <w:bookmarkStart w:id="10" w:name="_Toc2346"/>
            <w:r>
              <w:rPr>
                <w:rFonts w:hint="eastAsia" w:ascii="仿宋_GB2312" w:hAnsi="仿宋" w:eastAsia="仿宋_GB2312" w:cs="黑体"/>
                <w:b w:val="0"/>
                <w:kern w:val="2"/>
                <w:sz w:val="24"/>
                <w:szCs w:val="22"/>
                <w:highlight w:val="none"/>
                <w:shd w:val="clear" w:color="auto" w:fill="auto"/>
                <w:lang w:val="en-US" w:eastAsia="zh-CN" w:bidi="ar-SA"/>
              </w:rPr>
              <w:t>单位：万元</w:t>
            </w:r>
            <w:bookmarkEnd w:id="1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1570" w:type="dxa"/>
            <w:noWrap w:val="0"/>
            <w:vAlign w:val="center"/>
          </w:tcPr>
          <w:p>
            <w:pPr>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单</w:t>
            </w:r>
            <w:r>
              <w:rPr>
                <w:rFonts w:hint="eastAsia" w:ascii="仿宋_GB2312" w:hAnsi="仿宋" w:eastAsia="仿宋_GB2312"/>
                <w:sz w:val="24"/>
                <w:highlight w:val="none"/>
                <w:shd w:val="clear" w:color="auto" w:fill="auto"/>
                <w:lang w:val="en-US" w:eastAsia="zh-CN"/>
              </w:rPr>
              <w:t xml:space="preserve"> </w:t>
            </w:r>
            <w:r>
              <w:rPr>
                <w:rFonts w:hint="eastAsia" w:ascii="仿宋_GB2312" w:hAnsi="仿宋" w:eastAsia="仿宋_GB2312"/>
                <w:sz w:val="24"/>
                <w:highlight w:val="none"/>
                <w:shd w:val="clear" w:color="auto" w:fill="auto"/>
              </w:rPr>
              <w:t>位</w:t>
            </w: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 目</w:t>
            </w:r>
          </w:p>
        </w:tc>
        <w:tc>
          <w:tcPr>
            <w:tcW w:w="13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预 算</w:t>
            </w:r>
          </w:p>
        </w:tc>
        <w:tc>
          <w:tcPr>
            <w:tcW w:w="1227"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决 算</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差 异 原 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restart"/>
            <w:noWrap w:val="0"/>
            <w:vAlign w:val="center"/>
          </w:tcPr>
          <w:p>
            <w:pPr>
              <w:jc w:val="center"/>
              <w:rPr>
                <w:rFonts w:hint="eastAsia"/>
                <w:highlight w:val="none"/>
                <w:shd w:val="clear" w:color="auto" w:fill="auto"/>
              </w:rPr>
            </w:pPr>
            <w:r>
              <w:rPr>
                <w:rFonts w:hint="eastAsia" w:ascii="仿宋_GB2312" w:hAnsi="仿宋" w:eastAsia="仿宋_GB2312"/>
                <w:sz w:val="24"/>
                <w:highlight w:val="none"/>
                <w:shd w:val="clear" w:color="auto" w:fill="auto"/>
              </w:rPr>
              <w:t>老干部局</w:t>
            </w: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人员经费</w:t>
            </w:r>
          </w:p>
        </w:tc>
        <w:tc>
          <w:tcPr>
            <w:tcW w:w="1309" w:type="dxa"/>
            <w:noWrap w:val="0"/>
            <w:vAlign w:val="center"/>
          </w:tcPr>
          <w:p>
            <w:pPr>
              <w:snapToGrid w:val="0"/>
              <w:spacing w:line="400" w:lineRule="exact"/>
              <w:jc w:val="center"/>
              <w:rPr>
                <w:rFonts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765.79</w:t>
            </w:r>
          </w:p>
        </w:tc>
        <w:tc>
          <w:tcPr>
            <w:tcW w:w="1227" w:type="dxa"/>
            <w:noWrap w:val="0"/>
            <w:vAlign w:val="center"/>
          </w:tcPr>
          <w:p>
            <w:pPr>
              <w:snapToGrid w:val="0"/>
              <w:spacing w:line="400" w:lineRule="exact"/>
              <w:jc w:val="center"/>
              <w:rPr>
                <w:rFonts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734.55</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在职人员转退休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日常公用经费</w:t>
            </w:r>
          </w:p>
        </w:tc>
        <w:tc>
          <w:tcPr>
            <w:tcW w:w="1309" w:type="dxa"/>
            <w:noWrap w:val="0"/>
            <w:vAlign w:val="center"/>
          </w:tcPr>
          <w:p>
            <w:pPr>
              <w:snapToGrid w:val="0"/>
              <w:spacing w:line="400" w:lineRule="exact"/>
              <w:jc w:val="center"/>
              <w:rPr>
                <w:rFonts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92.73</w:t>
            </w:r>
          </w:p>
        </w:tc>
        <w:tc>
          <w:tcPr>
            <w:tcW w:w="1227" w:type="dxa"/>
            <w:noWrap w:val="0"/>
            <w:vAlign w:val="center"/>
          </w:tcPr>
          <w:p>
            <w:pPr>
              <w:snapToGrid w:val="0"/>
              <w:spacing w:line="400" w:lineRule="exact"/>
              <w:jc w:val="center"/>
              <w:rPr>
                <w:rFonts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88.51</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部分额度交回财政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项目经费</w:t>
            </w:r>
          </w:p>
        </w:tc>
        <w:tc>
          <w:tcPr>
            <w:tcW w:w="1309" w:type="dxa"/>
            <w:noWrap w:val="0"/>
            <w:vAlign w:val="center"/>
          </w:tcPr>
          <w:p>
            <w:pPr>
              <w:snapToGrid w:val="0"/>
              <w:spacing w:line="400" w:lineRule="exact"/>
              <w:jc w:val="center"/>
              <w:rPr>
                <w:rFonts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660.6</w:t>
            </w:r>
          </w:p>
        </w:tc>
        <w:tc>
          <w:tcPr>
            <w:tcW w:w="1227" w:type="dxa"/>
            <w:noWrap w:val="0"/>
            <w:vAlign w:val="center"/>
          </w:tcPr>
          <w:p>
            <w:pPr>
              <w:snapToGrid w:val="0"/>
              <w:spacing w:line="400" w:lineRule="exact"/>
              <w:jc w:val="center"/>
              <w:rPr>
                <w:rFonts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588.72</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部分项目资金剩余，已收回财政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0" w:type="dxa"/>
            <w:vMerge w:val="restart"/>
            <w:noWrap w:val="0"/>
            <w:vAlign w:val="center"/>
          </w:tcPr>
          <w:p>
            <w:pPr>
              <w:snapToGrid w:val="0"/>
              <w:spacing w:line="400" w:lineRule="exact"/>
              <w:jc w:val="center"/>
              <w:rPr>
                <w:rFonts w:hint="eastAsia" w:eastAsia="仿宋_GB2312"/>
                <w:highlight w:val="none"/>
                <w:shd w:val="clear" w:color="auto" w:fill="auto"/>
                <w:lang w:val="en-US" w:eastAsia="zh-CN"/>
              </w:rPr>
            </w:pPr>
            <w:r>
              <w:rPr>
                <w:rFonts w:hint="eastAsia" w:ascii="仿宋_GB2312" w:hAnsi="仿宋" w:eastAsia="仿宋_GB2312"/>
                <w:sz w:val="24"/>
                <w:highlight w:val="none"/>
                <w:shd w:val="clear" w:color="auto" w:fill="auto"/>
              </w:rPr>
              <w:t>老年大学</w:t>
            </w: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人员经费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494</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511.76</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lang w:eastAsia="zh-CN"/>
              </w:rPr>
            </w:pPr>
            <w:r>
              <w:rPr>
                <w:rFonts w:hint="eastAsia" w:ascii="仿宋_GB2312" w:hAnsi="仿宋" w:eastAsia="仿宋_GB2312"/>
                <w:sz w:val="24"/>
                <w:highlight w:val="none"/>
                <w:shd w:val="clear" w:color="auto" w:fill="auto"/>
                <w:lang w:eastAsia="zh-CN"/>
              </w:rPr>
              <w:t>新增调入人员，人员经费增加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125.96</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104.93</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日常公用部分项目结余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项目经费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2395.7</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2324.33</w:t>
            </w:r>
          </w:p>
        </w:tc>
        <w:tc>
          <w:tcPr>
            <w:tcW w:w="2745"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eastAsia="zh-CN"/>
              </w:rPr>
              <w:t>项目资金调整减少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570" w:type="dxa"/>
            <w:vMerge w:val="restart"/>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活动中心</w:t>
            </w: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人员经费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326.41</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324.59</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lang w:eastAsia="zh-CN"/>
              </w:rPr>
            </w:pPr>
            <w:r>
              <w:rPr>
                <w:rFonts w:hint="eastAsia" w:ascii="仿宋_GB2312" w:hAnsi="仿宋" w:eastAsia="仿宋_GB2312"/>
                <w:sz w:val="24"/>
                <w:highlight w:val="none"/>
                <w:shd w:val="clear" w:color="auto" w:fill="auto"/>
                <w:lang w:eastAsia="zh-CN"/>
              </w:rPr>
              <w:t>在职人员调出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64.95</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61.87</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日常公用部分项目结余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项目经费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727.9</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724.7</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lang w:eastAsia="zh-CN"/>
              </w:rPr>
            </w:pPr>
            <w:r>
              <w:rPr>
                <w:rFonts w:hint="eastAsia" w:ascii="仿宋_GB2312" w:hAnsi="仿宋" w:eastAsia="仿宋_GB2312"/>
                <w:sz w:val="24"/>
                <w:highlight w:val="none"/>
                <w:shd w:val="clear" w:color="auto" w:fill="auto"/>
                <w:lang w:eastAsia="zh-CN"/>
              </w:rPr>
              <w:t>一次性项目到期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1570" w:type="dxa"/>
            <w:vMerge w:val="restart"/>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老干部</w:t>
            </w:r>
          </w:p>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干休所</w:t>
            </w: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人员经费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312.39</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290.39</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lang w:eastAsia="zh-CN"/>
              </w:rPr>
            </w:pPr>
            <w:r>
              <w:rPr>
                <w:rFonts w:hint="eastAsia" w:ascii="仿宋_GB2312" w:hAnsi="仿宋" w:eastAsia="仿宋_GB2312"/>
                <w:sz w:val="24"/>
                <w:highlight w:val="none"/>
                <w:shd w:val="clear" w:color="auto" w:fill="auto"/>
                <w:lang w:eastAsia="zh-CN"/>
              </w:rPr>
              <w:t>在职人员转退休，人员经费减少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54.3</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39.7</w:t>
            </w:r>
          </w:p>
        </w:tc>
        <w:tc>
          <w:tcPr>
            <w:tcW w:w="2745" w:type="dxa"/>
            <w:noWrap w:val="0"/>
            <w:vAlign w:val="center"/>
          </w:tcPr>
          <w:p>
            <w:pPr>
              <w:snapToGrid w:val="0"/>
              <w:spacing w:line="400" w:lineRule="exact"/>
              <w:jc w:val="center"/>
              <w:rPr>
                <w:rFonts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日常公用经费中部分项目结余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1570" w:type="dxa"/>
            <w:vMerge w:val="continue"/>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项目经费</w:t>
            </w: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126.8</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125.53</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lang w:eastAsia="zh-CN"/>
              </w:rPr>
            </w:pPr>
            <w:r>
              <w:rPr>
                <w:rFonts w:hint="eastAsia" w:ascii="仿宋_GB2312" w:hAnsi="仿宋" w:eastAsia="仿宋_GB2312"/>
                <w:sz w:val="24"/>
                <w:highlight w:val="none"/>
                <w:shd w:val="clear" w:color="auto" w:fill="auto"/>
                <w:lang w:eastAsia="zh-CN"/>
              </w:rPr>
              <w:t>部分项目资金剩余已收回财政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570"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合计</w:t>
            </w:r>
          </w:p>
        </w:tc>
        <w:tc>
          <w:tcPr>
            <w:tcW w:w="2209"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c>
          <w:tcPr>
            <w:tcW w:w="1309"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6147.53</w:t>
            </w:r>
          </w:p>
        </w:tc>
        <w:tc>
          <w:tcPr>
            <w:tcW w:w="1227" w:type="dxa"/>
            <w:noWrap w:val="0"/>
            <w:vAlign w:val="center"/>
          </w:tcPr>
          <w:p>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5919.59</w:t>
            </w:r>
          </w:p>
        </w:tc>
        <w:tc>
          <w:tcPr>
            <w:tcW w:w="2745" w:type="dxa"/>
            <w:noWrap w:val="0"/>
            <w:vAlign w:val="center"/>
          </w:tcPr>
          <w:p>
            <w:pPr>
              <w:snapToGrid w:val="0"/>
              <w:spacing w:line="400" w:lineRule="exact"/>
              <w:jc w:val="center"/>
              <w:rPr>
                <w:rFonts w:hint="eastAsia" w:ascii="仿宋_GB2312" w:hAnsi="仿宋" w:eastAsia="仿宋_GB2312"/>
                <w:sz w:val="24"/>
                <w:highlight w:val="none"/>
                <w:shd w:val="clear" w:color="auto" w:fill="auto"/>
              </w:rPr>
            </w:pPr>
          </w:p>
        </w:tc>
      </w:tr>
    </w:tbl>
    <w:p>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outlineLvl w:val="1"/>
        <w:rPr>
          <w:rFonts w:hint="eastAsia" w:ascii="楷体" w:hAnsi="楷体" w:eastAsia="楷体" w:cs="楷体"/>
          <w:b w:val="0"/>
          <w:bCs w:val="0"/>
          <w:sz w:val="32"/>
          <w:szCs w:val="32"/>
          <w:highlight w:val="none"/>
          <w:shd w:val="clear" w:color="auto" w:fill="auto"/>
          <w:lang w:eastAsia="zh-CN"/>
        </w:rPr>
      </w:pPr>
      <w:bookmarkStart w:id="11" w:name="_Toc18831"/>
      <w:r>
        <w:rPr>
          <w:rFonts w:hint="eastAsia" w:ascii="楷体" w:hAnsi="楷体" w:eastAsia="楷体" w:cs="楷体"/>
          <w:b w:val="0"/>
          <w:bCs w:val="0"/>
          <w:sz w:val="32"/>
          <w:szCs w:val="32"/>
          <w:highlight w:val="none"/>
          <w:shd w:val="clear" w:color="auto" w:fill="auto"/>
          <w:lang w:eastAsia="zh-CN"/>
        </w:rPr>
        <w:t>（三）部门整体支出绩效目标、指标</w:t>
      </w:r>
      <w:bookmarkEnd w:id="11"/>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b/>
          <w:bCs/>
          <w:sz w:val="32"/>
          <w:szCs w:val="32"/>
          <w:highlight w:val="none"/>
          <w:shd w:val="clear" w:color="auto" w:fill="auto"/>
          <w:lang w:val="en-US" w:eastAsia="zh-CN"/>
        </w:rPr>
        <w:t>1.整体绩效目标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在市委、市政府的领导下，认真做好宣传贯彻落实党中央、国务院和省、市党委、政府关于离退休干部工作的方针政策，为我市8家困难事业单位离休干部落实有关待遇，为9家上收管理部门下拨离退休干部经费，召开全市经济社会发展情况报告会，全面落实我市老干部政治待遇、生活待遇；进一步加强老干部活动阵地建设，积极推进市老年大学、活动中心老干部活动阵地建设。干休所结合与辖区结对共建试点情况，积极探讨扩大试点面的可行性工作，探讨从单纯自我服务向自我服务和社会化服务融合，尝试在依托家庭养老的基础上把社会服务机构引进干休所老干部服务范畴，扎实推进老干部工作全面创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b/>
          <w:bCs/>
          <w:sz w:val="32"/>
          <w:szCs w:val="32"/>
          <w:highlight w:val="none"/>
          <w:shd w:val="clear" w:color="auto" w:fill="auto"/>
          <w:lang w:val="en-US" w:eastAsia="zh-CN"/>
        </w:rPr>
        <w:t>2.分项绩效目标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b w:val="0"/>
          <w:bCs w:val="0"/>
          <w:sz w:val="32"/>
          <w:szCs w:val="32"/>
          <w:highlight w:val="none"/>
          <w:shd w:val="clear" w:color="auto" w:fill="auto"/>
          <w:lang w:val="en-US" w:eastAsia="zh-CN"/>
        </w:rPr>
      </w:pPr>
      <w:r>
        <w:rPr>
          <w:rFonts w:hint="eastAsia" w:ascii="仿宋" w:hAnsi="仿宋" w:eastAsia="仿宋"/>
          <w:b w:val="0"/>
          <w:bCs w:val="0"/>
          <w:sz w:val="32"/>
          <w:szCs w:val="32"/>
          <w:highlight w:val="none"/>
          <w:shd w:val="clear" w:color="auto" w:fill="auto"/>
          <w:lang w:val="en-US" w:eastAsia="zh-CN"/>
        </w:rPr>
        <w:t>（1）全面落实我市离退休干部政治待遇、生活待遇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绩效目标：落实离退休干部走访慰问、通报情况、参观学习等制度；协调落实困难事业单位、特困离退休干部相关待遇。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绩效指标：市级离退休干部走访慰问率达到95%，组织老干部参观学习活动不少于2次，困难事业单位离休干部统筹外有关待遇落实率达到100%，特困离退休干部及离休干部遗属落实帮扶资金达到50万元。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b w:val="0"/>
          <w:bCs w:val="0"/>
          <w:sz w:val="32"/>
          <w:szCs w:val="32"/>
          <w:highlight w:val="none"/>
          <w:shd w:val="clear" w:color="auto" w:fill="auto"/>
          <w:lang w:val="en-US" w:eastAsia="zh-CN"/>
        </w:rPr>
      </w:pPr>
      <w:r>
        <w:rPr>
          <w:rFonts w:hint="eastAsia" w:ascii="仿宋" w:hAnsi="仿宋" w:eastAsia="仿宋"/>
          <w:b w:val="0"/>
          <w:bCs w:val="0"/>
          <w:sz w:val="32"/>
          <w:szCs w:val="32"/>
          <w:highlight w:val="none"/>
          <w:shd w:val="clear" w:color="auto" w:fill="auto"/>
          <w:lang w:val="en-US" w:eastAsia="zh-CN"/>
        </w:rPr>
        <w:t>（2）加强老干部活动阵地建设、组织举办各种形式的老干部活动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绩效目标：积极推进市老年大学（世纪校区）全面发展，狠抓软件建设，预计年底全面完成“5G智慧校园”建设。进一步推进市老干部活动中心老党员驿站建设，充分利用中心的设施资源，拓宽活动交流空间，打造老党员驿站示范和样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绩效指标：2022年市内老年大学“5G智慧校园”覆盖面积达到100%全覆盖；组织举办第三届银铃之声石家庄市老干部艺术节1次、重阳讲坛10期、空中课堂35期。</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b w:val="0"/>
          <w:bCs w:val="0"/>
          <w:sz w:val="32"/>
          <w:szCs w:val="32"/>
          <w:highlight w:val="none"/>
          <w:shd w:val="clear" w:color="auto" w:fill="auto"/>
          <w:lang w:val="en-US" w:eastAsia="zh-CN"/>
        </w:rPr>
      </w:pPr>
      <w:r>
        <w:rPr>
          <w:rFonts w:hint="eastAsia" w:ascii="仿宋" w:hAnsi="仿宋" w:eastAsia="仿宋"/>
          <w:b w:val="0"/>
          <w:bCs w:val="0"/>
          <w:sz w:val="32"/>
          <w:szCs w:val="32"/>
          <w:highlight w:val="none"/>
          <w:shd w:val="clear" w:color="auto" w:fill="auto"/>
          <w:lang w:val="en-US" w:eastAsia="zh-CN"/>
        </w:rPr>
        <w:t>（3）积极为老干部搭建发挥作用平台。</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绩效目标：积极为老干部搭建发挥作用平台。把为党和人民的事业增添正能量作为老干部工作的价值取向，继续开展《冀忆·永恒》第二部制作，多角度挖掘老干部作为党和国家宝贵财富背后的奋进故事。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绩效指标：录制口述题纪录片一部。</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sz w:val="32"/>
          <w:szCs w:val="32"/>
          <w:highlight w:val="none"/>
          <w:shd w:val="clear" w:color="auto" w:fill="auto"/>
        </w:rPr>
      </w:pPr>
      <w:bookmarkStart w:id="12" w:name="_Toc4434"/>
      <w:r>
        <w:rPr>
          <w:rFonts w:hint="eastAsia" w:ascii="黑体" w:hAnsi="黑体" w:eastAsia="黑体"/>
          <w:sz w:val="32"/>
          <w:szCs w:val="32"/>
          <w:highlight w:val="none"/>
          <w:shd w:val="clear" w:color="auto" w:fill="auto"/>
        </w:rPr>
        <w:t>自评工作</w:t>
      </w:r>
      <w:r>
        <w:rPr>
          <w:rFonts w:hint="eastAsia" w:ascii="黑体" w:hAnsi="黑体" w:eastAsia="黑体"/>
          <w:sz w:val="32"/>
          <w:szCs w:val="32"/>
          <w:highlight w:val="none"/>
          <w:shd w:val="clear" w:color="auto" w:fill="auto"/>
          <w:lang w:eastAsia="zh-CN"/>
        </w:rPr>
        <w:t>开展</w:t>
      </w:r>
      <w:r>
        <w:rPr>
          <w:rFonts w:hint="eastAsia" w:ascii="黑体" w:hAnsi="黑体" w:eastAsia="黑体"/>
          <w:sz w:val="32"/>
          <w:szCs w:val="32"/>
          <w:highlight w:val="none"/>
          <w:shd w:val="clear" w:color="auto" w:fill="auto"/>
        </w:rPr>
        <w:t>情况</w:t>
      </w:r>
      <w:bookmarkEnd w:id="12"/>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outlineLvl w:val="1"/>
        <w:rPr>
          <w:rFonts w:hint="eastAsia" w:ascii="楷体" w:hAnsi="楷体" w:eastAsia="楷体" w:cs="楷体"/>
          <w:b w:val="0"/>
          <w:bCs w:val="0"/>
          <w:sz w:val="32"/>
          <w:szCs w:val="32"/>
          <w:highlight w:val="none"/>
          <w:shd w:val="clear" w:color="auto" w:fill="auto"/>
          <w:lang w:eastAsia="zh-CN"/>
        </w:rPr>
      </w:pPr>
      <w:bookmarkStart w:id="13" w:name="_Toc4325"/>
      <w:r>
        <w:rPr>
          <w:rFonts w:hint="eastAsia" w:ascii="楷体" w:hAnsi="楷体" w:eastAsia="楷体" w:cs="楷体"/>
          <w:b w:val="0"/>
          <w:bCs w:val="0"/>
          <w:sz w:val="32"/>
          <w:szCs w:val="32"/>
          <w:highlight w:val="none"/>
          <w:shd w:val="clear" w:color="auto" w:fill="auto"/>
          <w:lang w:eastAsia="zh-CN"/>
        </w:rPr>
        <w:t>（一）自评的组织工作</w:t>
      </w:r>
      <w:bookmarkEnd w:id="13"/>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ascii="仿宋_GB2312" w:hAnsi="仿宋_GB2312" w:eastAsia="仿宋_GB2312" w:cs="仿宋_GB2312"/>
          <w:sz w:val="32"/>
          <w:szCs w:val="32"/>
          <w:highlight w:val="none"/>
          <w:shd w:val="clear" w:color="auto" w:fill="auto"/>
        </w:rPr>
      </w:pPr>
      <w:r>
        <w:rPr>
          <w:rFonts w:hint="eastAsia" w:ascii="仿宋_GB2312" w:hAnsi="仿宋_GB2312" w:eastAsia="仿宋_GB2312" w:cs="仿宋_GB2312"/>
          <w:color w:val="auto"/>
          <w:kern w:val="0"/>
          <w:sz w:val="32"/>
          <w:szCs w:val="32"/>
          <w:highlight w:val="none"/>
          <w:shd w:val="clear" w:color="auto" w:fill="auto"/>
          <w:lang w:val="en-US" w:eastAsia="zh-CN"/>
        </w:rPr>
        <w:t>我部门高度重视此次年度预算绩效评价工作，成立了绩效评价工作组，由副局长张海双任绩效评价组组长，</w:t>
      </w:r>
      <w:r>
        <w:rPr>
          <w:rFonts w:hint="eastAsia" w:ascii="仿宋_GB2312" w:hAnsi="仿宋_GB2312" w:eastAsia="仿宋_GB2312" w:cs="仿宋_GB2312"/>
          <w:sz w:val="32"/>
          <w:szCs w:val="32"/>
          <w:highlight w:val="none"/>
          <w:shd w:val="clear" w:color="auto" w:fill="auto"/>
        </w:rPr>
        <w:t>成员包括</w:t>
      </w:r>
      <w:r>
        <w:rPr>
          <w:rFonts w:hint="eastAsia" w:ascii="仿宋_GB2312" w:hAnsi="仿宋_GB2312" w:eastAsia="仿宋_GB2312" w:cs="仿宋_GB2312"/>
          <w:sz w:val="32"/>
          <w:szCs w:val="32"/>
          <w:highlight w:val="none"/>
          <w:shd w:val="clear" w:color="auto" w:fill="auto"/>
          <w:lang w:val="en-US" w:eastAsia="zh-CN"/>
        </w:rPr>
        <w:t>王震宁、郭亚茹</w:t>
      </w:r>
      <w:r>
        <w:rPr>
          <w:rFonts w:hint="eastAsia" w:ascii="仿宋_GB2312" w:hAnsi="仿宋_GB2312" w:eastAsia="仿宋_GB2312" w:cs="仿宋_GB2312"/>
          <w:color w:val="auto"/>
          <w:kern w:val="0"/>
          <w:sz w:val="32"/>
          <w:szCs w:val="32"/>
          <w:highlight w:val="none"/>
          <w:shd w:val="clear" w:color="auto" w:fill="auto"/>
          <w:lang w:val="en-US" w:eastAsia="zh-CN"/>
        </w:rPr>
        <w:t>、田娟、李轩贝。</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shd w:val="clear" w:color="auto" w:fill="auto"/>
        </w:rPr>
      </w:pPr>
      <w:r>
        <w:rPr>
          <w:rFonts w:hint="eastAsia" w:ascii="仿宋_GB2312" w:hAnsi="仿宋_GB2312" w:eastAsia="仿宋_GB2312" w:cs="仿宋_GB2312"/>
          <w:sz w:val="32"/>
          <w:szCs w:val="32"/>
          <w:highlight w:val="none"/>
          <w:shd w:val="clear" w:color="auto" w:fill="auto"/>
        </w:rPr>
        <w:t>按照通知要求，评</w:t>
      </w:r>
      <w:bookmarkStart w:id="14" w:name="_Hlk43651802"/>
      <w:r>
        <w:rPr>
          <w:rFonts w:hint="eastAsia" w:ascii="仿宋_GB2312" w:hAnsi="仿宋_GB2312" w:eastAsia="仿宋_GB2312" w:cs="仿宋_GB2312"/>
          <w:sz w:val="32"/>
          <w:szCs w:val="32"/>
          <w:highlight w:val="none"/>
          <w:shd w:val="clear" w:color="auto" w:fill="auto"/>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4"/>
      <w:r>
        <w:rPr>
          <w:rFonts w:hint="eastAsia" w:ascii="仿宋_GB2312" w:hAnsi="仿宋_GB2312" w:eastAsia="仿宋_GB2312" w:cs="仿宋_GB2312"/>
          <w:sz w:val="32"/>
          <w:szCs w:val="32"/>
          <w:highlight w:val="none"/>
          <w:shd w:val="clear" w:color="auto" w:fill="auto"/>
        </w:rPr>
        <w:t>。</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outlineLvl w:val="1"/>
        <w:rPr>
          <w:rFonts w:hint="eastAsia" w:ascii="楷体" w:hAnsi="楷体" w:eastAsia="楷体" w:cs="楷体"/>
          <w:b w:val="0"/>
          <w:bCs w:val="0"/>
          <w:sz w:val="32"/>
          <w:szCs w:val="32"/>
          <w:highlight w:val="none"/>
          <w:shd w:val="clear" w:color="auto" w:fill="auto"/>
        </w:rPr>
      </w:pPr>
      <w:bookmarkStart w:id="15" w:name="_Toc1205"/>
      <w:bookmarkStart w:id="16" w:name="_Toc30851"/>
      <w:bookmarkStart w:id="17" w:name="_Toc11327"/>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lang w:val="en-US" w:eastAsia="zh-CN"/>
        </w:rPr>
        <w:t>二</w:t>
      </w:r>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rPr>
        <w:t>绩效自评目的</w:t>
      </w:r>
      <w:bookmarkEnd w:id="15"/>
      <w:bookmarkEnd w:id="16"/>
      <w:bookmarkEnd w:id="17"/>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shd w:val="clear" w:color="auto" w:fill="auto"/>
        </w:rPr>
      </w:pPr>
      <w:bookmarkStart w:id="18" w:name="_Toc22462"/>
      <w:bookmarkStart w:id="19" w:name="_Toc19442"/>
      <w:bookmarkStart w:id="20" w:name="_Toc7758"/>
      <w:r>
        <w:rPr>
          <w:rFonts w:hint="eastAsia" w:ascii="仿宋_GB2312" w:hAnsi="仿宋_GB2312" w:eastAsia="仿宋_GB2312" w:cs="仿宋_GB2312"/>
          <w:sz w:val="32"/>
          <w:szCs w:val="32"/>
          <w:highlight w:val="none"/>
          <w:shd w:val="clear" w:color="auto" w:fill="auto"/>
        </w:rPr>
        <w:t>本次绩效自评将结合</w:t>
      </w:r>
      <w:r>
        <w:rPr>
          <w:rFonts w:hint="eastAsia" w:ascii="仿宋_GB2312" w:hAnsi="仿宋_GB2312" w:eastAsia="仿宋_GB2312" w:cs="仿宋_GB2312"/>
          <w:sz w:val="32"/>
          <w:szCs w:val="32"/>
          <w:highlight w:val="none"/>
          <w:shd w:val="clear" w:color="auto" w:fill="auto"/>
          <w:lang w:eastAsia="zh-CN"/>
        </w:rPr>
        <w:t>我部门</w:t>
      </w:r>
      <w:r>
        <w:rPr>
          <w:rFonts w:hint="eastAsia" w:ascii="仿宋_GB2312" w:hAnsi="仿宋_GB2312" w:eastAsia="仿宋_GB2312" w:cs="仿宋_GB2312"/>
          <w:sz w:val="32"/>
          <w:szCs w:val="32"/>
          <w:highlight w:val="none"/>
          <w:shd w:val="clear" w:color="auto" w:fill="auto"/>
        </w:rPr>
        <w:t>20</w:t>
      </w:r>
      <w:r>
        <w:rPr>
          <w:rFonts w:hint="eastAsia" w:ascii="仿宋_GB2312" w:hAnsi="仿宋_GB2312" w:eastAsia="仿宋_GB2312" w:cs="仿宋_GB2312"/>
          <w:sz w:val="32"/>
          <w:szCs w:val="32"/>
          <w:highlight w:val="none"/>
          <w:shd w:val="clear" w:color="auto" w:fill="auto"/>
          <w:lang w:val="en-US" w:eastAsia="zh-CN"/>
        </w:rPr>
        <w:t>23</w:t>
      </w:r>
      <w:r>
        <w:rPr>
          <w:rFonts w:hint="eastAsia" w:ascii="仿宋_GB2312" w:hAnsi="仿宋_GB2312" w:eastAsia="仿宋_GB2312" w:cs="仿宋_GB2312"/>
          <w:sz w:val="32"/>
          <w:szCs w:val="32"/>
          <w:highlight w:val="none"/>
          <w:shd w:val="clear" w:color="auto" w:fill="auto"/>
        </w:rPr>
        <w:t>年度部门整体支出实际情况，运用科学、规范、合理的评价方法，全面、真实、客观地对</w:t>
      </w:r>
      <w:r>
        <w:rPr>
          <w:rFonts w:hint="eastAsia" w:ascii="仿宋_GB2312" w:hAnsi="仿宋_GB2312" w:eastAsia="仿宋_GB2312" w:cs="仿宋_GB2312"/>
          <w:sz w:val="32"/>
          <w:szCs w:val="32"/>
          <w:highlight w:val="none"/>
          <w:shd w:val="clear" w:color="auto" w:fill="auto"/>
          <w:lang w:eastAsia="zh-CN"/>
        </w:rPr>
        <w:t>我部门</w:t>
      </w:r>
      <w:r>
        <w:rPr>
          <w:rFonts w:hint="eastAsia" w:ascii="仿宋_GB2312" w:hAnsi="仿宋_GB2312" w:eastAsia="仿宋_GB2312" w:cs="仿宋_GB2312"/>
          <w:sz w:val="32"/>
          <w:szCs w:val="32"/>
          <w:highlight w:val="none"/>
          <w:shd w:val="clear" w:color="auto" w:fill="auto"/>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highlight w:val="none"/>
          <w:shd w:val="clear" w:color="auto" w:fill="auto"/>
          <w:lang w:eastAsia="zh-CN"/>
        </w:rPr>
        <w:t>我部门</w:t>
      </w:r>
      <w:r>
        <w:rPr>
          <w:rFonts w:hint="eastAsia" w:ascii="仿宋_GB2312" w:hAnsi="仿宋_GB2312" w:eastAsia="仿宋_GB2312" w:cs="仿宋_GB2312"/>
          <w:sz w:val="32"/>
          <w:szCs w:val="32"/>
          <w:highlight w:val="none"/>
          <w:shd w:val="clear" w:color="auto" w:fill="auto"/>
        </w:rPr>
        <w:t>履行部门职责作出更好的预算管理和资金安排。</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outlineLvl w:val="1"/>
        <w:rPr>
          <w:rFonts w:hint="eastAsia" w:ascii="楷体" w:hAnsi="楷体" w:eastAsia="楷体" w:cs="楷体"/>
          <w:b w:val="0"/>
          <w:bCs w:val="0"/>
          <w:sz w:val="32"/>
          <w:szCs w:val="32"/>
          <w:highlight w:val="none"/>
          <w:shd w:val="clear" w:color="auto" w:fill="auto"/>
        </w:rPr>
      </w:pPr>
      <w:bookmarkStart w:id="21" w:name="_Toc3543"/>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lang w:val="en-US" w:eastAsia="zh-CN"/>
        </w:rPr>
        <w:t>三</w:t>
      </w:r>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rPr>
        <w:t>绩效自评内容</w:t>
      </w:r>
      <w:bookmarkEnd w:id="18"/>
      <w:bookmarkEnd w:id="19"/>
      <w:bookmarkEnd w:id="21"/>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shd w:val="clear" w:color="auto" w:fill="auto"/>
        </w:rPr>
      </w:pPr>
      <w:r>
        <w:rPr>
          <w:rFonts w:hint="eastAsia" w:ascii="仿宋_GB2312" w:hAnsi="仿宋_GB2312" w:eastAsia="仿宋_GB2312" w:cs="仿宋_GB2312"/>
          <w:sz w:val="32"/>
          <w:szCs w:val="32"/>
          <w:highlight w:val="none"/>
          <w:shd w:val="clear" w:color="auto" w:fill="auto"/>
        </w:rPr>
        <w:t>本次</w:t>
      </w:r>
      <w:r>
        <w:rPr>
          <w:rFonts w:hint="eastAsia" w:ascii="仿宋_GB2312" w:hAnsi="仿宋_GB2312" w:eastAsia="仿宋_GB2312" w:cs="仿宋_GB2312"/>
          <w:sz w:val="32"/>
          <w:szCs w:val="32"/>
          <w:highlight w:val="none"/>
          <w:shd w:val="clear" w:color="auto" w:fill="auto"/>
          <w:lang w:val="en-US" w:eastAsia="zh-CN"/>
        </w:rPr>
        <w:t>我部门</w:t>
      </w:r>
      <w:r>
        <w:rPr>
          <w:rFonts w:hint="eastAsia" w:ascii="仿宋_GB2312" w:hAnsi="仿宋_GB2312" w:eastAsia="仿宋_GB2312" w:cs="仿宋_GB2312"/>
          <w:sz w:val="32"/>
          <w:szCs w:val="32"/>
          <w:highlight w:val="none"/>
          <w:shd w:val="clear" w:color="auto" w:fill="auto"/>
        </w:rPr>
        <w:t>部门整体支出绩效自评主要自评内容包括</w:t>
      </w:r>
      <w:r>
        <w:rPr>
          <w:rFonts w:hint="eastAsia" w:ascii="仿宋_GB2312" w:hAnsi="仿宋_GB2312" w:eastAsia="仿宋_GB2312" w:cs="仿宋_GB2312"/>
          <w:b/>
          <w:bCs/>
          <w:sz w:val="32"/>
          <w:szCs w:val="32"/>
          <w:highlight w:val="none"/>
          <w:shd w:val="clear" w:color="auto" w:fill="auto"/>
        </w:rPr>
        <w:t>一是</w:t>
      </w:r>
      <w:r>
        <w:rPr>
          <w:rFonts w:hint="eastAsia" w:ascii="仿宋_GB2312" w:hAnsi="仿宋_GB2312" w:eastAsia="仿宋_GB2312" w:cs="仿宋_GB2312"/>
          <w:sz w:val="32"/>
          <w:szCs w:val="32"/>
          <w:highlight w:val="none"/>
          <w:shd w:val="clear" w:color="auto" w:fill="auto"/>
        </w:rPr>
        <w:t>绩效目标和预算编制情况；</w:t>
      </w:r>
      <w:r>
        <w:rPr>
          <w:rFonts w:hint="eastAsia" w:ascii="仿宋_GB2312" w:hAnsi="仿宋_GB2312" w:eastAsia="仿宋_GB2312" w:cs="仿宋_GB2312"/>
          <w:b/>
          <w:bCs/>
          <w:sz w:val="32"/>
          <w:szCs w:val="32"/>
          <w:highlight w:val="none"/>
          <w:shd w:val="clear" w:color="auto" w:fill="auto"/>
        </w:rPr>
        <w:t>二是</w:t>
      </w:r>
      <w:r>
        <w:rPr>
          <w:rFonts w:hint="eastAsia" w:ascii="仿宋_GB2312" w:hAnsi="仿宋_GB2312" w:eastAsia="仿宋_GB2312" w:cs="仿宋_GB2312"/>
          <w:sz w:val="32"/>
          <w:szCs w:val="32"/>
          <w:highlight w:val="none"/>
          <w:shd w:val="clear" w:color="auto" w:fill="auto"/>
        </w:rPr>
        <w:t>部门</w:t>
      </w:r>
      <w:r>
        <w:rPr>
          <w:rFonts w:hint="eastAsia" w:ascii="仿宋_GB2312" w:hAnsi="仿宋_GB2312" w:eastAsia="仿宋_GB2312" w:cs="仿宋_GB2312"/>
          <w:sz w:val="32"/>
          <w:szCs w:val="32"/>
          <w:highlight w:val="none"/>
          <w:shd w:val="clear" w:color="auto" w:fill="auto"/>
          <w:lang w:val="en-US" w:eastAsia="zh-CN"/>
        </w:rPr>
        <w:t>预决算收支</w:t>
      </w:r>
      <w:r>
        <w:rPr>
          <w:rFonts w:hint="eastAsia" w:ascii="仿宋_GB2312" w:hAnsi="仿宋_GB2312" w:eastAsia="仿宋_GB2312" w:cs="仿宋_GB2312"/>
          <w:sz w:val="32"/>
          <w:szCs w:val="32"/>
          <w:highlight w:val="none"/>
          <w:shd w:val="clear" w:color="auto" w:fill="auto"/>
        </w:rPr>
        <w:t>情况；</w:t>
      </w:r>
      <w:r>
        <w:rPr>
          <w:rFonts w:hint="eastAsia" w:ascii="仿宋_GB2312" w:hAnsi="仿宋_GB2312" w:eastAsia="仿宋_GB2312" w:cs="仿宋_GB2312"/>
          <w:b/>
          <w:bCs/>
          <w:sz w:val="32"/>
          <w:szCs w:val="32"/>
          <w:highlight w:val="none"/>
          <w:shd w:val="clear" w:color="auto" w:fill="auto"/>
        </w:rPr>
        <w:t>三是</w:t>
      </w:r>
      <w:r>
        <w:rPr>
          <w:rFonts w:hint="eastAsia" w:ascii="仿宋_GB2312" w:hAnsi="仿宋_GB2312" w:eastAsia="仿宋_GB2312" w:cs="仿宋_GB2312"/>
          <w:sz w:val="32"/>
          <w:szCs w:val="32"/>
          <w:highlight w:val="none"/>
          <w:shd w:val="clear" w:color="auto" w:fill="auto"/>
        </w:rPr>
        <w:t>部门年度总体绩效目标完成情况；</w:t>
      </w:r>
      <w:r>
        <w:rPr>
          <w:rFonts w:hint="eastAsia" w:ascii="仿宋_GB2312" w:hAnsi="仿宋_GB2312" w:eastAsia="仿宋_GB2312" w:cs="仿宋_GB2312"/>
          <w:b/>
          <w:bCs/>
          <w:sz w:val="32"/>
          <w:szCs w:val="32"/>
          <w:highlight w:val="none"/>
          <w:shd w:val="clear" w:color="auto" w:fill="auto"/>
        </w:rPr>
        <w:t>四是</w:t>
      </w:r>
      <w:r>
        <w:rPr>
          <w:rFonts w:hint="eastAsia" w:ascii="仿宋_GB2312" w:hAnsi="仿宋_GB2312" w:eastAsia="仿宋_GB2312" w:cs="仿宋_GB2312"/>
          <w:sz w:val="32"/>
          <w:szCs w:val="32"/>
          <w:highlight w:val="none"/>
          <w:shd w:val="clear" w:color="auto" w:fill="auto"/>
        </w:rPr>
        <w:t>部门年度绩效指标完成情况，包括部门履职投入、履职过程、履职产出及履职效果等。</w:t>
      </w:r>
    </w:p>
    <w:bookmarkEnd w:id="20"/>
    <w:p>
      <w:pPr>
        <w:keepNext w:val="0"/>
        <w:keepLines w:val="0"/>
        <w:pageBreakBefore w:val="0"/>
        <w:widowControl w:val="0"/>
        <w:numPr>
          <w:ilvl w:val="0"/>
          <w:numId w:val="0"/>
        </w:numPr>
        <w:kinsoku/>
        <w:wordWrap/>
        <w:overflowPunct/>
        <w:topLinePunct w:val="0"/>
        <w:autoSpaceDE/>
        <w:autoSpaceDN/>
        <w:bidi w:val="0"/>
        <w:spacing w:line="560" w:lineRule="exact"/>
        <w:ind w:left="0" w:leftChars="0" w:right="0" w:rightChars="0" w:firstLine="640" w:firstLineChars="200"/>
        <w:textAlignment w:val="auto"/>
        <w:outlineLvl w:val="1"/>
        <w:rPr>
          <w:rFonts w:hint="eastAsia" w:ascii="楷体" w:hAnsi="楷体" w:eastAsia="楷体" w:cs="楷体"/>
          <w:b w:val="0"/>
          <w:bCs w:val="0"/>
          <w:sz w:val="32"/>
          <w:szCs w:val="32"/>
          <w:highlight w:val="none"/>
          <w:shd w:val="clear" w:color="auto" w:fill="auto"/>
        </w:rPr>
      </w:pPr>
      <w:bookmarkStart w:id="22" w:name="_Toc11202"/>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lang w:val="en-US" w:eastAsia="zh-CN"/>
        </w:rPr>
        <w:t>四</w:t>
      </w:r>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rPr>
        <w:t>自评的方法</w:t>
      </w:r>
      <w:bookmarkEnd w:id="22"/>
      <w:bookmarkStart w:id="23" w:name="_Toc25386"/>
    </w:p>
    <w:p>
      <w:pPr>
        <w:keepNext w:val="0"/>
        <w:keepLines w:val="0"/>
        <w:pageBreakBefore w:val="0"/>
        <w:widowControl w:val="0"/>
        <w:numPr>
          <w:ilvl w:val="0"/>
          <w:numId w:val="0"/>
        </w:numPr>
        <w:kinsoku/>
        <w:wordWrap/>
        <w:overflowPunct/>
        <w:topLinePunct w:val="0"/>
        <w:autoSpaceDE/>
        <w:autoSpaceDN/>
        <w:bidi w:val="0"/>
        <w:spacing w:line="560" w:lineRule="exact"/>
        <w:ind w:left="0" w:right="0" w:rightChars="0" w:firstLine="640" w:firstLineChars="200"/>
        <w:textAlignment w:val="auto"/>
        <w:outlineLvl w:val="9"/>
        <w:rPr>
          <w:rFonts w:hint="eastAsia" w:ascii="仿宋_GB2312" w:hAnsi="仿宋_GB2312" w:eastAsia="仿宋_GB2312" w:cs="仿宋_GB2312"/>
          <w:sz w:val="32"/>
          <w:szCs w:val="32"/>
          <w:highlight w:val="none"/>
          <w:shd w:val="clear" w:color="auto" w:fill="auto"/>
        </w:rPr>
      </w:pPr>
      <w:r>
        <w:rPr>
          <w:rFonts w:hint="eastAsia" w:ascii="仿宋_GB2312" w:hAnsi="仿宋_GB2312" w:eastAsia="仿宋_GB2312" w:cs="仿宋_GB2312"/>
          <w:sz w:val="32"/>
          <w:szCs w:val="32"/>
          <w:highlight w:val="none"/>
          <w:shd w:val="clear" w:color="auto" w:fill="auto"/>
        </w:rPr>
        <w:t>1</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科学公正原则</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shd w:val="clear" w:color="auto" w:fill="auto"/>
        </w:rPr>
      </w:pPr>
      <w:r>
        <w:rPr>
          <w:rFonts w:hint="eastAsia" w:ascii="仿宋_GB2312" w:hAnsi="仿宋_GB2312" w:eastAsia="仿宋_GB2312" w:cs="仿宋_GB2312"/>
          <w:sz w:val="32"/>
          <w:szCs w:val="32"/>
          <w:highlight w:val="none"/>
          <w:shd w:val="clear" w:color="auto" w:fill="auto"/>
        </w:rPr>
        <w:t>2</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统筹兼顾原则</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shd w:val="clear" w:color="auto" w:fill="auto"/>
        </w:rPr>
      </w:pPr>
      <w:r>
        <w:rPr>
          <w:rFonts w:hint="eastAsia" w:ascii="仿宋_GB2312" w:hAnsi="仿宋_GB2312" w:eastAsia="仿宋_GB2312" w:cs="仿宋_GB2312"/>
          <w:sz w:val="32"/>
          <w:szCs w:val="32"/>
          <w:highlight w:val="none"/>
          <w:shd w:val="clear" w:color="auto" w:fill="auto"/>
        </w:rPr>
        <w:t>3</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激励约束原则</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shd w:val="clear" w:color="auto" w:fill="auto"/>
        </w:rPr>
      </w:pPr>
      <w:r>
        <w:rPr>
          <w:rFonts w:hint="eastAsia" w:ascii="仿宋_GB2312" w:hAnsi="仿宋_GB2312" w:eastAsia="仿宋_GB2312" w:cs="仿宋_GB2312"/>
          <w:sz w:val="32"/>
          <w:szCs w:val="32"/>
          <w:highlight w:val="none"/>
          <w:shd w:val="clear" w:color="auto" w:fill="auto"/>
        </w:rPr>
        <w:t>4</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公开透明原则</w:t>
      </w:r>
      <w:r>
        <w:rPr>
          <w:rFonts w:hint="eastAsia" w:ascii="仿宋_GB2312" w:hAnsi="仿宋_GB2312" w:eastAsia="仿宋_GB2312" w:cs="仿宋_GB2312"/>
          <w:sz w:val="32"/>
          <w:szCs w:val="32"/>
          <w:highlight w:val="none"/>
          <w:shd w:val="clear" w:color="auto" w:fill="auto"/>
          <w:lang w:eastAsia="zh-CN"/>
        </w:rPr>
        <w:t>。</w:t>
      </w:r>
      <w:r>
        <w:rPr>
          <w:rFonts w:hint="eastAsia" w:ascii="仿宋_GB2312" w:hAnsi="仿宋_GB2312" w:eastAsia="仿宋_GB2312" w:cs="仿宋_GB2312"/>
          <w:sz w:val="32"/>
          <w:szCs w:val="32"/>
          <w:highlight w:val="none"/>
          <w:shd w:val="clear" w:color="auto" w:fill="auto"/>
        </w:rPr>
        <w:t>此次绩效自评结果应依法依规在政府门户网站进行公开，并自觉接受社会监督。</w:t>
      </w:r>
    </w:p>
    <w:bookmarkEnd w:id="23"/>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outlineLvl w:val="1"/>
        <w:rPr>
          <w:rFonts w:hint="eastAsia" w:ascii="楷体" w:hAnsi="楷体" w:eastAsia="楷体" w:cs="楷体"/>
          <w:b w:val="0"/>
          <w:bCs w:val="0"/>
          <w:sz w:val="32"/>
          <w:szCs w:val="32"/>
          <w:highlight w:val="none"/>
          <w:shd w:val="clear" w:color="auto" w:fill="auto"/>
          <w:lang w:val="en-US" w:eastAsia="zh-CN"/>
        </w:rPr>
      </w:pPr>
      <w:bookmarkStart w:id="24" w:name="_Toc14749"/>
      <w:bookmarkStart w:id="25" w:name="_Toc8765"/>
      <w:bookmarkStart w:id="26" w:name="_Toc12540"/>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lang w:val="en-US" w:eastAsia="zh-CN"/>
        </w:rPr>
        <w:t>五</w:t>
      </w:r>
      <w:r>
        <w:rPr>
          <w:rFonts w:hint="eastAsia" w:ascii="楷体" w:hAnsi="楷体" w:eastAsia="楷体" w:cs="楷体"/>
          <w:b w:val="0"/>
          <w:bCs w:val="0"/>
          <w:sz w:val="32"/>
          <w:szCs w:val="32"/>
          <w:highlight w:val="none"/>
          <w:shd w:val="clear" w:color="auto" w:fill="auto"/>
          <w:lang w:eastAsia="zh-CN"/>
        </w:rPr>
        <w:t>）</w:t>
      </w:r>
      <w:r>
        <w:rPr>
          <w:rFonts w:hint="eastAsia" w:ascii="楷体" w:hAnsi="楷体" w:eastAsia="楷体" w:cs="楷体"/>
          <w:b w:val="0"/>
          <w:bCs w:val="0"/>
          <w:sz w:val="32"/>
          <w:szCs w:val="32"/>
          <w:highlight w:val="none"/>
          <w:shd w:val="clear" w:color="auto" w:fill="auto"/>
        </w:rPr>
        <w:t>绩效自评</w:t>
      </w:r>
      <w:bookmarkEnd w:id="24"/>
      <w:bookmarkEnd w:id="25"/>
      <w:r>
        <w:rPr>
          <w:rFonts w:hint="eastAsia" w:ascii="楷体" w:hAnsi="楷体" w:eastAsia="楷体" w:cs="楷体"/>
          <w:b w:val="0"/>
          <w:bCs w:val="0"/>
          <w:sz w:val="32"/>
          <w:szCs w:val="32"/>
          <w:highlight w:val="none"/>
          <w:shd w:val="clear" w:color="auto" w:fill="auto"/>
          <w:lang w:val="en-US" w:eastAsia="zh-CN"/>
        </w:rPr>
        <w:t>过程</w:t>
      </w:r>
      <w:bookmarkEnd w:id="26"/>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highlight w:val="none"/>
          <w:shd w:val="clear" w:color="auto" w:fill="auto"/>
        </w:rPr>
      </w:pPr>
      <w:r>
        <w:rPr>
          <w:rFonts w:hint="eastAsia" w:ascii="仿宋_GB2312" w:hAnsi="仿宋_GB2312" w:eastAsia="仿宋_GB2312" w:cs="仿宋_GB2312"/>
          <w:sz w:val="32"/>
          <w:szCs w:val="32"/>
          <w:highlight w:val="none"/>
          <w:shd w:val="clear" w:color="auto" w:fill="auto"/>
        </w:rPr>
        <w:t>本次绩效自评将资金使用产出及效果与年初指标值相比较，完成相应指标值的；对完成值</w:t>
      </w:r>
      <w:r>
        <w:rPr>
          <w:rFonts w:hint="eastAsia" w:ascii="仿宋_GB2312" w:hAnsi="仿宋_GB2312" w:eastAsia="仿宋_GB2312" w:cs="仿宋_GB2312"/>
          <w:sz w:val="32"/>
          <w:szCs w:val="32"/>
          <w:highlight w:val="none"/>
          <w:shd w:val="clear" w:color="auto" w:fill="auto"/>
          <w:lang w:eastAsia="zh-CN"/>
        </w:rPr>
        <w:t>低</w:t>
      </w:r>
      <w:r>
        <w:rPr>
          <w:rFonts w:hint="eastAsia" w:ascii="仿宋_GB2312" w:hAnsi="仿宋_GB2312" w:eastAsia="仿宋_GB2312" w:cs="仿宋_GB2312"/>
          <w:sz w:val="32"/>
          <w:szCs w:val="32"/>
          <w:highlight w:val="none"/>
          <w:shd w:val="clear" w:color="auto" w:fill="auto"/>
        </w:rPr>
        <w:t>于指标值较多的，分析其形成原因，针对评价过程中发现的问题进一步提出相关意见建议，为以后年度</w:t>
      </w:r>
      <w:r>
        <w:rPr>
          <w:rFonts w:hint="eastAsia" w:ascii="仿宋_GB2312" w:hAnsi="仿宋_GB2312" w:eastAsia="仿宋_GB2312" w:cs="仿宋_GB2312"/>
          <w:sz w:val="32"/>
          <w:szCs w:val="32"/>
          <w:highlight w:val="none"/>
          <w:shd w:val="clear" w:color="auto" w:fill="auto"/>
          <w:lang w:eastAsia="zh-CN"/>
        </w:rPr>
        <w:t>我部门</w:t>
      </w:r>
      <w:r>
        <w:rPr>
          <w:rFonts w:hint="eastAsia" w:ascii="仿宋_GB2312" w:hAnsi="仿宋_GB2312" w:eastAsia="仿宋_GB2312" w:cs="仿宋_GB2312"/>
          <w:sz w:val="32"/>
          <w:szCs w:val="32"/>
          <w:highlight w:val="none"/>
          <w:shd w:val="clear" w:color="auto" w:fill="auto"/>
        </w:rPr>
        <w:t>履行部门职责作出更好的预算管理和资金安排。</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0"/>
        <w:rPr>
          <w:rFonts w:hint="eastAsia" w:ascii="黑体" w:hAnsi="黑体" w:eastAsia="黑体"/>
          <w:b/>
          <w:bCs/>
          <w:sz w:val="32"/>
          <w:szCs w:val="32"/>
          <w:highlight w:val="none"/>
          <w:shd w:val="clear" w:color="auto" w:fill="auto"/>
          <w:lang w:eastAsia="zh-CN"/>
        </w:rPr>
      </w:pPr>
      <w:bookmarkStart w:id="27" w:name="_Toc23113"/>
      <w:r>
        <w:rPr>
          <w:rFonts w:hint="eastAsia" w:ascii="黑体" w:hAnsi="黑体" w:eastAsia="黑体"/>
          <w:sz w:val="32"/>
          <w:szCs w:val="32"/>
          <w:highlight w:val="none"/>
          <w:shd w:val="clear" w:color="auto" w:fill="auto"/>
        </w:rPr>
        <w:t>三、</w:t>
      </w:r>
      <w:r>
        <w:rPr>
          <w:rFonts w:hint="eastAsia" w:ascii="黑体" w:hAnsi="黑体" w:eastAsia="黑体"/>
          <w:sz w:val="32"/>
          <w:szCs w:val="32"/>
          <w:highlight w:val="none"/>
          <w:shd w:val="clear" w:color="auto" w:fill="auto"/>
          <w:lang w:eastAsia="zh-CN"/>
        </w:rPr>
        <w:t>部门整体支出</w:t>
      </w:r>
      <w:r>
        <w:rPr>
          <w:rFonts w:hint="eastAsia" w:ascii="黑体" w:hAnsi="黑体" w:eastAsia="黑体"/>
          <w:sz w:val="32"/>
          <w:szCs w:val="32"/>
          <w:highlight w:val="none"/>
          <w:shd w:val="clear" w:color="auto" w:fill="auto"/>
        </w:rPr>
        <w:t>绩效</w:t>
      </w:r>
      <w:r>
        <w:rPr>
          <w:rFonts w:hint="eastAsia" w:ascii="黑体" w:hAnsi="黑体" w:eastAsia="黑体"/>
          <w:sz w:val="32"/>
          <w:szCs w:val="32"/>
          <w:highlight w:val="none"/>
          <w:shd w:val="clear" w:color="auto" w:fill="auto"/>
          <w:lang w:eastAsia="zh-CN"/>
        </w:rPr>
        <w:t>目标实现情况及指标分析</w:t>
      </w:r>
      <w:bookmarkEnd w:id="27"/>
    </w:p>
    <w:p>
      <w:pPr>
        <w:keepNext w:val="0"/>
        <w:keepLines w:val="0"/>
        <w:pageBreakBefore w:val="0"/>
        <w:widowControl w:val="0"/>
        <w:numPr>
          <w:ilvl w:val="0"/>
          <w:numId w:val="3"/>
        </w:numPr>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shd w:val="clear" w:color="auto" w:fill="auto"/>
          <w:lang w:val="en-US" w:eastAsia="zh-CN"/>
        </w:rPr>
      </w:pPr>
      <w:bookmarkStart w:id="28" w:name="_Toc29092"/>
      <w:r>
        <w:rPr>
          <w:rFonts w:hint="eastAsia" w:ascii="楷体" w:hAnsi="楷体" w:eastAsia="楷体" w:cs="楷体"/>
          <w:b w:val="0"/>
          <w:bCs w:val="0"/>
          <w:sz w:val="32"/>
          <w:szCs w:val="32"/>
          <w:highlight w:val="none"/>
          <w:shd w:val="clear" w:color="auto" w:fill="auto"/>
          <w:lang w:eastAsia="zh-CN"/>
        </w:rPr>
        <w:t>总体绩效目标实现情况</w:t>
      </w:r>
      <w:bookmarkEnd w:id="28"/>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lang w:val="en-US" w:eastAsia="zh-CN"/>
        </w:rPr>
      </w:pPr>
      <w:r>
        <w:rPr>
          <w:rFonts w:hint="eastAsia" w:ascii="仿宋" w:hAnsi="仿宋" w:eastAsia="仿宋"/>
          <w:sz w:val="32"/>
          <w:szCs w:val="32"/>
          <w:highlight w:val="none"/>
          <w:shd w:val="clear" w:color="auto" w:fill="auto"/>
          <w:lang w:val="en-US" w:eastAsia="zh-CN"/>
        </w:rPr>
        <w:t>根据相关离退休干部工作的方针政策，为我市8家困难事业单位离休干部落实了有关待遇，为9家上收管理部门下拨离退休干部经费，召开全市经济社会发展情况报告会，全面落实我市老干部政治待遇、生活待遇；进一步加强老干部活动阵地建设，积极推进市老年大学、活动中心老干部活动阵地建设。干休所结合与辖区结对共建试点情况，积极探讨扩大试点面的可行性工作，探讨从单纯自我服务向自我服务和社会化服务融合，尝试在依托家庭养老的基础上把社会服务机构引进干休所老干部服务范畴，扎实推进老干部工作全面创优。</w:t>
      </w:r>
      <w:r>
        <w:rPr>
          <w:rFonts w:hint="eastAsia" w:ascii="仿宋_GB2312" w:hAnsi="黑体" w:eastAsia="仿宋_GB2312" w:cs="仿宋_GB2312"/>
          <w:color w:val="auto"/>
          <w:sz w:val="32"/>
          <w:szCs w:val="32"/>
          <w:highlight w:val="none"/>
          <w:shd w:val="clear" w:color="auto" w:fill="auto"/>
          <w:lang w:eastAsia="zh-CN"/>
        </w:rPr>
        <w:t>深入学习贯彻落实习近平总书记关于老干部工作重要指示精神，贯彻落实全国</w:t>
      </w:r>
      <w:r>
        <w:rPr>
          <w:rFonts w:hint="eastAsia" w:ascii="仿宋_GB2312" w:hAnsi="黑体" w:eastAsia="仿宋_GB2312" w:cs="仿宋_GB2312"/>
          <w:color w:val="auto"/>
          <w:sz w:val="32"/>
          <w:szCs w:val="32"/>
          <w:highlight w:val="none"/>
          <w:shd w:val="clear" w:color="auto" w:fill="auto"/>
          <w:lang w:val="en-US" w:eastAsia="zh-CN"/>
        </w:rPr>
        <w:t>离退休干部“双先”表彰大会及全国、全</w:t>
      </w:r>
      <w:r>
        <w:rPr>
          <w:rFonts w:hint="eastAsia" w:ascii="仿宋_GB2312" w:hAnsi="黑体" w:eastAsia="仿宋_GB2312" w:cs="仿宋_GB2312"/>
          <w:color w:val="auto"/>
          <w:sz w:val="32"/>
          <w:szCs w:val="32"/>
          <w:highlight w:val="none"/>
          <w:shd w:val="clear" w:color="auto" w:fill="auto"/>
          <w:lang w:eastAsia="zh-CN"/>
        </w:rPr>
        <w:t>省老干部局长会议精神，在省局的正确指导和市委的坚强领导下，以迎接党的二十大胜利召开和学习宣传贯彻党的二十大精神为主线，全力抓好离退休干部党的建设、发挥作用、服务管理、队伍建设等重点工作，</w:t>
      </w:r>
      <w:r>
        <w:rPr>
          <w:rFonts w:hint="eastAsia" w:ascii="仿宋_GB2312" w:hAnsi="黑体" w:eastAsia="仿宋_GB2312" w:cs="仿宋_GB2312"/>
          <w:color w:val="auto"/>
          <w:sz w:val="32"/>
          <w:szCs w:val="32"/>
          <w:highlight w:val="none"/>
          <w:shd w:val="clear" w:color="auto" w:fill="auto"/>
          <w:lang w:val="en-US" w:eastAsia="zh-CN"/>
        </w:rPr>
        <w:t>有序完成了全年各项目标任务</w:t>
      </w:r>
      <w:r>
        <w:rPr>
          <w:rFonts w:hint="eastAsia" w:ascii="仿宋_GB2312" w:hAnsi="黑体" w:eastAsia="仿宋_GB2312" w:cs="仿宋_GB2312"/>
          <w:color w:val="auto"/>
          <w:sz w:val="32"/>
          <w:szCs w:val="32"/>
          <w:highlight w:val="none"/>
          <w:shd w:val="clear" w:color="auto" w:fill="auto"/>
          <w:lang w:eastAsia="zh-CN"/>
        </w:rPr>
        <w:t>。</w:t>
      </w:r>
    </w:p>
    <w:p>
      <w:pPr>
        <w:keepNext w:val="0"/>
        <w:keepLines w:val="0"/>
        <w:pageBreakBefore w:val="0"/>
        <w:widowControl w:val="0"/>
        <w:numPr>
          <w:ilvl w:val="0"/>
          <w:numId w:val="3"/>
        </w:numPr>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shd w:val="clear" w:color="auto" w:fill="auto"/>
          <w:lang w:eastAsia="zh-CN"/>
        </w:rPr>
      </w:pPr>
      <w:bookmarkStart w:id="29" w:name="_Toc30524"/>
      <w:r>
        <w:rPr>
          <w:rFonts w:hint="eastAsia" w:ascii="楷体" w:hAnsi="楷体" w:eastAsia="楷体" w:cs="楷体"/>
          <w:b w:val="0"/>
          <w:bCs w:val="0"/>
          <w:sz w:val="32"/>
          <w:szCs w:val="32"/>
          <w:highlight w:val="none"/>
          <w:shd w:val="clear" w:color="auto" w:fill="auto"/>
          <w:lang w:eastAsia="zh-CN"/>
        </w:rPr>
        <w:t>分项绩效目标实现情况及指标分析</w:t>
      </w:r>
      <w:bookmarkEnd w:id="29"/>
    </w:p>
    <w:p>
      <w:pPr>
        <w:keepNext w:val="0"/>
        <w:keepLines w:val="0"/>
        <w:pageBreakBefore w:val="0"/>
        <w:widowControl w:val="0"/>
        <w:kinsoku/>
        <w:wordWrap/>
        <w:overflowPunct/>
        <w:topLinePunct w:val="0"/>
        <w:autoSpaceDE/>
        <w:autoSpaceDN/>
        <w:bidi w:val="0"/>
        <w:spacing w:line="560" w:lineRule="exact"/>
        <w:ind w:left="0" w:firstLine="643" w:firstLineChars="200"/>
        <w:jc w:val="both"/>
        <w:textAlignment w:val="auto"/>
        <w:outlineLvl w:val="9"/>
        <w:rPr>
          <w:rFonts w:hint="default" w:ascii="仿宋_GB2312" w:eastAsia="仿宋_GB2312"/>
          <w:sz w:val="32"/>
          <w:szCs w:val="32"/>
          <w:highlight w:val="none"/>
          <w:shd w:val="clear" w:color="auto" w:fill="auto"/>
          <w:lang w:val="en-US" w:eastAsia="zh-CN"/>
        </w:rPr>
      </w:pPr>
      <w:r>
        <w:rPr>
          <w:rFonts w:hint="eastAsia" w:ascii="仿宋_GB2312" w:eastAsia="仿宋_GB2312"/>
          <w:b/>
          <w:bCs/>
          <w:sz w:val="32"/>
          <w:szCs w:val="32"/>
          <w:highlight w:val="none"/>
          <w:shd w:val="clear" w:color="auto" w:fill="auto"/>
          <w:lang w:val="en-US" w:eastAsia="zh-CN"/>
        </w:rPr>
        <w:t>1.全面落实我市离退休干部政治待遇、生活待遇（33分）</w:t>
      </w:r>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default" w:ascii="仿宋_GB2312" w:hAnsi="仿宋_GB2312" w:eastAsia="仿宋_GB2312" w:cs="仿宋_GB2312"/>
          <w:color w:val="auto"/>
          <w:sz w:val="32"/>
          <w:szCs w:val="32"/>
          <w:highlight w:val="none"/>
          <w:shd w:val="clear" w:color="auto" w:fill="auto"/>
          <w:lang w:val="en-US" w:eastAsia="zh-CN"/>
        </w:rPr>
      </w:pPr>
      <w:r>
        <w:rPr>
          <w:rFonts w:hint="eastAsia" w:ascii="仿宋_GB2312" w:eastAsia="仿宋_GB2312"/>
          <w:sz w:val="32"/>
          <w:szCs w:val="32"/>
          <w:highlight w:val="none"/>
          <w:shd w:val="clear" w:color="auto" w:fill="auto"/>
          <w:lang w:val="en-US" w:eastAsia="zh-CN"/>
        </w:rPr>
        <w:t>我部门</w:t>
      </w:r>
      <w:r>
        <w:rPr>
          <w:rFonts w:hint="eastAsia" w:ascii="Times New Roman" w:hAnsi="Times New Roman" w:eastAsia="仿宋_GB2312"/>
          <w:color w:val="000000"/>
          <w:sz w:val="32"/>
          <w:szCs w:val="32"/>
          <w:highlight w:val="none"/>
          <w:shd w:val="clear" w:color="auto" w:fill="auto"/>
        </w:rPr>
        <w:t>充分</w:t>
      </w:r>
      <w:r>
        <w:rPr>
          <w:rFonts w:ascii="Times New Roman" w:hAnsi="Times New Roman" w:eastAsia="仿宋_GB2312"/>
          <w:color w:val="000000"/>
          <w:sz w:val="32"/>
          <w:szCs w:val="32"/>
          <w:highlight w:val="none"/>
          <w:shd w:val="clear" w:color="auto" w:fill="auto"/>
        </w:rPr>
        <w:t>落实</w:t>
      </w:r>
      <w:r>
        <w:rPr>
          <w:rFonts w:hint="eastAsia" w:ascii="Times New Roman" w:hAnsi="Times New Roman" w:eastAsia="仿宋_GB2312"/>
          <w:color w:val="000000"/>
          <w:sz w:val="32"/>
          <w:szCs w:val="32"/>
          <w:highlight w:val="none"/>
          <w:shd w:val="clear" w:color="auto" w:fill="auto"/>
          <w:lang w:val="en-US" w:eastAsia="zh-CN"/>
        </w:rPr>
        <w:t>对</w:t>
      </w:r>
      <w:r>
        <w:rPr>
          <w:rFonts w:ascii="Times New Roman" w:hAnsi="Times New Roman" w:eastAsia="仿宋_GB2312"/>
          <w:color w:val="000000"/>
          <w:sz w:val="32"/>
          <w:szCs w:val="32"/>
          <w:highlight w:val="none"/>
          <w:shd w:val="clear" w:color="auto" w:fill="auto"/>
        </w:rPr>
        <w:t>离退休干部</w:t>
      </w:r>
      <w:r>
        <w:rPr>
          <w:rFonts w:hint="eastAsia" w:ascii="Times New Roman" w:hAnsi="Times New Roman" w:eastAsia="仿宋_GB2312"/>
          <w:color w:val="000000"/>
          <w:sz w:val="32"/>
          <w:szCs w:val="32"/>
          <w:highlight w:val="none"/>
          <w:shd w:val="clear" w:color="auto" w:fill="auto"/>
        </w:rPr>
        <w:t>各项</w:t>
      </w:r>
      <w:r>
        <w:rPr>
          <w:rFonts w:ascii="Times New Roman" w:hAnsi="Times New Roman" w:eastAsia="仿宋_GB2312"/>
          <w:color w:val="000000"/>
          <w:sz w:val="32"/>
          <w:szCs w:val="32"/>
          <w:highlight w:val="none"/>
          <w:shd w:val="clear" w:color="auto" w:fill="auto"/>
        </w:rPr>
        <w:t>政治</w:t>
      </w:r>
      <w:r>
        <w:rPr>
          <w:rFonts w:hint="eastAsia" w:ascii="Times New Roman" w:hAnsi="Times New Roman" w:eastAsia="仿宋_GB2312"/>
          <w:color w:val="000000"/>
          <w:sz w:val="32"/>
          <w:szCs w:val="32"/>
          <w:highlight w:val="none"/>
          <w:shd w:val="clear" w:color="auto" w:fill="auto"/>
        </w:rPr>
        <w:t>、生活</w:t>
      </w:r>
      <w:r>
        <w:rPr>
          <w:rFonts w:ascii="Times New Roman" w:hAnsi="Times New Roman" w:eastAsia="仿宋_GB2312"/>
          <w:color w:val="000000"/>
          <w:sz w:val="32"/>
          <w:szCs w:val="32"/>
          <w:highlight w:val="none"/>
          <w:shd w:val="clear" w:color="auto" w:fill="auto"/>
        </w:rPr>
        <w:t>待</w:t>
      </w:r>
      <w:r>
        <w:rPr>
          <w:rFonts w:hint="eastAsia" w:ascii="Times New Roman" w:hAnsi="Times New Roman" w:eastAsia="仿宋_GB2312"/>
          <w:color w:val="000000"/>
          <w:sz w:val="32"/>
          <w:szCs w:val="32"/>
          <w:highlight w:val="none"/>
          <w:shd w:val="clear" w:color="auto" w:fill="auto"/>
          <w:lang w:val="en-US" w:eastAsia="zh-CN"/>
        </w:rPr>
        <w:t>遇</w:t>
      </w:r>
      <w:r>
        <w:rPr>
          <w:rFonts w:hint="eastAsia" w:ascii="Times New Roman" w:hAnsi="Times New Roman" w:eastAsia="仿宋_GB2312"/>
          <w:color w:val="000000"/>
          <w:sz w:val="32"/>
          <w:szCs w:val="32"/>
          <w:highlight w:val="none"/>
          <w:shd w:val="clear" w:color="auto" w:fill="auto"/>
          <w:lang w:eastAsia="zh-CN"/>
        </w:rPr>
        <w:t>。</w:t>
      </w:r>
      <w:r>
        <w:rPr>
          <w:rFonts w:hint="eastAsia" w:ascii="仿宋_GB2312" w:hAnsi="仿宋_GB2312" w:eastAsia="仿宋_GB2312" w:cs="仿宋_GB2312"/>
          <w:color w:val="auto"/>
          <w:sz w:val="32"/>
          <w:szCs w:val="32"/>
          <w:highlight w:val="none"/>
          <w:shd w:val="clear" w:color="auto" w:fill="auto"/>
          <w:lang w:eastAsia="zh-CN"/>
        </w:rPr>
        <w:t>充分保障离退休干部各项政治、生活待遇，坚持走访慰问、住院看望、报送医药费、电话慰问、生日祝寿等常态化服务。</w:t>
      </w:r>
      <w:r>
        <w:rPr>
          <w:rFonts w:hint="default" w:ascii="Times New Roman" w:hAnsi="Times New Roman" w:eastAsia="仿宋_GB2312" w:cs="Times New Roman"/>
          <w:sz w:val="32"/>
          <w:szCs w:val="32"/>
          <w:highlight w:val="none"/>
          <w:shd w:val="clear" w:color="auto" w:fill="auto"/>
        </w:rPr>
        <w:t>拉平待遇、财政兜底，为乡镇企业经贸公司等5家困难事业单位拨付一次性抚恤金等统筹外项目77万元；建立特困帮扶台账，为23个市直部门的143名特困老同志拨付帮扶资金50万元。在中秋节前，对96名市级老领导和26名老领导遗孀、11名改制破产企业上收我局的离休干部、25名本局机关离退休人员进行走访慰问，体现了组织的关心关怀。对58名市级老领导每月过生日进行上门看望，送去问候；对8名易地安置和居住在外地的离休干部分组由局领导带队慰问，把市委、市政府的关怀送到这些曾经为我市建设做出过贡献的老同志身边。</w:t>
      </w:r>
      <w:r>
        <w:rPr>
          <w:rFonts w:hint="eastAsia" w:ascii="仿宋_GB2312" w:hAnsi="仿宋_GB2312" w:eastAsia="仿宋_GB2312" w:cs="仿宋_GB2312"/>
          <w:color w:val="auto"/>
          <w:sz w:val="32"/>
          <w:szCs w:val="32"/>
          <w:highlight w:val="none"/>
          <w:shd w:val="clear" w:color="auto" w:fill="auto"/>
          <w:lang w:val="en-US" w:eastAsia="zh-CN"/>
        </w:rPr>
        <w:t>本项指标的服务数量（3.3分）、质量（3.3分）、时效（3.3分）、成本（3.3分）、效益效果（13.2分）、服务对象满意度（3.3分）全部达到年初预期目标，但局机关的</w:t>
      </w:r>
      <w:r>
        <w:rPr>
          <w:rFonts w:hint="default" w:ascii="仿宋_GB2312" w:hAnsi="仿宋_GB2312" w:eastAsia="仿宋_GB2312" w:cs="仿宋_GB2312"/>
          <w:b w:val="0"/>
          <w:color w:val="auto"/>
          <w:kern w:val="2"/>
          <w:sz w:val="32"/>
          <w:szCs w:val="32"/>
          <w:highlight w:val="none"/>
          <w:shd w:val="clear" w:color="auto" w:fill="auto"/>
          <w:lang w:val="en-US" w:eastAsia="zh-CN" w:bidi="ar-SA"/>
        </w:rPr>
        <w:t>破产改制企业离休干部上收管理专项资金</w:t>
      </w:r>
      <w:r>
        <w:rPr>
          <w:rFonts w:hint="eastAsia" w:ascii="仿宋_GB2312" w:hAnsi="仿宋_GB2312" w:eastAsia="仿宋_GB2312" w:cs="仿宋_GB2312"/>
          <w:b w:val="0"/>
          <w:color w:val="auto"/>
          <w:kern w:val="2"/>
          <w:sz w:val="32"/>
          <w:szCs w:val="32"/>
          <w:highlight w:val="none"/>
          <w:shd w:val="clear" w:color="auto" w:fill="auto"/>
          <w:lang w:val="en-US" w:eastAsia="zh-CN" w:bidi="ar-SA"/>
        </w:rPr>
        <w:t>、老干部慰问及活动经费两个项目预算执行率（3.3分）均为73%，扣0.89分。</w:t>
      </w:r>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该项指标满分33分，得32.11分。</w:t>
      </w:r>
    </w:p>
    <w:p>
      <w:pPr>
        <w:keepNext w:val="0"/>
        <w:keepLines w:val="0"/>
        <w:pageBreakBefore w:val="0"/>
        <w:widowControl w:val="0"/>
        <w:kinsoku/>
        <w:wordWrap/>
        <w:overflowPunct/>
        <w:topLinePunct w:val="0"/>
        <w:autoSpaceDE/>
        <w:autoSpaceDN/>
        <w:bidi w:val="0"/>
        <w:spacing w:line="560" w:lineRule="exact"/>
        <w:ind w:left="0" w:firstLine="643" w:firstLineChars="200"/>
        <w:jc w:val="both"/>
        <w:textAlignment w:val="auto"/>
        <w:outlineLvl w:val="9"/>
        <w:rPr>
          <w:rFonts w:hint="eastAsia" w:ascii="仿宋" w:hAnsi="仿宋" w:eastAsia="仿宋"/>
          <w:sz w:val="32"/>
          <w:szCs w:val="32"/>
          <w:highlight w:val="none"/>
          <w:shd w:val="clear" w:color="auto" w:fill="auto"/>
          <w:lang w:eastAsia="zh-CN"/>
        </w:rPr>
      </w:pPr>
      <w:r>
        <w:rPr>
          <w:rFonts w:hint="eastAsia" w:ascii="仿宋" w:hAnsi="仿宋" w:eastAsia="仿宋"/>
          <w:b/>
          <w:bCs/>
          <w:sz w:val="32"/>
          <w:szCs w:val="32"/>
          <w:highlight w:val="none"/>
          <w:shd w:val="clear" w:color="auto" w:fill="auto"/>
          <w:lang w:val="en-US" w:eastAsia="zh-CN"/>
        </w:rPr>
        <w:t>2.加强老干部活动阵地建设、组织举办各种形式的老干部活动</w:t>
      </w:r>
      <w:r>
        <w:rPr>
          <w:rFonts w:hint="eastAsia" w:ascii="仿宋_GB2312" w:eastAsia="仿宋_GB2312"/>
          <w:b/>
          <w:bCs/>
          <w:sz w:val="32"/>
          <w:szCs w:val="32"/>
          <w:highlight w:val="none"/>
          <w:shd w:val="clear" w:color="auto" w:fill="auto"/>
          <w:lang w:val="en-US" w:eastAsia="zh-CN"/>
        </w:rPr>
        <w:t>（33分）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shd w:val="clear" w:color="auto" w:fill="auto"/>
          <w:lang w:val="en-US" w:eastAsia="zh-CN"/>
        </w:rPr>
      </w:pPr>
      <w:r>
        <w:rPr>
          <w:rFonts w:hint="default" w:ascii="Times New Roman" w:hAnsi="Times New Roman" w:eastAsia="仿宋_GB2312" w:cs="Times New Roman"/>
          <w:sz w:val="32"/>
          <w:szCs w:val="32"/>
          <w:highlight w:val="none"/>
          <w:shd w:val="clear" w:color="auto" w:fill="auto"/>
        </w:rPr>
        <w:t>在裕彤体育中心举办了第二十六届市直机关离退休干部运动会，此项活动已连续举办25届，其社会关注度和在老干部中受欢迎的程度越来越高，本届运动会有50余支市直部门代表队，共计3000余名离退休干部，分别参加8个项目的比赛。</w:t>
      </w:r>
      <w:r>
        <w:rPr>
          <w:rFonts w:hint="default" w:ascii="Times New Roman" w:hAnsi="Times New Roman" w:eastAsia="仿宋_GB2312" w:cs="Times New Roman"/>
          <w:b w:val="0"/>
          <w:bCs w:val="0"/>
          <w:i w:val="0"/>
          <w:iCs w:val="0"/>
          <w:color w:val="auto"/>
          <w:kern w:val="2"/>
          <w:sz w:val="32"/>
          <w:szCs w:val="32"/>
          <w:highlight w:val="none"/>
          <w:shd w:val="clear" w:color="auto" w:fill="auto"/>
          <w:lang w:val="en-US" w:eastAsia="zh-CN" w:bidi="ar-SA"/>
        </w:rPr>
        <w:t>老干部活动中心坚持服务至上，依托信息化手段，打造线上预约系统，</w:t>
      </w:r>
      <w:r>
        <w:rPr>
          <w:rFonts w:hint="default" w:ascii="Times New Roman" w:hAnsi="Times New Roman" w:eastAsia="仿宋_GB2312" w:cs="Times New Roman"/>
          <w:sz w:val="32"/>
          <w:szCs w:val="32"/>
          <w:highlight w:val="none"/>
          <w:shd w:val="clear" w:color="auto" w:fill="auto"/>
          <w:lang w:val="en-US" w:eastAsia="zh-CN"/>
        </w:rPr>
        <w:t>优化预约流程。与时俱进更新馆项目稳步推进模拟网球馆、射击馆设施建设，探索5D观影、VR体验等项目建设新路径。</w:t>
      </w:r>
      <w:r>
        <w:rPr>
          <w:rFonts w:hint="default" w:ascii="Times New Roman" w:hAnsi="Times New Roman" w:eastAsia="仿宋_GB2312" w:cs="Times New Roman"/>
          <w:i w:val="0"/>
          <w:caps w:val="0"/>
          <w:color w:val="auto"/>
          <w:spacing w:val="0"/>
          <w:sz w:val="32"/>
          <w:szCs w:val="32"/>
          <w:highlight w:val="none"/>
          <w:shd w:val="clear" w:color="auto" w:fill="auto"/>
          <w:lang w:eastAsia="zh-CN"/>
        </w:rPr>
        <w:t>成功举办兵乓球、台球友谊赛，深受老同志好评。</w:t>
      </w:r>
      <w:r>
        <w:rPr>
          <w:rFonts w:hint="default" w:ascii="Times New Roman" w:hAnsi="Times New Roman" w:eastAsia="仿宋_GB2312" w:cs="Times New Roman"/>
          <w:color w:val="auto"/>
          <w:sz w:val="32"/>
          <w:szCs w:val="32"/>
          <w:highlight w:val="none"/>
          <w:u w:val="none"/>
          <w:shd w:val="clear" w:color="auto" w:fill="auto"/>
          <w:lang w:val="en-US" w:eastAsia="zh-CN"/>
        </w:rPr>
        <w:t>老干部休养所积极探索转型发展，通过提供闲置场地与街道合作，共建区域日间料理</w:t>
      </w:r>
      <w:r>
        <w:rPr>
          <w:rFonts w:hint="default" w:ascii="Times New Roman" w:hAnsi="Times New Roman" w:eastAsia="仿宋_GB2312" w:cs="Times New Roman"/>
          <w:color w:val="auto"/>
          <w:sz w:val="32"/>
          <w:szCs w:val="32"/>
          <w:highlight w:val="none"/>
          <w:shd w:val="clear" w:color="auto" w:fill="auto"/>
          <w:lang w:val="en-US" w:eastAsia="zh-CN"/>
        </w:rPr>
        <w:t>服务站</w:t>
      </w:r>
      <w:r>
        <w:rPr>
          <w:rFonts w:hint="default" w:ascii="Times New Roman" w:hAnsi="Times New Roman" w:eastAsia="仿宋_GB2312" w:cs="Times New Roman"/>
          <w:color w:val="auto"/>
          <w:sz w:val="32"/>
          <w:szCs w:val="32"/>
          <w:highlight w:val="none"/>
          <w:u w:val="none"/>
          <w:shd w:val="clear" w:color="auto" w:fill="auto"/>
          <w:lang w:val="en-US" w:eastAsia="zh-CN"/>
        </w:rPr>
        <w:t>，</w:t>
      </w:r>
      <w:r>
        <w:rPr>
          <w:rFonts w:hint="default" w:ascii="Times New Roman" w:hAnsi="Times New Roman" w:eastAsia="仿宋_GB2312" w:cs="Times New Roman"/>
          <w:color w:val="auto"/>
          <w:sz w:val="32"/>
          <w:szCs w:val="32"/>
          <w:highlight w:val="none"/>
          <w:shd w:val="clear" w:color="auto" w:fill="auto"/>
          <w:lang w:val="en-US" w:eastAsia="zh-CN"/>
        </w:rPr>
        <w:t>目前护理床位、就餐、洗浴、卫生等基础设施上已初具规模，逐步探索出转型发展新路径。</w:t>
      </w:r>
      <w:r>
        <w:rPr>
          <w:rFonts w:hint="eastAsia" w:ascii="Times New Roman" w:hAnsi="Times New Roman" w:eastAsia="仿宋_GB2312" w:cs="Times New Roman"/>
          <w:color w:val="auto"/>
          <w:sz w:val="32"/>
          <w:szCs w:val="32"/>
          <w:highlight w:val="none"/>
          <w:shd w:val="clear" w:color="auto" w:fill="auto"/>
          <w:lang w:val="en-US" w:eastAsia="zh-CN"/>
        </w:rPr>
        <w:t>老年大学</w:t>
      </w:r>
      <w:r>
        <w:rPr>
          <w:rFonts w:hint="default" w:ascii="Times New Roman" w:hAnsi="Times New Roman" w:eastAsia="仿宋_GB2312" w:cs="Times New Roman"/>
          <w:b w:val="0"/>
          <w:bCs w:val="0"/>
          <w:i w:val="0"/>
          <w:iCs w:val="0"/>
          <w:color w:val="auto"/>
          <w:kern w:val="2"/>
          <w:sz w:val="32"/>
          <w:szCs w:val="32"/>
          <w:highlight w:val="none"/>
          <w:shd w:val="clear" w:color="auto" w:fill="auto"/>
          <w:lang w:val="en-US" w:eastAsia="zh-CN" w:bidi="ar-SA"/>
        </w:rPr>
        <w:t>今年以来，市老年大学围绕争创全国标准示范校，聚焦提升“软件”。坚持政治立校，年初经市委批准，新增党建指导科，推进校地合作，开展游学活动70余次</w:t>
      </w:r>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本项指标的服务数量（3.3分）、质量（3.3分）、时效（3.3分）、成本（3.3分）、效益效果（13.2分）、服务对象满意度（3.3分）全部达到年初预期目标，但老年大学的党组织活动经费、教学保障经费、老年大学教师课时费、活动中心物业管理费、干部休养所的党组织活动经费预算执行率</w:t>
      </w:r>
      <w:r>
        <w:rPr>
          <w:rFonts w:hint="eastAsia" w:ascii="仿宋_GB2312" w:hAnsi="仿宋_GB2312" w:eastAsia="仿宋_GB2312" w:cs="仿宋_GB2312"/>
          <w:b w:val="0"/>
          <w:color w:val="auto"/>
          <w:kern w:val="2"/>
          <w:sz w:val="32"/>
          <w:szCs w:val="32"/>
          <w:highlight w:val="none"/>
          <w:shd w:val="clear" w:color="auto" w:fill="auto"/>
          <w:lang w:val="en-US" w:eastAsia="zh-CN" w:bidi="ar-SA"/>
        </w:rPr>
        <w:t>（3.3分）</w:t>
      </w:r>
      <w:r>
        <w:rPr>
          <w:rFonts w:hint="eastAsia" w:ascii="仿宋_GB2312" w:hAnsi="仿宋_GB2312" w:eastAsia="仿宋_GB2312" w:cs="仿宋_GB2312"/>
          <w:color w:val="auto"/>
          <w:sz w:val="32"/>
          <w:szCs w:val="32"/>
          <w:highlight w:val="none"/>
          <w:shd w:val="clear" w:color="auto" w:fill="auto"/>
          <w:lang w:val="en-US" w:eastAsia="zh-CN"/>
        </w:rPr>
        <w:t>平均值为68.86%，扣1.02分。</w:t>
      </w:r>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eastAsia" w:ascii="仿宋" w:hAnsi="仿宋" w:eastAsia="仿宋" w:cs="黑体"/>
          <w:kern w:val="2"/>
          <w:sz w:val="32"/>
          <w:szCs w:val="32"/>
          <w:highlight w:val="none"/>
          <w:shd w:val="clear" w:color="auto" w:fill="auto"/>
          <w:lang w:val="en-US" w:eastAsia="zh-CN" w:bidi="ar-SA"/>
        </w:rPr>
      </w:pPr>
      <w:r>
        <w:rPr>
          <w:rFonts w:hint="eastAsia" w:ascii="仿宋_GB2312" w:hAnsi="仿宋_GB2312" w:eastAsia="仿宋_GB2312" w:cs="仿宋_GB2312"/>
          <w:color w:val="auto"/>
          <w:sz w:val="32"/>
          <w:szCs w:val="32"/>
          <w:highlight w:val="none"/>
          <w:shd w:val="clear" w:color="auto" w:fill="auto"/>
          <w:lang w:val="en-US" w:eastAsia="zh-CN"/>
        </w:rPr>
        <w:t>该项指标满分33分，得31.98分。</w:t>
      </w:r>
    </w:p>
    <w:p>
      <w:pPr>
        <w:keepNext w:val="0"/>
        <w:keepLines w:val="0"/>
        <w:pageBreakBefore w:val="0"/>
        <w:widowControl w:val="0"/>
        <w:kinsoku/>
        <w:wordWrap/>
        <w:overflowPunct/>
        <w:topLinePunct w:val="0"/>
        <w:autoSpaceDE/>
        <w:autoSpaceDN/>
        <w:bidi w:val="0"/>
        <w:spacing w:beforeLines="0" w:afterLines="0" w:line="560" w:lineRule="exact"/>
        <w:ind w:left="0" w:firstLine="643" w:firstLineChars="200"/>
        <w:jc w:val="both"/>
        <w:textAlignment w:val="auto"/>
        <w:outlineLvl w:val="9"/>
        <w:rPr>
          <w:rFonts w:hint="default" w:ascii="仿宋_GB2312" w:hAnsi="等线" w:eastAsia="仿宋_GB2312" w:cs="Times New Roman"/>
          <w:b/>
          <w:bCs/>
          <w:color w:val="auto"/>
          <w:sz w:val="32"/>
          <w:szCs w:val="32"/>
          <w:highlight w:val="none"/>
          <w:shd w:val="clear" w:color="auto" w:fill="auto"/>
          <w:lang w:val="en-US"/>
        </w:rPr>
      </w:pPr>
      <w:r>
        <w:rPr>
          <w:rFonts w:hint="eastAsia" w:ascii="仿宋" w:hAnsi="仿宋" w:eastAsia="仿宋" w:cs="黑体"/>
          <w:b/>
          <w:bCs/>
          <w:kern w:val="2"/>
          <w:sz w:val="32"/>
          <w:szCs w:val="32"/>
          <w:highlight w:val="none"/>
          <w:shd w:val="clear" w:color="auto" w:fill="auto"/>
          <w:lang w:val="en-US" w:eastAsia="zh-CN" w:bidi="ar-SA"/>
        </w:rPr>
        <w:t>3.积极为老干部搭建发挥平台</w:t>
      </w:r>
      <w:r>
        <w:rPr>
          <w:rFonts w:hint="eastAsia" w:ascii="仿宋_GB2312" w:eastAsia="仿宋_GB2312"/>
          <w:b/>
          <w:bCs/>
          <w:sz w:val="32"/>
          <w:szCs w:val="32"/>
          <w:highlight w:val="none"/>
          <w:shd w:val="clear" w:color="auto" w:fill="auto"/>
          <w:lang w:val="en-US" w:eastAsia="zh-CN"/>
        </w:rPr>
        <w:t>（34分）</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eastAsia" w:ascii="仿宋_GB2312" w:hAnsi="等线" w:eastAsia="仿宋_GB2312" w:cs="Times New Roman"/>
          <w:color w:val="auto"/>
          <w:sz w:val="32"/>
          <w:szCs w:val="32"/>
          <w:highlight w:val="none"/>
          <w:shd w:val="clear" w:color="auto" w:fill="auto"/>
          <w:lang w:eastAsia="zh-CN"/>
        </w:rPr>
      </w:pPr>
      <w:r>
        <w:rPr>
          <w:rFonts w:hint="eastAsia" w:ascii="仿宋_GB2312" w:hAnsi="等线" w:eastAsia="仿宋_GB2312" w:cs="Times New Roman"/>
          <w:color w:val="auto"/>
          <w:sz w:val="32"/>
          <w:szCs w:val="32"/>
          <w:highlight w:val="none"/>
          <w:shd w:val="clear" w:color="auto" w:fill="auto"/>
        </w:rPr>
        <w:t>把为党和人民的事业增添正能量作为老干部工作的价值取向，</w:t>
      </w:r>
      <w:r>
        <w:rPr>
          <w:rFonts w:hint="eastAsia" w:ascii="仿宋_GB2312" w:hAnsi="等线" w:eastAsia="仿宋_GB2312" w:cs="Times New Roman"/>
          <w:color w:val="auto"/>
          <w:sz w:val="32"/>
          <w:szCs w:val="32"/>
          <w:highlight w:val="none"/>
          <w:shd w:val="clear" w:color="auto" w:fill="auto"/>
          <w:lang w:val="en-US" w:eastAsia="zh-CN"/>
        </w:rPr>
        <w:t>继续开展</w:t>
      </w:r>
      <w:r>
        <w:rPr>
          <w:rFonts w:hint="eastAsia" w:ascii="仿宋_GB2312" w:hAnsi="仿宋_GB2312" w:eastAsia="仿宋_GB2312" w:cs="仿宋_GB2312"/>
          <w:b w:val="0"/>
          <w:bCs w:val="0"/>
          <w:color w:val="auto"/>
          <w:sz w:val="32"/>
          <w:szCs w:val="32"/>
          <w:highlight w:val="none"/>
          <w:shd w:val="clear" w:color="auto" w:fill="auto"/>
          <w:lang w:eastAsia="zh-CN"/>
        </w:rPr>
        <w:t>《冀忆·永恒》</w:t>
      </w:r>
      <w:r>
        <w:rPr>
          <w:rFonts w:hint="eastAsia" w:ascii="仿宋_GB2312" w:hAnsi="仿宋_GB2312" w:eastAsia="仿宋_GB2312" w:cs="仿宋_GB2312"/>
          <w:b w:val="0"/>
          <w:bCs w:val="0"/>
          <w:color w:val="auto"/>
          <w:sz w:val="32"/>
          <w:szCs w:val="32"/>
          <w:highlight w:val="none"/>
          <w:shd w:val="clear" w:color="auto" w:fill="auto"/>
          <w:lang w:val="en-US" w:eastAsia="zh-CN"/>
        </w:rPr>
        <w:t>第二部制作，多角度挖掘老干部作为党和国家宝贵财富背后的奋进故事；</w:t>
      </w:r>
      <w:r>
        <w:rPr>
          <w:rFonts w:hint="eastAsia" w:ascii="仿宋_GB2312" w:hAnsi="等线" w:eastAsia="仿宋_GB2312" w:cs="Times New Roman"/>
          <w:color w:val="auto"/>
          <w:sz w:val="32"/>
          <w:szCs w:val="32"/>
          <w:highlight w:val="none"/>
          <w:shd w:val="clear" w:color="auto" w:fill="auto"/>
          <w:lang w:val="en-US" w:eastAsia="zh-CN"/>
        </w:rPr>
        <w:t>推广老干部休养所日间料理服务站创建经验，进一步深化休养所转型发展；</w:t>
      </w:r>
      <w:r>
        <w:rPr>
          <w:rFonts w:hint="eastAsia" w:ascii="仿宋_GB2312" w:hAnsi="仿宋_GB2312" w:eastAsia="仿宋_GB2312" w:cs="仿宋_GB2312"/>
          <w:b w:val="0"/>
          <w:bCs w:val="0"/>
          <w:color w:val="auto"/>
          <w:sz w:val="32"/>
          <w:szCs w:val="32"/>
          <w:highlight w:val="none"/>
          <w:shd w:val="clear" w:color="auto" w:fill="auto"/>
          <w:lang w:val="en-US" w:eastAsia="zh-CN"/>
        </w:rPr>
        <w:t>进一步建设老干部活动中心基础设施，</w:t>
      </w:r>
      <w:r>
        <w:rPr>
          <w:rFonts w:hint="eastAsia" w:ascii="仿宋_GB2312" w:hAnsi="等线" w:eastAsia="仿宋_GB2312" w:cs="Times New Roman"/>
          <w:color w:val="auto"/>
          <w:sz w:val="32"/>
          <w:szCs w:val="32"/>
          <w:highlight w:val="none"/>
          <w:shd w:val="clear" w:color="auto" w:fill="auto"/>
        </w:rPr>
        <w:t>不断完善学习活动阵地建设、关工委组织建设、“银发人才库”建设，充分发挥老干部政治优势、经验优势和威望优势，引导广大老干部为建设现代化、国际化美丽省会城市贡献“银发力量”</w:t>
      </w:r>
      <w:r>
        <w:rPr>
          <w:rFonts w:hint="eastAsia" w:ascii="仿宋_GB2312" w:hAnsi="等线" w:eastAsia="仿宋_GB2312" w:cs="Times New Roman"/>
          <w:color w:val="auto"/>
          <w:sz w:val="32"/>
          <w:szCs w:val="32"/>
          <w:highlight w:val="none"/>
          <w:shd w:val="clear" w:color="auto" w:fill="auto"/>
          <w:lang w:eastAsia="zh-CN"/>
        </w:rPr>
        <w:t>。</w:t>
      </w:r>
      <w:bookmarkStart w:id="30" w:name="_Hlk41493160"/>
      <w:bookmarkStart w:id="31" w:name="_Toc42610961"/>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本项指标的服务数量（3.3分）、质量（3.3分）、时效（3.3分）、成本（3.3分）、效益效果（14.2分）、服务对象满意度（3.3分）全部达到年初预期目标，但</w:t>
      </w:r>
      <w:r>
        <w:rPr>
          <w:rFonts w:hint="eastAsia" w:ascii="仿宋_GB2312" w:hAnsi="等线" w:eastAsia="仿宋_GB2312" w:cs="Times New Roman"/>
          <w:color w:val="auto"/>
          <w:sz w:val="32"/>
          <w:szCs w:val="32"/>
          <w:highlight w:val="none"/>
          <w:shd w:val="clear" w:color="auto" w:fill="auto"/>
          <w:lang w:eastAsia="zh-CN"/>
        </w:rPr>
        <w:t>离退休干部纪录片经费</w:t>
      </w:r>
      <w:r>
        <w:rPr>
          <w:rFonts w:hint="eastAsia" w:ascii="仿宋_GB2312" w:hAnsi="仿宋_GB2312" w:eastAsia="仿宋_GB2312" w:cs="仿宋_GB2312"/>
          <w:color w:val="auto"/>
          <w:sz w:val="32"/>
          <w:szCs w:val="32"/>
          <w:highlight w:val="none"/>
          <w:shd w:val="clear" w:color="auto" w:fill="auto"/>
          <w:lang w:val="en-US" w:eastAsia="zh-CN"/>
        </w:rPr>
        <w:t>预算执行率</w:t>
      </w:r>
      <w:r>
        <w:rPr>
          <w:rFonts w:hint="eastAsia" w:ascii="仿宋_GB2312" w:hAnsi="仿宋_GB2312" w:eastAsia="仿宋_GB2312" w:cs="仿宋_GB2312"/>
          <w:b w:val="0"/>
          <w:color w:val="auto"/>
          <w:kern w:val="2"/>
          <w:sz w:val="32"/>
          <w:szCs w:val="32"/>
          <w:highlight w:val="none"/>
          <w:shd w:val="clear" w:color="auto" w:fill="auto"/>
          <w:lang w:val="en-US" w:eastAsia="zh-CN" w:bidi="ar-SA"/>
        </w:rPr>
        <w:t>（3.3分）</w:t>
      </w:r>
      <w:r>
        <w:rPr>
          <w:rFonts w:hint="eastAsia" w:ascii="仿宋_GB2312" w:hAnsi="仿宋_GB2312" w:eastAsia="仿宋_GB2312" w:cs="仿宋_GB2312"/>
          <w:color w:val="auto"/>
          <w:sz w:val="32"/>
          <w:szCs w:val="32"/>
          <w:highlight w:val="none"/>
          <w:shd w:val="clear" w:color="auto" w:fill="auto"/>
          <w:lang w:val="en-US" w:eastAsia="zh-CN"/>
        </w:rPr>
        <w:t>为98%，扣0.07分。</w:t>
      </w:r>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eastAsia" w:ascii="仿宋" w:hAnsi="仿宋" w:eastAsia="仿宋" w:cs="黑体"/>
          <w:kern w:val="2"/>
          <w:sz w:val="32"/>
          <w:szCs w:val="32"/>
          <w:highlight w:val="none"/>
          <w:shd w:val="clear" w:color="auto" w:fill="auto"/>
          <w:lang w:val="en-US" w:eastAsia="zh-CN" w:bidi="ar-SA"/>
        </w:rPr>
      </w:pPr>
      <w:r>
        <w:rPr>
          <w:rFonts w:hint="eastAsia" w:ascii="仿宋_GB2312" w:hAnsi="仿宋_GB2312" w:eastAsia="仿宋_GB2312" w:cs="仿宋_GB2312"/>
          <w:color w:val="auto"/>
          <w:sz w:val="32"/>
          <w:szCs w:val="32"/>
          <w:highlight w:val="none"/>
          <w:shd w:val="clear" w:color="auto" w:fill="auto"/>
          <w:lang w:val="en-US" w:eastAsia="zh-CN"/>
        </w:rPr>
        <w:t>该项指标满分34分，得33.93分。</w:t>
      </w:r>
    </w:p>
    <w:bookmarkEnd w:id="30"/>
    <w:bookmarkEnd w:id="31"/>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outlineLvl w:val="0"/>
        <w:rPr>
          <w:rFonts w:ascii="黑体" w:hAnsi="黑体" w:eastAsia="黑体"/>
          <w:sz w:val="32"/>
          <w:szCs w:val="32"/>
          <w:highlight w:val="none"/>
          <w:shd w:val="clear" w:color="auto" w:fill="auto"/>
        </w:rPr>
      </w:pPr>
      <w:bookmarkStart w:id="32" w:name="_Toc13098"/>
      <w:bookmarkStart w:id="33" w:name="_Toc70582276"/>
      <w:r>
        <w:rPr>
          <w:rFonts w:hint="eastAsia" w:ascii="黑体" w:hAnsi="黑体" w:eastAsia="黑体"/>
          <w:sz w:val="32"/>
          <w:szCs w:val="32"/>
          <w:highlight w:val="none"/>
          <w:shd w:val="clear" w:color="auto" w:fill="auto"/>
        </w:rPr>
        <w:t>四、评价结论和评价等级</w:t>
      </w:r>
      <w:bookmarkEnd w:id="32"/>
    </w:p>
    <w:p>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rPr>
      </w:pPr>
      <w:r>
        <w:rPr>
          <w:rFonts w:hint="eastAsia" w:ascii="仿宋" w:hAnsi="仿宋" w:eastAsia="仿宋"/>
          <w:sz w:val="32"/>
          <w:szCs w:val="32"/>
          <w:highlight w:val="none"/>
          <w:shd w:val="clear" w:color="auto" w:fill="auto"/>
          <w:lang w:eastAsia="zh-CN"/>
        </w:rPr>
        <w:t>部门整体支出</w:t>
      </w:r>
      <w:r>
        <w:rPr>
          <w:rFonts w:hint="eastAsia" w:ascii="仿宋" w:hAnsi="仿宋" w:eastAsia="仿宋"/>
          <w:sz w:val="32"/>
          <w:szCs w:val="32"/>
          <w:highlight w:val="none"/>
          <w:shd w:val="clear" w:color="auto" w:fill="auto"/>
        </w:rPr>
        <w:t>综合绩效评价分为4个等级：得分</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85分为优秀；75</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得分＜85分为良好；60</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得分＜75分为一般；得分＜60分为较差。</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_GB2312" w:hAnsi="仿宋_GB2312" w:eastAsia="仿宋_GB2312" w:cs="仿宋_GB2312"/>
          <w:sz w:val="32"/>
          <w:szCs w:val="32"/>
          <w:highlight w:val="none"/>
          <w:shd w:val="clear" w:color="auto" w:fill="auto"/>
          <w:lang w:eastAsia="zh-CN"/>
        </w:rPr>
      </w:pPr>
      <w:r>
        <w:rPr>
          <w:rFonts w:hint="eastAsia" w:ascii="仿宋" w:hAnsi="仿宋" w:eastAsia="仿宋"/>
          <w:sz w:val="32"/>
          <w:szCs w:val="32"/>
          <w:highlight w:val="none"/>
          <w:shd w:val="clear" w:color="auto" w:fill="auto"/>
          <w:lang w:val="en-US" w:eastAsia="zh-CN"/>
        </w:rPr>
        <w:t>经过整体评价，</w:t>
      </w:r>
      <w:r>
        <w:rPr>
          <w:rFonts w:hint="eastAsia" w:ascii="仿宋_GB2312" w:hAnsi="仿宋_GB2312" w:eastAsia="仿宋_GB2312" w:cs="仿宋_GB2312"/>
          <w:sz w:val="32"/>
          <w:szCs w:val="32"/>
          <w:highlight w:val="none"/>
          <w:shd w:val="clear" w:color="auto" w:fill="auto"/>
          <w:lang w:val="en-US" w:eastAsia="zh-CN"/>
        </w:rPr>
        <w:t>我部门</w:t>
      </w:r>
      <w:r>
        <w:rPr>
          <w:rFonts w:hint="eastAsia" w:ascii="仿宋_GB2312" w:hAnsi="仿宋_GB2312" w:eastAsia="仿宋_GB2312" w:cs="仿宋_GB2312"/>
          <w:sz w:val="32"/>
          <w:szCs w:val="32"/>
          <w:highlight w:val="none"/>
          <w:shd w:val="clear" w:color="auto" w:fill="auto"/>
        </w:rPr>
        <w:t>根据20</w:t>
      </w:r>
      <w:r>
        <w:rPr>
          <w:rFonts w:hint="eastAsia" w:ascii="仿宋_GB2312" w:hAnsi="仿宋_GB2312" w:eastAsia="仿宋_GB2312" w:cs="仿宋_GB2312"/>
          <w:sz w:val="32"/>
          <w:szCs w:val="32"/>
          <w:highlight w:val="none"/>
          <w:shd w:val="clear" w:color="auto" w:fill="auto"/>
          <w:lang w:val="en-US" w:eastAsia="zh-CN"/>
        </w:rPr>
        <w:t>23</w:t>
      </w:r>
      <w:r>
        <w:rPr>
          <w:rFonts w:hint="eastAsia" w:ascii="仿宋_GB2312" w:hAnsi="仿宋_GB2312" w:eastAsia="仿宋_GB2312" w:cs="仿宋_GB2312"/>
          <w:sz w:val="32"/>
          <w:szCs w:val="32"/>
          <w:highlight w:val="none"/>
          <w:shd w:val="clear" w:color="auto" w:fill="auto"/>
        </w:rPr>
        <w:t>年工作计划，</w:t>
      </w:r>
      <w:r>
        <w:rPr>
          <w:rFonts w:hint="eastAsia" w:ascii="仿宋_GB2312" w:hAnsi="黑体" w:eastAsia="仿宋_GB2312" w:cs="仿宋_GB2312"/>
          <w:color w:val="auto"/>
          <w:sz w:val="32"/>
          <w:szCs w:val="32"/>
          <w:highlight w:val="none"/>
          <w:shd w:val="clear" w:color="auto" w:fill="auto"/>
          <w:lang w:eastAsia="zh-CN"/>
        </w:rPr>
        <w:t>深入学习贯彻落实习近平总书记关于老干部工作重要指示精神，贯彻落实全国</w:t>
      </w:r>
      <w:r>
        <w:rPr>
          <w:rFonts w:hint="eastAsia" w:ascii="仿宋_GB2312" w:hAnsi="黑体" w:eastAsia="仿宋_GB2312" w:cs="仿宋_GB2312"/>
          <w:color w:val="auto"/>
          <w:sz w:val="32"/>
          <w:szCs w:val="32"/>
          <w:highlight w:val="none"/>
          <w:shd w:val="clear" w:color="auto" w:fill="auto"/>
          <w:lang w:val="en-US" w:eastAsia="zh-CN"/>
        </w:rPr>
        <w:t>离退休干部“双先”表彰大会及全国、全</w:t>
      </w:r>
      <w:r>
        <w:rPr>
          <w:rFonts w:hint="eastAsia" w:ascii="仿宋_GB2312" w:hAnsi="黑体" w:eastAsia="仿宋_GB2312" w:cs="仿宋_GB2312"/>
          <w:color w:val="auto"/>
          <w:sz w:val="32"/>
          <w:szCs w:val="32"/>
          <w:highlight w:val="none"/>
          <w:shd w:val="clear" w:color="auto" w:fill="auto"/>
          <w:lang w:eastAsia="zh-CN"/>
        </w:rPr>
        <w:t>省老干部局长会议精神，在省局的正确指导和市委的坚强领导下，全力抓好离退休干部党的建设、发挥作用、服务管理、队伍建设等重点工作</w:t>
      </w:r>
      <w:r>
        <w:rPr>
          <w:rFonts w:hint="eastAsia" w:ascii="仿宋_GB2312" w:hAnsi="仿宋_GB2312" w:eastAsia="仿宋_GB2312" w:cs="仿宋_GB2312"/>
          <w:sz w:val="32"/>
          <w:szCs w:val="32"/>
          <w:highlight w:val="none"/>
          <w:shd w:val="clear" w:color="auto" w:fill="auto"/>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黑体"/>
          <w:b w:val="0"/>
          <w:bCs w:val="0"/>
          <w:kern w:val="2"/>
          <w:sz w:val="32"/>
          <w:szCs w:val="32"/>
          <w:highlight w:val="none"/>
          <w:shd w:val="clear" w:color="auto" w:fill="auto"/>
          <w:lang w:val="en-US" w:eastAsia="zh-CN" w:bidi="ar-SA"/>
        </w:rPr>
      </w:pPr>
      <w:r>
        <w:rPr>
          <w:rFonts w:hint="eastAsia" w:ascii="仿宋" w:hAnsi="仿宋" w:eastAsia="仿宋" w:cs="黑体"/>
          <w:b w:val="0"/>
          <w:bCs w:val="0"/>
          <w:kern w:val="2"/>
          <w:sz w:val="32"/>
          <w:szCs w:val="32"/>
          <w:highlight w:val="none"/>
          <w:shd w:val="clear" w:color="auto" w:fill="auto"/>
          <w:lang w:val="en-US" w:eastAsia="zh-CN" w:bidi="ar-SA"/>
        </w:rPr>
        <w:t>我部门2023年度部门整体绩效自评得分98.02分，评价等级为“优”。</w:t>
      </w:r>
      <w:bookmarkStart w:id="43" w:name="_GoBack"/>
      <w:bookmarkEnd w:id="43"/>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highlight w:val="none"/>
          <w:shd w:val="clear" w:color="auto" w:fill="auto"/>
          <w:lang w:val="en-US" w:eastAsia="zh-CN"/>
        </w:rPr>
      </w:pPr>
      <w:bookmarkStart w:id="34" w:name="_Toc18986"/>
      <w:r>
        <w:rPr>
          <w:rFonts w:hint="eastAsia" w:ascii="黑体" w:hAnsi="黑体" w:eastAsia="黑体" w:cs="黑体"/>
          <w:sz w:val="32"/>
          <w:szCs w:val="32"/>
          <w:highlight w:val="none"/>
          <w:shd w:val="clear" w:color="auto" w:fill="auto"/>
          <w:lang w:val="en-US" w:eastAsia="zh-CN"/>
        </w:rPr>
        <w:t>五、存在的问题及改进措施</w:t>
      </w:r>
      <w:bookmarkEnd w:id="34"/>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shd w:val="clear" w:color="auto" w:fill="auto"/>
          <w:lang w:val="en-US" w:eastAsia="zh-CN"/>
        </w:rPr>
      </w:pPr>
      <w:bookmarkStart w:id="35" w:name="_Toc20992"/>
      <w:r>
        <w:rPr>
          <w:rFonts w:hint="eastAsia" w:ascii="楷体" w:hAnsi="楷体" w:eastAsia="楷体" w:cs="楷体"/>
          <w:b w:val="0"/>
          <w:bCs w:val="0"/>
          <w:sz w:val="32"/>
          <w:szCs w:val="32"/>
          <w:highlight w:val="none"/>
          <w:shd w:val="clear" w:color="auto" w:fill="auto"/>
        </w:rPr>
        <w:t>（</w:t>
      </w:r>
      <w:r>
        <w:rPr>
          <w:rFonts w:hint="eastAsia" w:ascii="楷体" w:hAnsi="楷体" w:eastAsia="楷体" w:cs="楷体"/>
          <w:b w:val="0"/>
          <w:bCs w:val="0"/>
          <w:sz w:val="32"/>
          <w:szCs w:val="32"/>
          <w:highlight w:val="none"/>
          <w:shd w:val="clear" w:color="auto" w:fill="auto"/>
          <w:lang w:val="en-US" w:eastAsia="zh-CN"/>
        </w:rPr>
        <w:t>一</w:t>
      </w:r>
      <w:r>
        <w:rPr>
          <w:rFonts w:hint="eastAsia" w:ascii="楷体" w:hAnsi="楷体" w:eastAsia="楷体" w:cs="楷体"/>
          <w:b w:val="0"/>
          <w:bCs w:val="0"/>
          <w:sz w:val="32"/>
          <w:szCs w:val="32"/>
          <w:highlight w:val="none"/>
          <w:shd w:val="clear" w:color="auto" w:fill="auto"/>
        </w:rPr>
        <w:t>）</w:t>
      </w:r>
      <w:r>
        <w:rPr>
          <w:rFonts w:hint="eastAsia" w:ascii="楷体" w:hAnsi="楷体" w:eastAsia="楷体" w:cs="楷体"/>
          <w:b w:val="0"/>
          <w:bCs w:val="0"/>
          <w:sz w:val="32"/>
          <w:szCs w:val="32"/>
          <w:highlight w:val="none"/>
          <w:shd w:val="clear" w:color="auto" w:fill="auto"/>
          <w:lang w:val="en-US" w:eastAsia="zh-CN"/>
        </w:rPr>
        <w:t>存在的问题</w:t>
      </w:r>
      <w:bookmarkEnd w:id="35"/>
    </w:p>
    <w:p>
      <w:pPr>
        <w:pStyle w:val="5"/>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ascii="仿宋" w:hAnsi="仿宋" w:eastAsia="仿宋" w:cs="Times New Roman"/>
          <w:sz w:val="32"/>
          <w:szCs w:val="32"/>
          <w:highlight w:val="none"/>
          <w:shd w:val="clear" w:color="auto" w:fill="auto"/>
        </w:rPr>
      </w:pPr>
      <w:r>
        <w:rPr>
          <w:rFonts w:hint="eastAsia" w:ascii="仿宋" w:hAnsi="仿宋" w:eastAsia="仿宋" w:cs="Times New Roman"/>
          <w:b/>
          <w:bCs/>
          <w:sz w:val="32"/>
          <w:szCs w:val="32"/>
          <w:highlight w:val="none"/>
          <w:shd w:val="clear" w:color="auto" w:fill="auto"/>
        </w:rPr>
        <w:t>1.个别项目目标和指标设置简化</w:t>
      </w:r>
      <w:bookmarkEnd w:id="33"/>
    </w:p>
    <w:p>
      <w:pPr>
        <w:pStyle w:val="5"/>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Times New Roman"/>
          <w:bCs/>
          <w:sz w:val="32"/>
          <w:szCs w:val="32"/>
          <w:highlight w:val="none"/>
          <w:shd w:val="clear" w:color="auto" w:fill="auto"/>
        </w:rPr>
      </w:pPr>
      <w:r>
        <w:rPr>
          <w:rFonts w:hint="eastAsia" w:ascii="仿宋" w:hAnsi="仿宋" w:eastAsia="仿宋" w:cs="Times New Roman"/>
          <w:bCs/>
          <w:sz w:val="32"/>
          <w:szCs w:val="32"/>
          <w:highlight w:val="none"/>
          <w:shd w:val="clear" w:color="auto" w:fill="auto"/>
          <w:lang w:val="en-US" w:eastAsia="zh-CN"/>
        </w:rPr>
        <w:t>个别</w:t>
      </w:r>
      <w:r>
        <w:rPr>
          <w:rFonts w:hint="eastAsia" w:ascii="仿宋" w:hAnsi="仿宋" w:eastAsia="仿宋" w:cs="Times New Roman"/>
          <w:bCs/>
          <w:sz w:val="32"/>
          <w:szCs w:val="32"/>
          <w:highlight w:val="none"/>
          <w:shd w:val="clear" w:color="auto" w:fill="auto"/>
        </w:rPr>
        <w:t>绩效目标不够完善，不能完整清晰体现工作活动的产出和效果，依据绩效目标所设置的绩效指标不够细化，不能完整清晰的反映活动目标完成情况。</w:t>
      </w:r>
    </w:p>
    <w:p>
      <w:pPr>
        <w:pStyle w:val="5"/>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hint="eastAsia" w:ascii="仿宋" w:hAnsi="仿宋" w:eastAsia="仿宋" w:cs="Times New Roman"/>
          <w:b/>
          <w:bCs w:val="0"/>
          <w:sz w:val="32"/>
          <w:szCs w:val="32"/>
          <w:highlight w:val="none"/>
          <w:shd w:val="clear" w:color="auto" w:fill="auto"/>
          <w:lang w:val="en-US" w:eastAsia="zh-CN"/>
        </w:rPr>
      </w:pPr>
      <w:r>
        <w:rPr>
          <w:rFonts w:hint="eastAsia" w:ascii="仿宋" w:hAnsi="仿宋" w:eastAsia="仿宋" w:cs="Times New Roman"/>
          <w:b/>
          <w:bCs w:val="0"/>
          <w:sz w:val="32"/>
          <w:szCs w:val="32"/>
          <w:highlight w:val="none"/>
          <w:shd w:val="clear" w:color="auto" w:fill="auto"/>
          <w:lang w:val="en-US" w:eastAsia="zh-CN"/>
        </w:rPr>
        <w:t>2.个别项目预算执行率低</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仿宋" w:hAnsi="仿宋" w:eastAsia="仿宋" w:cs="Times New Roman"/>
          <w:bCs/>
          <w:kern w:val="2"/>
          <w:sz w:val="32"/>
          <w:szCs w:val="32"/>
          <w:highlight w:val="none"/>
          <w:shd w:val="clear" w:color="auto" w:fill="auto"/>
          <w:lang w:val="en-US" w:eastAsia="zh-CN" w:bidi="ar-SA"/>
        </w:rPr>
      </w:pPr>
      <w:bookmarkStart w:id="36" w:name="_Toc3187"/>
      <w:r>
        <w:rPr>
          <w:rFonts w:hint="eastAsia" w:ascii="仿宋" w:hAnsi="仿宋" w:eastAsia="仿宋" w:cs="Times New Roman"/>
          <w:bCs/>
          <w:kern w:val="2"/>
          <w:sz w:val="32"/>
          <w:szCs w:val="32"/>
          <w:highlight w:val="none"/>
          <w:shd w:val="clear" w:color="auto" w:fill="auto"/>
          <w:lang w:val="en-US" w:eastAsia="zh-CN" w:bidi="ar-SA"/>
        </w:rPr>
        <w:t>老干部局本级：业务咨询委托费预算执行率较低的原因，离休干部服务人员的劳务派遣人员减少，经费相应减少；破产改制企业离休干部上收管理专项经费预算执行率较低的原因为离休人员去世，支付经费相应减少；老干部慰问及活动经费预算执行率较低的原因为老干部身体因素，部分集体参观活动未能如期开展，经费支出减少。</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仿宋" w:hAnsi="仿宋" w:eastAsia="仿宋" w:cs="Times New Roman"/>
          <w:bCs/>
          <w:kern w:val="2"/>
          <w:sz w:val="32"/>
          <w:szCs w:val="32"/>
          <w:highlight w:val="none"/>
          <w:shd w:val="clear" w:color="auto" w:fill="auto"/>
          <w:lang w:val="en-US" w:eastAsia="zh-CN" w:bidi="ar-SA"/>
        </w:rPr>
      </w:pPr>
      <w:r>
        <w:rPr>
          <w:rFonts w:hint="default" w:ascii="仿宋" w:hAnsi="仿宋" w:eastAsia="仿宋" w:cs="Times New Roman"/>
          <w:bCs/>
          <w:kern w:val="2"/>
          <w:sz w:val="32"/>
          <w:szCs w:val="32"/>
          <w:highlight w:val="none"/>
          <w:shd w:val="clear" w:color="auto" w:fill="auto"/>
          <w:lang w:val="en-US" w:eastAsia="zh-CN" w:bidi="ar-SA"/>
        </w:rPr>
        <w:t>石家庄市老干部休养所</w:t>
      </w:r>
      <w:r>
        <w:rPr>
          <w:rFonts w:hint="eastAsia" w:ascii="仿宋" w:hAnsi="仿宋" w:eastAsia="仿宋" w:cs="Times New Roman"/>
          <w:bCs/>
          <w:kern w:val="2"/>
          <w:sz w:val="32"/>
          <w:szCs w:val="32"/>
          <w:highlight w:val="none"/>
          <w:shd w:val="clear" w:color="auto" w:fill="auto"/>
          <w:lang w:val="en-US" w:eastAsia="zh-CN" w:bidi="ar-SA"/>
        </w:rPr>
        <w:t>：党组织活动经费预算执行率较低的原因为已按照年初工作目标，参加局机关党员活动一次，本单位自行组织开展一次，下一步更加积极开展党组织活动，提高党员政治觉悟和政治素养，增强党性修养。</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default" w:ascii="仿宋" w:hAnsi="仿宋" w:eastAsia="仿宋" w:cs="Times New Roman"/>
          <w:bCs/>
          <w:kern w:val="2"/>
          <w:sz w:val="32"/>
          <w:szCs w:val="32"/>
          <w:highlight w:val="none"/>
          <w:shd w:val="clear" w:color="auto" w:fill="auto"/>
          <w:lang w:val="en-US" w:eastAsia="zh-CN" w:bidi="ar-SA"/>
        </w:rPr>
      </w:pPr>
      <w:r>
        <w:rPr>
          <w:rFonts w:hint="default" w:ascii="仿宋" w:hAnsi="仿宋" w:eastAsia="仿宋" w:cs="Times New Roman"/>
          <w:bCs/>
          <w:kern w:val="2"/>
          <w:sz w:val="32"/>
          <w:szCs w:val="32"/>
          <w:highlight w:val="none"/>
          <w:shd w:val="clear" w:color="auto" w:fill="auto"/>
          <w:lang w:val="en-US" w:eastAsia="zh-CN" w:bidi="ar-SA"/>
        </w:rPr>
        <w:t>石家庄市老年大学</w:t>
      </w:r>
      <w:r>
        <w:rPr>
          <w:rFonts w:hint="eastAsia" w:ascii="仿宋" w:hAnsi="仿宋" w:eastAsia="仿宋" w:cs="Times New Roman"/>
          <w:bCs/>
          <w:kern w:val="2"/>
          <w:sz w:val="32"/>
          <w:szCs w:val="32"/>
          <w:highlight w:val="none"/>
          <w:shd w:val="clear" w:color="auto" w:fill="auto"/>
          <w:lang w:val="en-US" w:eastAsia="zh-CN" w:bidi="ar-SA"/>
        </w:rPr>
        <w:t>：党组织活动经费预算执行率较低的原因为已根据年初指定工作目标，参加局机关组织的统一党员培训活动1次，本单位自行开展活动2次。下一步更加积极开展党组织活动，提高党员政治觉悟和政治素养，增强党性修养；教学工作保障经费预算执行率较低的原因为因23年学校招生人数未达到预期，所以教学耗材购置费用相应减少。预计24年招生人数能达到预期，教学保障经费能够足量使用。</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shd w:val="clear" w:color="auto" w:fill="auto"/>
        </w:rPr>
      </w:pPr>
      <w:r>
        <w:rPr>
          <w:rFonts w:hint="eastAsia" w:ascii="楷体" w:hAnsi="楷体" w:eastAsia="楷体" w:cs="楷体"/>
          <w:b w:val="0"/>
          <w:bCs w:val="0"/>
          <w:sz w:val="32"/>
          <w:szCs w:val="32"/>
          <w:highlight w:val="none"/>
          <w:shd w:val="clear" w:color="auto" w:fill="auto"/>
        </w:rPr>
        <w:t>（二）针对问题提出具体的改进措施或建议</w:t>
      </w:r>
      <w:bookmarkEnd w:id="36"/>
    </w:p>
    <w:p>
      <w:pPr>
        <w:pStyle w:val="5"/>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ascii="仿宋" w:hAnsi="仿宋" w:eastAsia="仿宋" w:cs="Times New Roman"/>
          <w:b/>
          <w:bCs/>
          <w:sz w:val="32"/>
          <w:szCs w:val="32"/>
          <w:highlight w:val="none"/>
          <w:shd w:val="clear" w:color="auto" w:fill="auto"/>
        </w:rPr>
      </w:pPr>
      <w:bookmarkStart w:id="37" w:name="_Toc70582283"/>
      <w:r>
        <w:rPr>
          <w:rFonts w:hint="eastAsia" w:ascii="仿宋" w:hAnsi="仿宋" w:eastAsia="仿宋" w:cs="Times New Roman"/>
          <w:b/>
          <w:bCs/>
          <w:sz w:val="32"/>
          <w:szCs w:val="32"/>
          <w:highlight w:val="none"/>
          <w:shd w:val="clear" w:color="auto" w:fill="auto"/>
        </w:rPr>
        <w:t>1.科学设定绩效目标和指标</w:t>
      </w:r>
      <w:bookmarkEnd w:id="37"/>
    </w:p>
    <w:p>
      <w:pPr>
        <w:pStyle w:val="5"/>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ascii="仿宋" w:hAnsi="仿宋" w:eastAsia="仿宋" w:cs="Times New Roman"/>
          <w:bCs/>
          <w:sz w:val="32"/>
          <w:szCs w:val="32"/>
          <w:highlight w:val="none"/>
          <w:shd w:val="clear" w:color="auto" w:fill="auto"/>
        </w:rPr>
      </w:pPr>
      <w:r>
        <w:rPr>
          <w:rFonts w:hint="eastAsia" w:ascii="仿宋" w:hAnsi="仿宋" w:eastAsia="仿宋" w:cs="Times New Roman"/>
          <w:bCs/>
          <w:sz w:val="32"/>
          <w:szCs w:val="32"/>
          <w:highlight w:val="none"/>
          <w:shd w:val="clear" w:color="auto" w:fill="auto"/>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pStyle w:val="5"/>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ascii="仿宋" w:hAnsi="仿宋" w:eastAsia="仿宋" w:cs="Times New Roman"/>
          <w:b/>
          <w:bCs/>
          <w:sz w:val="32"/>
          <w:szCs w:val="32"/>
          <w:highlight w:val="none"/>
          <w:shd w:val="clear" w:color="auto" w:fill="auto"/>
        </w:rPr>
      </w:pPr>
      <w:bookmarkStart w:id="38" w:name="_Toc70582288"/>
      <w:r>
        <w:rPr>
          <w:rFonts w:hint="eastAsia" w:ascii="仿宋" w:hAnsi="仿宋" w:eastAsia="仿宋" w:cs="Times New Roman"/>
          <w:b/>
          <w:bCs/>
          <w:sz w:val="32"/>
          <w:szCs w:val="32"/>
          <w:highlight w:val="none"/>
          <w:shd w:val="clear" w:color="auto" w:fill="auto"/>
          <w:lang w:val="en-US" w:eastAsia="zh-CN"/>
        </w:rPr>
        <w:t>2</w:t>
      </w:r>
      <w:r>
        <w:rPr>
          <w:rFonts w:hint="eastAsia" w:ascii="仿宋" w:hAnsi="仿宋" w:eastAsia="仿宋" w:cs="Times New Roman"/>
          <w:b/>
          <w:bCs/>
          <w:sz w:val="32"/>
          <w:szCs w:val="32"/>
          <w:highlight w:val="none"/>
          <w:shd w:val="clear" w:color="auto" w:fill="auto"/>
        </w:rPr>
        <w:t>.提高部门</w:t>
      </w:r>
      <w:r>
        <w:rPr>
          <w:rFonts w:hint="eastAsia" w:ascii="仿宋" w:hAnsi="仿宋" w:eastAsia="仿宋" w:cs="Times New Roman"/>
          <w:b/>
          <w:bCs/>
          <w:sz w:val="32"/>
          <w:szCs w:val="32"/>
          <w:highlight w:val="none"/>
          <w:shd w:val="clear" w:color="auto" w:fill="auto"/>
          <w:lang w:val="en-US" w:eastAsia="zh-CN"/>
        </w:rPr>
        <w:t>预算</w:t>
      </w:r>
      <w:r>
        <w:rPr>
          <w:rFonts w:hint="eastAsia" w:ascii="仿宋" w:hAnsi="仿宋" w:eastAsia="仿宋" w:cs="Times New Roman"/>
          <w:b/>
          <w:bCs/>
          <w:sz w:val="32"/>
          <w:szCs w:val="32"/>
          <w:highlight w:val="none"/>
          <w:shd w:val="clear" w:color="auto" w:fill="auto"/>
        </w:rPr>
        <w:t>绩效管理意识</w:t>
      </w:r>
      <w:bookmarkEnd w:id="38"/>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黑体" w:hAnsi="黑体" w:eastAsia="仿宋" w:cs="黑体"/>
          <w:sz w:val="32"/>
          <w:szCs w:val="32"/>
          <w:highlight w:val="none"/>
          <w:shd w:val="clear" w:color="auto" w:fill="auto"/>
          <w:lang w:val="en-US" w:eastAsia="zh-CN"/>
        </w:rPr>
      </w:pPr>
      <w:bookmarkStart w:id="39" w:name="_Toc3280"/>
      <w:bookmarkStart w:id="40" w:name="_Toc17737"/>
      <w:bookmarkStart w:id="41" w:name="_Toc1926"/>
      <w:r>
        <w:rPr>
          <w:rFonts w:hint="eastAsia" w:ascii="仿宋" w:hAnsi="仿宋" w:eastAsia="仿宋" w:cs="Times New Roman"/>
          <w:sz w:val="32"/>
          <w:szCs w:val="32"/>
          <w:highlight w:val="none"/>
          <w:shd w:val="clear" w:color="auto" w:fill="auto"/>
          <w:lang w:val="en-US" w:eastAsia="zh-CN"/>
        </w:rPr>
        <w:t>部门</w:t>
      </w:r>
      <w:r>
        <w:rPr>
          <w:rFonts w:hint="eastAsia" w:ascii="仿宋" w:hAnsi="仿宋" w:eastAsia="仿宋" w:cs="Times New Roman"/>
          <w:sz w:val="32"/>
          <w:szCs w:val="32"/>
          <w:highlight w:val="none"/>
          <w:shd w:val="clear" w:color="auto" w:fill="auto"/>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39"/>
      <w:bookmarkEnd w:id="40"/>
      <w:bookmarkEnd w:id="41"/>
      <w:r>
        <w:rPr>
          <w:rFonts w:hint="eastAsia" w:ascii="仿宋" w:hAnsi="仿宋" w:eastAsia="仿宋" w:cs="Times New Roman"/>
          <w:sz w:val="32"/>
          <w:szCs w:val="32"/>
          <w:highlight w:val="none"/>
          <w:shd w:val="clear" w:color="auto" w:fill="auto"/>
          <w:lang w:val="en-US" w:eastAsia="zh-CN"/>
        </w:rPr>
        <w:t>针对2023年发现的预算问题，在2024年、2025年进行调整，对于评价过程中发现的预算执行率较低的专项资金，确认可以进行调减的进行调减，确保财政资金发挥效益，避免出现闲置、占用等情况。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default" w:ascii="黑体" w:hAnsi="黑体" w:eastAsia="黑体" w:cs="黑体"/>
          <w:sz w:val="32"/>
          <w:szCs w:val="32"/>
          <w:highlight w:val="none"/>
          <w:shd w:val="clear" w:color="auto" w:fill="auto"/>
          <w:lang w:val="en-US" w:eastAsia="zh-CN"/>
        </w:rPr>
      </w:pPr>
      <w:bookmarkStart w:id="42" w:name="_Toc32232"/>
      <w:r>
        <w:rPr>
          <w:rFonts w:hint="eastAsia" w:ascii="黑体" w:hAnsi="黑体" w:eastAsia="黑体" w:cs="黑体"/>
          <w:sz w:val="32"/>
          <w:szCs w:val="32"/>
          <w:highlight w:val="none"/>
          <w:shd w:val="clear" w:color="auto" w:fill="auto"/>
          <w:lang w:val="en-US" w:eastAsia="zh-CN"/>
        </w:rPr>
        <w:t>六</w:t>
      </w:r>
      <w:r>
        <w:rPr>
          <w:rFonts w:hint="eastAsia" w:ascii="黑体" w:hAnsi="黑体" w:eastAsia="黑体" w:cs="黑体"/>
          <w:sz w:val="32"/>
          <w:szCs w:val="32"/>
          <w:highlight w:val="none"/>
          <w:shd w:val="clear" w:color="auto" w:fill="auto"/>
        </w:rPr>
        <w:t>、评价工作组人员名单及签字</w:t>
      </w:r>
      <w:bookmarkEnd w:id="42"/>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highlight w:val="none"/>
          <w:shd w:val="clear" w:color="auto" w:fill="auto"/>
          <w:lang w:eastAsia="zh-CN"/>
        </w:rPr>
      </w:pPr>
      <w:r>
        <w:rPr>
          <w:rFonts w:hint="eastAsia" w:ascii="仿宋_GB2312" w:hAnsi="仿宋_GB2312" w:eastAsia="仿宋_GB2312" w:cs="仿宋_GB2312"/>
          <w:sz w:val="32"/>
          <w:szCs w:val="32"/>
          <w:highlight w:val="none"/>
          <w:shd w:val="clear" w:color="auto" w:fill="auto"/>
        </w:rPr>
        <w:t>组长：</w:t>
      </w:r>
      <w:r>
        <w:rPr>
          <w:rFonts w:hint="eastAsia" w:ascii="仿宋_GB2312" w:hAnsi="仿宋_GB2312" w:eastAsia="仿宋_GB2312" w:cs="仿宋_GB2312"/>
          <w:color w:val="auto"/>
          <w:kern w:val="0"/>
          <w:sz w:val="32"/>
          <w:szCs w:val="32"/>
          <w:highlight w:val="none"/>
          <w:shd w:val="clear" w:color="auto" w:fill="auto"/>
          <w:lang w:val="en-US" w:eastAsia="zh-CN"/>
        </w:rPr>
        <w:t xml:space="preserve">张海双 </w:t>
      </w:r>
      <w:r>
        <w:rPr>
          <w:rFonts w:hint="eastAsia" w:ascii="仿宋_GB2312" w:hAnsi="仿宋_GB2312" w:eastAsia="仿宋_GB2312" w:cs="仿宋_GB2312"/>
          <w:sz w:val="32"/>
          <w:szCs w:val="32"/>
          <w:highlight w:val="none"/>
          <w:shd w:val="clear" w:color="auto" w:fill="auto"/>
        </w:rPr>
        <w:t>副</w:t>
      </w:r>
      <w:r>
        <w:rPr>
          <w:rFonts w:hint="eastAsia" w:ascii="仿宋_GB2312" w:hAnsi="仿宋_GB2312" w:eastAsia="仿宋_GB2312" w:cs="仿宋_GB2312"/>
          <w:sz w:val="32"/>
          <w:szCs w:val="32"/>
          <w:highlight w:val="none"/>
          <w:shd w:val="clear" w:color="auto" w:fill="auto"/>
          <w:lang w:eastAsia="zh-CN"/>
        </w:rPr>
        <w:t>局长</w:t>
      </w:r>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default" w:ascii="仿宋_GB2312" w:hAnsi="仿宋_GB2312" w:eastAsia="仿宋_GB2312" w:cs="仿宋_GB2312"/>
          <w:sz w:val="32"/>
          <w:szCs w:val="32"/>
          <w:highlight w:val="none"/>
          <w:shd w:val="clear" w:color="auto" w:fill="auto"/>
          <w:lang w:val="en-US" w:eastAsia="zh-CN"/>
        </w:rPr>
      </w:pPr>
      <w:r>
        <w:rPr>
          <w:rFonts w:hint="eastAsia" w:ascii="仿宋_GB2312" w:hAnsi="仿宋_GB2312" w:eastAsia="仿宋_GB2312" w:cs="仿宋_GB2312"/>
          <w:sz w:val="32"/>
          <w:szCs w:val="32"/>
          <w:highlight w:val="none"/>
          <w:shd w:val="clear" w:color="auto" w:fill="auto"/>
        </w:rPr>
        <w:t>组员：</w:t>
      </w:r>
      <w:r>
        <w:rPr>
          <w:rFonts w:hint="eastAsia" w:ascii="仿宋_GB2312" w:hAnsi="仿宋_GB2312" w:eastAsia="仿宋_GB2312" w:cs="仿宋_GB2312"/>
          <w:sz w:val="32"/>
          <w:szCs w:val="32"/>
          <w:highlight w:val="none"/>
          <w:shd w:val="clear" w:color="auto" w:fill="auto"/>
          <w:lang w:val="en-US" w:eastAsia="zh-CN"/>
        </w:rPr>
        <w:t>王震宁 财务科科长</w:t>
      </w:r>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default"/>
          <w:highlight w:val="none"/>
          <w:shd w:val="clear" w:color="auto" w:fill="auto"/>
          <w:lang w:val="en-US" w:eastAsia="zh-CN"/>
        </w:rPr>
      </w:pPr>
      <w:r>
        <w:rPr>
          <w:rFonts w:hint="eastAsia" w:ascii="仿宋_GB2312" w:hAnsi="仿宋_GB2312" w:eastAsia="仿宋_GB2312" w:cs="仿宋_GB2312"/>
          <w:sz w:val="32"/>
          <w:szCs w:val="32"/>
          <w:highlight w:val="none"/>
          <w:shd w:val="clear" w:color="auto" w:fill="auto"/>
        </w:rPr>
        <w:t>组员：</w:t>
      </w:r>
      <w:r>
        <w:rPr>
          <w:rFonts w:hint="eastAsia" w:ascii="仿宋_GB2312" w:hAnsi="仿宋_GB2312" w:eastAsia="仿宋_GB2312" w:cs="仿宋_GB2312"/>
          <w:sz w:val="32"/>
          <w:szCs w:val="32"/>
          <w:highlight w:val="none"/>
          <w:shd w:val="clear" w:color="auto" w:fill="auto"/>
          <w:lang w:val="en-US" w:eastAsia="zh-CN"/>
        </w:rPr>
        <w:t>郭亚茹 三级主任科员</w:t>
      </w:r>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ascii="仿宋_GB2312" w:hAnsi="仿宋_GB2312" w:eastAsia="仿宋_GB2312" w:cs="仿宋_GB2312"/>
          <w:sz w:val="32"/>
          <w:szCs w:val="32"/>
          <w:highlight w:val="none"/>
          <w:shd w:val="clear" w:color="auto" w:fill="auto"/>
          <w:lang w:val="en-US" w:eastAsia="zh-CN"/>
        </w:rPr>
      </w:pPr>
      <w:r>
        <w:rPr>
          <w:rFonts w:hint="eastAsia" w:ascii="仿宋_GB2312" w:hAnsi="仿宋_GB2312" w:eastAsia="仿宋_GB2312" w:cs="仿宋_GB2312"/>
          <w:sz w:val="32"/>
          <w:szCs w:val="32"/>
          <w:highlight w:val="none"/>
          <w:shd w:val="clear" w:color="auto" w:fill="auto"/>
          <w:lang w:val="en-US" w:eastAsia="zh-CN"/>
        </w:rPr>
        <w:t>组员：田  娟 二级主任科员</w:t>
      </w:r>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ascii="仿宋_GB2312" w:hAnsi="仿宋_GB2312" w:eastAsia="仿宋_GB2312" w:cs="仿宋_GB2312"/>
          <w:sz w:val="32"/>
          <w:szCs w:val="32"/>
          <w:highlight w:val="none"/>
          <w:shd w:val="clear" w:color="auto" w:fill="auto"/>
          <w:lang w:val="en-US" w:eastAsia="zh-CN"/>
        </w:rPr>
      </w:pPr>
      <w:r>
        <w:rPr>
          <w:rFonts w:hint="eastAsia" w:ascii="仿宋_GB2312" w:hAnsi="仿宋_GB2312" w:eastAsia="仿宋_GB2312" w:cs="仿宋_GB2312"/>
          <w:sz w:val="32"/>
          <w:szCs w:val="32"/>
          <w:highlight w:val="none"/>
          <w:shd w:val="clear" w:color="auto" w:fill="auto"/>
          <w:lang w:val="en-US" w:eastAsia="zh-CN"/>
        </w:rPr>
        <w:t>组员：李轩贝 科员</w:t>
      </w:r>
    </w:p>
    <w:p>
      <w:pPr>
        <w:pStyle w:val="4"/>
        <w:pageBreakBefore w:val="0"/>
        <w:widowControl w:val="0"/>
        <w:kinsoku/>
        <w:wordWrap/>
        <w:overflowPunct/>
        <w:topLinePunct w:val="0"/>
        <w:autoSpaceDE/>
        <w:autoSpaceDN/>
        <w:bidi w:val="0"/>
        <w:spacing w:before="0" w:after="0" w:line="560" w:lineRule="exact"/>
        <w:ind w:left="0"/>
        <w:textAlignment w:val="auto"/>
        <w:rPr>
          <w:rFonts w:hint="eastAsia" w:ascii="仿宋_GB2312" w:hAnsi="仿宋_GB2312" w:eastAsia="仿宋_GB2312" w:cs="仿宋_GB2312"/>
          <w:sz w:val="32"/>
          <w:szCs w:val="32"/>
          <w:highlight w:val="none"/>
          <w:shd w:val="clear" w:color="auto" w:fill="auto"/>
          <w:lang w:val="en-US" w:eastAsia="zh-CN"/>
        </w:rPr>
      </w:pPr>
    </w:p>
    <w:p>
      <w:pPr>
        <w:pageBreakBefore w:val="0"/>
        <w:widowControl w:val="0"/>
        <w:kinsoku/>
        <w:wordWrap/>
        <w:overflowPunct/>
        <w:topLinePunct w:val="0"/>
        <w:autoSpaceDE/>
        <w:autoSpaceDN/>
        <w:bidi w:val="0"/>
        <w:spacing w:line="560" w:lineRule="exact"/>
        <w:ind w:left="0"/>
        <w:textAlignment w:val="auto"/>
        <w:rPr>
          <w:rFonts w:hint="eastAsia"/>
          <w:highlight w:val="none"/>
          <w:shd w:val="clear" w:color="auto" w:fill="auto"/>
          <w:lang w:val="en-US" w:eastAsia="zh-CN"/>
        </w:rPr>
      </w:pPr>
    </w:p>
    <w:p>
      <w:pPr>
        <w:pageBreakBefore w:val="0"/>
        <w:widowControl w:val="0"/>
        <w:kinsoku/>
        <w:wordWrap/>
        <w:overflowPunct/>
        <w:topLinePunct w:val="0"/>
        <w:autoSpaceDE/>
        <w:autoSpaceDN/>
        <w:bidi w:val="0"/>
        <w:spacing w:line="560" w:lineRule="exact"/>
        <w:ind w:left="0"/>
        <w:jc w:val="right"/>
        <w:textAlignment w:val="auto"/>
        <w:rPr>
          <w:rFonts w:hint="eastAsia" w:ascii="仿宋_GB2312" w:hAnsi="仿宋_GB2312" w:eastAsia="仿宋_GB2312" w:cs="仿宋_GB2312"/>
          <w:sz w:val="32"/>
          <w:szCs w:val="32"/>
          <w:highlight w:val="none"/>
          <w:shd w:val="clear" w:color="auto" w:fill="auto"/>
          <w:lang w:val="en-US" w:eastAsia="zh-CN"/>
        </w:rPr>
      </w:pPr>
      <w:r>
        <w:rPr>
          <w:rFonts w:hint="eastAsia" w:ascii="仿宋_GB2312" w:hAnsi="仿宋_GB2312" w:eastAsia="仿宋_GB2312" w:cs="仿宋_GB2312"/>
          <w:sz w:val="32"/>
          <w:szCs w:val="32"/>
          <w:highlight w:val="none"/>
          <w:shd w:val="clear" w:color="auto" w:fill="auto"/>
          <w:lang w:val="en-US" w:eastAsia="zh-CN"/>
        </w:rPr>
        <w:t>中共石家庄市委老干部局</w:t>
      </w:r>
    </w:p>
    <w:p>
      <w:pPr>
        <w:pStyle w:val="4"/>
        <w:pageBreakBefore w:val="0"/>
        <w:widowControl w:val="0"/>
        <w:kinsoku/>
        <w:wordWrap/>
        <w:overflowPunct/>
        <w:topLinePunct w:val="0"/>
        <w:autoSpaceDE/>
        <w:autoSpaceDN/>
        <w:bidi w:val="0"/>
        <w:spacing w:before="0" w:after="0" w:line="560" w:lineRule="exact"/>
        <w:ind w:left="0"/>
        <w:jc w:val="center"/>
        <w:textAlignment w:val="auto"/>
        <w:rPr>
          <w:rFonts w:hint="default" w:ascii="仿宋_GB2312" w:hAnsi="仿宋_GB2312" w:eastAsia="仿宋_GB2312" w:cs="仿宋_GB2312"/>
          <w:b w:val="0"/>
          <w:bCs w:val="0"/>
          <w:kern w:val="2"/>
          <w:sz w:val="32"/>
          <w:szCs w:val="32"/>
          <w:highlight w:val="none"/>
          <w:shd w:val="clear" w:color="auto" w:fill="auto"/>
          <w:lang w:val="en-US" w:eastAsia="zh-CN" w:bidi="ar-SA"/>
        </w:rPr>
      </w:pPr>
      <w:r>
        <w:rPr>
          <w:rFonts w:hint="eastAsia" w:ascii="仿宋_GB2312" w:hAnsi="仿宋_GB2312" w:eastAsia="仿宋_GB2312" w:cs="仿宋_GB2312"/>
          <w:b w:val="0"/>
          <w:bCs w:val="0"/>
          <w:kern w:val="2"/>
          <w:sz w:val="32"/>
          <w:szCs w:val="32"/>
          <w:highlight w:val="none"/>
          <w:shd w:val="clear" w:color="auto" w:fill="auto"/>
          <w:lang w:val="en-US" w:eastAsia="zh-CN" w:bidi="ar-SA"/>
        </w:rPr>
        <w:t xml:space="preserve">                                           2024年4月13日</w:t>
      </w:r>
    </w:p>
    <w:sectPr>
      <w:footerReference r:id="rId5"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A047193-F006-4D6D-A49D-7506AC49B456}"/>
  </w:font>
  <w:font w:name="黑体">
    <w:panose1 w:val="02010609060101010101"/>
    <w:charset w:val="86"/>
    <w:family w:val="auto"/>
    <w:pitch w:val="default"/>
    <w:sig w:usb0="800002BF" w:usb1="38CF7CFA" w:usb2="00000016" w:usb3="00000000" w:csb0="00040001" w:csb1="00000000"/>
    <w:embedRegular r:id="rId2" w:fontKey="{A7EBF66D-018E-4CBB-A566-ACBE6C1855A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51B534A-11A9-4FE5-A553-6D01C98CB0DD}"/>
  </w:font>
  <w:font w:name="仿宋_GB2312">
    <w:altName w:val="仿宋"/>
    <w:panose1 w:val="02010609030101010101"/>
    <w:charset w:val="86"/>
    <w:family w:val="auto"/>
    <w:pitch w:val="default"/>
    <w:sig w:usb0="00000000" w:usb1="00000000" w:usb2="00000000" w:usb3="00000000" w:csb0="00040000" w:csb1="00000000"/>
    <w:embedRegular r:id="rId4" w:fontKey="{D8F830D8-BBAA-4EDE-8DA9-0531D4FD4E64}"/>
  </w:font>
  <w:font w:name="Cambria">
    <w:panose1 w:val="02040503050406030204"/>
    <w:charset w:val="00"/>
    <w:family w:val="roman"/>
    <w:pitch w:val="default"/>
    <w:sig w:usb0="E00006FF" w:usb1="420024FF" w:usb2="02000000" w:usb3="00000000" w:csb0="2000019F" w:csb1="00000000"/>
  </w:font>
  <w:font w:name="方正小标宋简体">
    <w:panose1 w:val="02000000000000000000"/>
    <w:charset w:val="86"/>
    <w:family w:val="auto"/>
    <w:pitch w:val="default"/>
    <w:sig w:usb0="00000001" w:usb1="08000000" w:usb2="00000000" w:usb3="00000000" w:csb0="00040000" w:csb1="00000000"/>
    <w:embedRegular r:id="rId5" w:fontKey="{7510EA18-7BB4-47F0-B5BB-1CF5A6C6438E}"/>
  </w:font>
  <w:font w:name="楷体">
    <w:panose1 w:val="02010609060101010101"/>
    <w:charset w:val="86"/>
    <w:family w:val="auto"/>
    <w:pitch w:val="default"/>
    <w:sig w:usb0="800002BF" w:usb1="38CF7CFA" w:usb2="00000016" w:usb3="00000000" w:csb0="00040001" w:csb1="00000000"/>
    <w:embedRegular r:id="rId6" w:fontKey="{B0C196DB-7873-469C-874E-E4CBCD7AD2A7}"/>
  </w:font>
  <w:font w:name="仿宋">
    <w:panose1 w:val="02010609060101010101"/>
    <w:charset w:val="86"/>
    <w:family w:val="auto"/>
    <w:pitch w:val="default"/>
    <w:sig w:usb0="800002BF" w:usb1="38CF7CFA" w:usb2="00000016" w:usb3="00000000" w:csb0="00040001" w:csb1="00000000"/>
    <w:embedRegular r:id="rId7" w:fontKey="{E89F665A-A0C7-4794-AF95-574047C79217}"/>
  </w:font>
  <w:font w:name="楷体_GB2312">
    <w:altName w:val="楷体"/>
    <w:panose1 w:val="02010609030101010101"/>
    <w:charset w:val="86"/>
    <w:family w:val="auto"/>
    <w:pitch w:val="default"/>
    <w:sig w:usb0="00000000" w:usb1="00000000" w:usb2="00000000" w:usb3="00000000" w:csb0="00040000" w:csb1="00000000"/>
    <w:embedRegular r:id="rId8" w:fontKey="{41F854A4-F41E-409C-8CBF-B64098EE4717}"/>
  </w:font>
  <w:font w:name="华文楷体">
    <w:altName w:val="宋体"/>
    <w:panose1 w:val="02010600040101010101"/>
    <w:charset w:val="86"/>
    <w:family w:val="auto"/>
    <w:pitch w:val="default"/>
    <w:sig w:usb0="00000000" w:usb1="00000000" w:usb2="00000000" w:usb3="00000000" w:csb0="0004009F" w:csb1="DFD70000"/>
    <w:embedRegular r:id="rId9" w:fontKey="{71D3FB1D-6C17-4119-9D33-5D2117EE170B}"/>
  </w:font>
  <w:font w:name="等线">
    <w:panose1 w:val="02010600030101010101"/>
    <w:charset w:val="86"/>
    <w:family w:val="auto"/>
    <w:pitch w:val="default"/>
    <w:sig w:usb0="A00002BF" w:usb1="38CF7CFA" w:usb2="00000016" w:usb3="00000000" w:csb0="0004000F" w:csb1="00000000"/>
    <w:embedRegular r:id="rId10" w:fontKey="{EA1525BD-D9CB-4549-A96F-114E807E6A6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BF1BF2"/>
    <w:multiLevelType w:val="singleLevel"/>
    <w:tmpl w:val="8DBF1BF2"/>
    <w:lvl w:ilvl="0" w:tentative="0">
      <w:start w:val="2"/>
      <w:numFmt w:val="chineseCounting"/>
      <w:suff w:val="nothing"/>
      <w:lvlText w:val="%1、"/>
      <w:lvlJc w:val="left"/>
      <w:rPr>
        <w:rFonts w:hint="eastAsia"/>
      </w:rPr>
    </w:lvl>
  </w:abstractNum>
  <w:abstractNum w:abstractNumId="1">
    <w:nsid w:val="26F6DCDE"/>
    <w:multiLevelType w:val="singleLevel"/>
    <w:tmpl w:val="26F6DCDE"/>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EzOTVlMTNmMTM3ODk1NDJjMjZlZDc4M2I0ZTVjZDkifQ=="/>
  </w:docVars>
  <w:rsids>
    <w:rsidRoot w:val="02B751D2"/>
    <w:rsid w:val="02B751D2"/>
    <w:rsid w:val="053A2265"/>
    <w:rsid w:val="07A11279"/>
    <w:rsid w:val="07E860AB"/>
    <w:rsid w:val="0A9F23E7"/>
    <w:rsid w:val="0BAD28E2"/>
    <w:rsid w:val="0DAF3B42"/>
    <w:rsid w:val="0DF76096"/>
    <w:rsid w:val="0E8965E3"/>
    <w:rsid w:val="0E9A6D33"/>
    <w:rsid w:val="0EAB315E"/>
    <w:rsid w:val="11E15093"/>
    <w:rsid w:val="122C70F7"/>
    <w:rsid w:val="171E462E"/>
    <w:rsid w:val="17A74689"/>
    <w:rsid w:val="18FC0A05"/>
    <w:rsid w:val="20E406FC"/>
    <w:rsid w:val="214B5DA6"/>
    <w:rsid w:val="2346744C"/>
    <w:rsid w:val="239A6ADF"/>
    <w:rsid w:val="24B6538B"/>
    <w:rsid w:val="27F356C9"/>
    <w:rsid w:val="28DB745F"/>
    <w:rsid w:val="2A832351"/>
    <w:rsid w:val="2A894493"/>
    <w:rsid w:val="2B254A40"/>
    <w:rsid w:val="2BBE0234"/>
    <w:rsid w:val="2D1672DA"/>
    <w:rsid w:val="2DC21DC5"/>
    <w:rsid w:val="300761B5"/>
    <w:rsid w:val="318850D4"/>
    <w:rsid w:val="33B07D04"/>
    <w:rsid w:val="33D04F65"/>
    <w:rsid w:val="34585CCF"/>
    <w:rsid w:val="37E62B54"/>
    <w:rsid w:val="386258B8"/>
    <w:rsid w:val="3C8B7826"/>
    <w:rsid w:val="3CA31014"/>
    <w:rsid w:val="41524DB6"/>
    <w:rsid w:val="419A2271"/>
    <w:rsid w:val="43557DEE"/>
    <w:rsid w:val="43891C03"/>
    <w:rsid w:val="47F001D9"/>
    <w:rsid w:val="4803505C"/>
    <w:rsid w:val="4C0F5D7E"/>
    <w:rsid w:val="4C4119E8"/>
    <w:rsid w:val="4D3A32CE"/>
    <w:rsid w:val="4E465CA3"/>
    <w:rsid w:val="4E78006C"/>
    <w:rsid w:val="4E8F70C4"/>
    <w:rsid w:val="4F832C31"/>
    <w:rsid w:val="523C1897"/>
    <w:rsid w:val="57680B68"/>
    <w:rsid w:val="57D96A02"/>
    <w:rsid w:val="5A435B65"/>
    <w:rsid w:val="5B7C1B93"/>
    <w:rsid w:val="5D4D6CDC"/>
    <w:rsid w:val="5F5C5326"/>
    <w:rsid w:val="60194385"/>
    <w:rsid w:val="60703AE6"/>
    <w:rsid w:val="613A51F3"/>
    <w:rsid w:val="62E93354"/>
    <w:rsid w:val="672C7CD4"/>
    <w:rsid w:val="6BD814C8"/>
    <w:rsid w:val="6D85566E"/>
    <w:rsid w:val="6E570C95"/>
    <w:rsid w:val="6EC6456A"/>
    <w:rsid w:val="6F835C05"/>
    <w:rsid w:val="71B903B6"/>
    <w:rsid w:val="766E3C39"/>
    <w:rsid w:val="78752C50"/>
    <w:rsid w:val="78C732AC"/>
    <w:rsid w:val="78E201F2"/>
    <w:rsid w:val="78E66C78"/>
    <w:rsid w:val="79A804E9"/>
    <w:rsid w:val="7D6A4031"/>
    <w:rsid w:val="7D7B250F"/>
    <w:rsid w:val="7E8D6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paragraph" w:styleId="3">
    <w:name w:val="heading 3"/>
    <w:basedOn w:val="1"/>
    <w:next w:val="1"/>
    <w:autoRedefine/>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4">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1">
    <w:name w:val="Default Paragraph Font"/>
    <w:autoRedefine/>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5">
    <w:name w:val="Normal Indent"/>
    <w:basedOn w:val="1"/>
    <w:autoRedefine/>
    <w:unhideWhenUsed/>
    <w:qFormat/>
    <w:uiPriority w:val="99"/>
    <w:pPr>
      <w:ind w:firstLine="420" w:firstLineChars="200"/>
    </w:p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qFormat/>
    <w:uiPriority w:val="0"/>
  </w:style>
  <w:style w:type="paragraph" w:styleId="9">
    <w:name w:val="toc 2"/>
    <w:basedOn w:val="1"/>
    <w:next w:val="1"/>
    <w:autoRedefine/>
    <w:qFormat/>
    <w:uiPriority w:val="0"/>
    <w:pPr>
      <w:ind w:left="420" w:leftChars="200"/>
    </w:pPr>
  </w:style>
  <w:style w:type="paragraph" w:customStyle="1" w:styleId="12">
    <w:name w:val="WPSOffice手动目录 1"/>
    <w:autoRedefine/>
    <w:qFormat/>
    <w:uiPriority w:val="0"/>
    <w:pPr>
      <w:ind w:leftChars="0"/>
    </w:pPr>
    <w:rPr>
      <w:rFonts w:ascii="Times New Roman" w:hAnsi="Times New Roman" w:eastAsia="宋体" w:cs="Times New Roman"/>
      <w:sz w:val="20"/>
      <w:szCs w:val="20"/>
    </w:rPr>
  </w:style>
  <w:style w:type="paragraph" w:customStyle="1" w:styleId="13">
    <w:name w:val="WPSOffice手动目录 2"/>
    <w:autoRedefine/>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6449</Words>
  <Characters>6969</Characters>
  <Lines>0</Lines>
  <Paragraphs>0</Paragraphs>
  <TotalTime>5</TotalTime>
  <ScaleCrop>false</ScaleCrop>
  <LinksUpToDate>false</LinksUpToDate>
  <CharactersWithSpaces>7074</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小皮.</cp:lastModifiedBy>
  <cp:lastPrinted>2022-03-28T02:02:00Z</cp:lastPrinted>
  <dcterms:modified xsi:type="dcterms:W3CDTF">2024-05-15T03:06:47Z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74DD13F8141F42E0BE8401C0E99A0A65_13</vt:lpwstr>
  </property>
</Properties>
</file>