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石家庄市新华区人民法院</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文件精神，遵循“科学性、规范性、客观性和公正性”的原则，对</w:t>
      </w:r>
      <w:r>
        <w:rPr>
          <w:rFonts w:hint="eastAsia" w:ascii="仿宋" w:hAnsi="仿宋" w:eastAsia="仿宋" w:cs="仿宋"/>
          <w:sz w:val="32"/>
          <w:szCs w:val="32"/>
          <w:lang w:eastAsia="zh-CN"/>
        </w:rPr>
        <w:t>石家庄市新华区人民法院</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hint="eastAsia" w:ascii="仿宋" w:hAnsi="仿宋" w:eastAsia="仿宋" w:cs="仿宋"/>
          <w:b/>
          <w:bCs/>
          <w:sz w:val="32"/>
          <w:szCs w:val="32"/>
        </w:rPr>
      </w:pPr>
      <w:r>
        <w:rPr>
          <w:rFonts w:hint="eastAsia" w:ascii="仿宋" w:hAnsi="仿宋" w:eastAsia="仿宋" w:cs="仿宋"/>
          <w:sz w:val="32"/>
          <w:szCs w:val="32"/>
        </w:rPr>
        <w:t xml:space="preserve">    一、</w:t>
      </w:r>
      <w:r>
        <w:rPr>
          <w:rFonts w:hint="eastAsia" w:ascii="仿宋" w:hAnsi="仿宋" w:eastAsia="仿宋" w:cs="仿宋"/>
          <w:sz w:val="32"/>
          <w:szCs w:val="32"/>
          <w:lang w:eastAsia="zh-CN"/>
        </w:rPr>
        <w:t>部门</w:t>
      </w:r>
      <w:r>
        <w:rPr>
          <w:rFonts w:hint="eastAsia" w:ascii="仿宋" w:hAnsi="仿宋" w:eastAsia="仿宋" w:cs="仿宋"/>
          <w:sz w:val="32"/>
          <w:szCs w:val="32"/>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1.部门职能</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根据《石家庄市</w:t>
      </w:r>
      <w:r>
        <w:rPr>
          <w:rFonts w:hint="eastAsia" w:ascii="仿宋" w:hAnsi="仿宋" w:eastAsia="仿宋" w:cs="仿宋"/>
          <w:sz w:val="32"/>
          <w:szCs w:val="32"/>
          <w:lang w:eastAsia="zh-CN"/>
        </w:rPr>
        <w:t>新华</w:t>
      </w:r>
      <w:r>
        <w:rPr>
          <w:rFonts w:hint="eastAsia" w:ascii="仿宋" w:hAnsi="仿宋" w:eastAsia="仿宋" w:cs="仿宋"/>
          <w:sz w:val="32"/>
          <w:szCs w:val="32"/>
        </w:rPr>
        <w:t>区人民法院职能配置、内设机构和人员编制规定》，石家庄市</w:t>
      </w:r>
      <w:r>
        <w:rPr>
          <w:rFonts w:hint="eastAsia" w:ascii="仿宋" w:hAnsi="仿宋" w:eastAsia="仿宋" w:cs="仿宋"/>
          <w:sz w:val="32"/>
          <w:szCs w:val="32"/>
          <w:lang w:eastAsia="zh-CN"/>
        </w:rPr>
        <w:t>新华</w:t>
      </w:r>
      <w:r>
        <w:rPr>
          <w:rFonts w:hint="eastAsia" w:ascii="仿宋" w:hAnsi="仿宋" w:eastAsia="仿宋" w:cs="仿宋"/>
          <w:sz w:val="32"/>
          <w:szCs w:val="32"/>
        </w:rPr>
        <w:t>区人民法院的主要职责是：</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（一）立案庭(诉讼服务中心)。负责立案登记、涉诉信访、诉前调解、速裁快审等工作。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（二）刑事审判庭。负责依法审理本院管辖的各类刑事案件及相关工作。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（三）民事审判庭。负责依法审理本院管辖的各类民事案件及相关工作。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（四）行政审判庭(综合审判庭)。负责依法审理由本院管辖的各类行政案件及相关工作，依法办理国家赔偿案件，根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据需要办理其他应由本院审理的案件。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（五）执行局。负责执行法律规定的由本院执行的已生效且具有支付内容的各种法律文书及其他执行案件;负责本院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管辖案件的诉前保全、诉讼保全及司法救助等工作。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（六）政治部。负责思想政治工作;负责机构编制、组织人事、目标绩效考核工作;负责机关党建及工青妇工作;负责宣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传和教育培训工作;配合开展纪检监察工作。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七）综合办公室。负责协助院领导组织、协调处理公务;负责党组会、院务会和院长办公会的组织安排及决定事项的督办;负责起草综合性材料负责文秘、印鉴、督查、保密、机要、档案工作;负责国有资产、物资装备管理和计划财务工作负责院领导交办的其他事项。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（八）审判管理办公室(研究室)。负责审判流程、案件质量管理、案件评查、审判运行态势分析、司法统计、司法调研、司法公开工作;负责审委会会务等工作;负责司法辅助技术和信息化建设工作。 </w:t>
      </w:r>
    </w:p>
    <w:p>
      <w:pPr>
        <w:pStyle w:val="10"/>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 xml:space="preserve">（九）司法警察大队。负责司法警察警务工作;负责警卫、押解、送达工作;配合有关审判、执行事项。 </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2.组织机构及人员基本情况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石家庄市</w:t>
      </w:r>
      <w:r>
        <w:rPr>
          <w:rFonts w:hint="eastAsia" w:ascii="仿宋" w:hAnsi="仿宋" w:eastAsia="仿宋" w:cs="仿宋"/>
          <w:color w:val="000000"/>
          <w:sz w:val="32"/>
          <w:szCs w:val="32"/>
          <w:lang w:eastAsia="zh-CN"/>
        </w:rPr>
        <w:t>新华</w:t>
      </w:r>
      <w:r>
        <w:rPr>
          <w:rFonts w:hint="eastAsia" w:ascii="仿宋" w:hAnsi="仿宋" w:eastAsia="仿宋" w:cs="仿宋"/>
          <w:color w:val="000000"/>
          <w:sz w:val="32"/>
          <w:szCs w:val="32"/>
        </w:rPr>
        <w:t>区人民</w:t>
      </w:r>
      <w:r>
        <w:rPr>
          <w:rFonts w:hint="eastAsia" w:ascii="仿宋" w:hAnsi="仿宋" w:eastAsia="仿宋" w:cs="仿宋"/>
          <w:color w:val="000000"/>
          <w:sz w:val="32"/>
          <w:szCs w:val="32"/>
          <w:lang w:eastAsia="zh-CN"/>
        </w:rPr>
        <w:t>法</w:t>
      </w:r>
      <w:r>
        <w:rPr>
          <w:rFonts w:hint="eastAsia" w:ascii="仿宋" w:hAnsi="仿宋" w:eastAsia="仿宋" w:cs="仿宋"/>
          <w:color w:val="000000"/>
          <w:sz w:val="32"/>
          <w:szCs w:val="32"/>
        </w:rPr>
        <w:t>院根据工作需要内设有</w:t>
      </w:r>
      <w:r>
        <w:rPr>
          <w:rFonts w:hint="eastAsia" w:ascii="仿宋" w:hAnsi="仿宋" w:eastAsia="仿宋" w:cs="仿宋"/>
          <w:color w:val="000000"/>
          <w:sz w:val="32"/>
          <w:szCs w:val="32"/>
          <w:lang w:eastAsia="zh-CN"/>
        </w:rPr>
        <w:t>综合</w:t>
      </w:r>
      <w:r>
        <w:rPr>
          <w:rFonts w:hint="eastAsia" w:ascii="仿宋" w:hAnsi="仿宋" w:eastAsia="仿宋" w:cs="仿宋"/>
          <w:color w:val="000000"/>
          <w:sz w:val="32"/>
          <w:szCs w:val="32"/>
        </w:rPr>
        <w:t>办公室、</w:t>
      </w:r>
      <w:r>
        <w:rPr>
          <w:rFonts w:hint="eastAsia" w:ascii="仿宋" w:hAnsi="仿宋" w:eastAsia="仿宋" w:cs="仿宋"/>
          <w:color w:val="000000"/>
          <w:sz w:val="32"/>
          <w:szCs w:val="32"/>
          <w:lang w:eastAsia="zh-CN"/>
        </w:rPr>
        <w:t>立案庭、刑事审判庭、民事审判庭、赵陵铺人民法庭、联盟人民法庭、行政审判庭、执行局、政治部、审判管理办公室、司法警察大队</w:t>
      </w:r>
      <w:r>
        <w:rPr>
          <w:rFonts w:hint="eastAsia" w:ascii="仿宋" w:hAnsi="仿宋" w:eastAsia="仿宋" w:cs="仿宋"/>
          <w:color w:val="000000"/>
          <w:sz w:val="32"/>
          <w:szCs w:val="32"/>
        </w:rPr>
        <w:t>，共</w:t>
      </w:r>
      <w:r>
        <w:rPr>
          <w:rFonts w:hint="eastAsia" w:ascii="仿宋" w:hAnsi="仿宋" w:eastAsia="仿宋" w:cs="仿宋"/>
          <w:color w:val="000000"/>
          <w:sz w:val="32"/>
          <w:szCs w:val="32"/>
          <w:lang w:val="en-US" w:eastAsia="zh-CN"/>
        </w:rPr>
        <w:t>11</w:t>
      </w:r>
      <w:r>
        <w:rPr>
          <w:rFonts w:hint="eastAsia" w:ascii="仿宋" w:hAnsi="仿宋" w:eastAsia="仿宋" w:cs="仿宋"/>
          <w:color w:val="000000"/>
          <w:sz w:val="32"/>
          <w:szCs w:val="32"/>
        </w:rPr>
        <w:t>个部门。</w:t>
      </w:r>
    </w:p>
    <w:p>
      <w:pPr>
        <w:jc w:val="center"/>
        <w:outlineLvl w:val="0"/>
        <w:rPr>
          <w:rFonts w:hint="eastAsia" w:ascii="仿宋" w:hAnsi="仿宋" w:eastAsia="仿宋" w:cs="仿宋"/>
          <w:color w:val="000000"/>
          <w:sz w:val="32"/>
          <w:szCs w:val="32"/>
        </w:rPr>
      </w:pPr>
      <w:r>
        <w:rPr>
          <w:rFonts w:hint="eastAsia" w:ascii="仿宋" w:hAnsi="仿宋" w:eastAsia="仿宋" w:cs="仿宋"/>
          <w:color w:val="000000"/>
          <w:sz w:val="32"/>
          <w:szCs w:val="32"/>
        </w:rPr>
        <w:t>部门机构设置情况</w:t>
      </w:r>
    </w:p>
    <w:tbl>
      <w:tblPr>
        <w:tblStyle w:val="9"/>
        <w:tblW w:w="95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677"/>
        <w:gridCol w:w="1185"/>
        <w:gridCol w:w="1058"/>
        <w:gridCol w:w="907"/>
        <w:gridCol w:w="563"/>
        <w:gridCol w:w="454"/>
        <w:gridCol w:w="538"/>
        <w:gridCol w:w="560"/>
        <w:gridCol w:w="560"/>
        <w:gridCol w:w="562"/>
        <w:gridCol w:w="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1977" w:type="dxa"/>
            <w:vMerge w:val="restart"/>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单位名称</w:t>
            </w:r>
          </w:p>
        </w:tc>
        <w:tc>
          <w:tcPr>
            <w:tcW w:w="677" w:type="dxa"/>
            <w:vMerge w:val="restart"/>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单位性质</w:t>
            </w:r>
          </w:p>
        </w:tc>
        <w:tc>
          <w:tcPr>
            <w:tcW w:w="1185" w:type="dxa"/>
            <w:vMerge w:val="restart"/>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单位</w:t>
            </w:r>
          </w:p>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规格</w:t>
            </w:r>
          </w:p>
        </w:tc>
        <w:tc>
          <w:tcPr>
            <w:tcW w:w="1058" w:type="dxa"/>
            <w:vMerge w:val="restart"/>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经费保障形式</w:t>
            </w:r>
          </w:p>
        </w:tc>
        <w:tc>
          <w:tcPr>
            <w:tcW w:w="907" w:type="dxa"/>
            <w:vMerge w:val="restart"/>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车辆实有数</w:t>
            </w:r>
          </w:p>
        </w:tc>
        <w:tc>
          <w:tcPr>
            <w:tcW w:w="1017" w:type="dxa"/>
            <w:gridSpan w:val="2"/>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编制</w:t>
            </w:r>
          </w:p>
        </w:tc>
        <w:tc>
          <w:tcPr>
            <w:tcW w:w="1098" w:type="dxa"/>
            <w:gridSpan w:val="2"/>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在职</w:t>
            </w:r>
          </w:p>
        </w:tc>
        <w:tc>
          <w:tcPr>
            <w:tcW w:w="1596" w:type="dxa"/>
            <w:gridSpan w:val="3"/>
            <w:vAlign w:val="center"/>
          </w:tcPr>
          <w:p>
            <w:pPr>
              <w:spacing w:line="300" w:lineRule="exact"/>
              <w:jc w:val="center"/>
              <w:rPr>
                <w:rFonts w:hint="eastAsia" w:ascii="仿宋" w:hAnsi="仿宋" w:eastAsia="仿宋" w:cs="仿宋"/>
                <w:b/>
                <w:color w:val="000000"/>
                <w:sz w:val="32"/>
                <w:szCs w:val="32"/>
              </w:rPr>
            </w:pPr>
            <w:r>
              <w:rPr>
                <w:rFonts w:hint="eastAsia" w:ascii="仿宋" w:hAnsi="仿宋" w:eastAsia="仿宋" w:cs="仿宋"/>
                <w:b/>
                <w:color w:val="000000"/>
                <w:sz w:val="32"/>
                <w:szCs w:val="32"/>
              </w:rPr>
              <w:t>离退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1977" w:type="dxa"/>
            <w:vMerge w:val="continue"/>
            <w:vAlign w:val="center"/>
          </w:tcPr>
          <w:p>
            <w:pPr>
              <w:spacing w:line="300" w:lineRule="exact"/>
              <w:jc w:val="left"/>
              <w:outlineLvl w:val="0"/>
              <w:rPr>
                <w:rFonts w:hint="eastAsia" w:ascii="仿宋" w:hAnsi="仿宋" w:eastAsia="仿宋" w:cs="仿宋"/>
                <w:color w:val="000000"/>
                <w:sz w:val="32"/>
                <w:szCs w:val="32"/>
              </w:rPr>
            </w:pPr>
          </w:p>
        </w:tc>
        <w:tc>
          <w:tcPr>
            <w:tcW w:w="677" w:type="dxa"/>
            <w:vMerge w:val="continue"/>
            <w:vAlign w:val="center"/>
          </w:tcPr>
          <w:p>
            <w:pPr>
              <w:spacing w:line="300" w:lineRule="exact"/>
              <w:jc w:val="left"/>
              <w:outlineLvl w:val="0"/>
              <w:rPr>
                <w:rFonts w:hint="eastAsia" w:ascii="仿宋" w:hAnsi="仿宋" w:eastAsia="仿宋" w:cs="仿宋"/>
                <w:color w:val="000000"/>
                <w:sz w:val="32"/>
                <w:szCs w:val="32"/>
              </w:rPr>
            </w:pPr>
          </w:p>
        </w:tc>
        <w:tc>
          <w:tcPr>
            <w:tcW w:w="1185" w:type="dxa"/>
            <w:vMerge w:val="continue"/>
            <w:vAlign w:val="center"/>
          </w:tcPr>
          <w:p>
            <w:pPr>
              <w:spacing w:line="300" w:lineRule="exact"/>
              <w:jc w:val="left"/>
              <w:outlineLvl w:val="0"/>
              <w:rPr>
                <w:rFonts w:hint="eastAsia" w:ascii="仿宋" w:hAnsi="仿宋" w:eastAsia="仿宋" w:cs="仿宋"/>
                <w:color w:val="000000"/>
                <w:sz w:val="32"/>
                <w:szCs w:val="32"/>
              </w:rPr>
            </w:pPr>
          </w:p>
        </w:tc>
        <w:tc>
          <w:tcPr>
            <w:tcW w:w="1058" w:type="dxa"/>
            <w:vMerge w:val="continue"/>
            <w:vAlign w:val="center"/>
          </w:tcPr>
          <w:p>
            <w:pPr>
              <w:spacing w:line="300" w:lineRule="exact"/>
              <w:jc w:val="left"/>
              <w:outlineLvl w:val="0"/>
              <w:rPr>
                <w:rFonts w:hint="eastAsia" w:ascii="仿宋" w:hAnsi="仿宋" w:eastAsia="仿宋" w:cs="仿宋"/>
                <w:color w:val="000000"/>
                <w:sz w:val="32"/>
                <w:szCs w:val="32"/>
              </w:rPr>
            </w:pPr>
          </w:p>
        </w:tc>
        <w:tc>
          <w:tcPr>
            <w:tcW w:w="907" w:type="dxa"/>
            <w:vMerge w:val="continue"/>
            <w:vAlign w:val="center"/>
          </w:tcPr>
          <w:p>
            <w:pPr>
              <w:spacing w:line="300" w:lineRule="exact"/>
              <w:jc w:val="left"/>
              <w:outlineLvl w:val="0"/>
              <w:rPr>
                <w:rFonts w:hint="eastAsia" w:ascii="仿宋" w:hAnsi="仿宋" w:eastAsia="仿宋" w:cs="仿宋"/>
                <w:color w:val="000000"/>
                <w:sz w:val="32"/>
                <w:szCs w:val="32"/>
              </w:rPr>
            </w:pPr>
          </w:p>
        </w:tc>
        <w:tc>
          <w:tcPr>
            <w:tcW w:w="563"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行政</w:t>
            </w:r>
          </w:p>
        </w:tc>
        <w:tc>
          <w:tcPr>
            <w:tcW w:w="454"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事业</w:t>
            </w:r>
          </w:p>
        </w:tc>
        <w:tc>
          <w:tcPr>
            <w:tcW w:w="538"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行政</w:t>
            </w:r>
          </w:p>
        </w:tc>
        <w:tc>
          <w:tcPr>
            <w:tcW w:w="560"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事业</w:t>
            </w:r>
          </w:p>
        </w:tc>
        <w:tc>
          <w:tcPr>
            <w:tcW w:w="560"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离休</w:t>
            </w:r>
          </w:p>
        </w:tc>
        <w:tc>
          <w:tcPr>
            <w:tcW w:w="562"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退休</w:t>
            </w:r>
          </w:p>
        </w:tc>
        <w:tc>
          <w:tcPr>
            <w:tcW w:w="474" w:type="dxa"/>
            <w:vAlign w:val="center"/>
          </w:tcPr>
          <w:p>
            <w:pPr>
              <w:spacing w:line="300" w:lineRule="exact"/>
              <w:jc w:val="left"/>
              <w:outlineLvl w:val="0"/>
              <w:rPr>
                <w:rFonts w:hint="eastAsia" w:ascii="仿宋" w:hAnsi="仿宋" w:eastAsia="仿宋" w:cs="仿宋"/>
                <w:b/>
                <w:color w:val="000000"/>
                <w:sz w:val="32"/>
                <w:szCs w:val="32"/>
              </w:rPr>
            </w:pPr>
            <w:r>
              <w:rPr>
                <w:rFonts w:hint="eastAsia" w:ascii="仿宋" w:hAnsi="仿宋" w:eastAsia="仿宋" w:cs="仿宋"/>
                <w:b/>
                <w:color w:val="000000"/>
                <w:sz w:val="32"/>
                <w:szCs w:val="32"/>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jc w:val="center"/>
        </w:trPr>
        <w:tc>
          <w:tcPr>
            <w:tcW w:w="1977" w:type="dxa"/>
            <w:vAlign w:val="center"/>
          </w:tcPr>
          <w:p>
            <w:pPr>
              <w:spacing w:line="300" w:lineRule="exact"/>
              <w:jc w:val="left"/>
              <w:rPr>
                <w:rFonts w:hint="eastAsia" w:ascii="仿宋" w:hAnsi="仿宋" w:eastAsia="仿宋" w:cs="仿宋"/>
                <w:color w:val="000000"/>
                <w:sz w:val="32"/>
                <w:szCs w:val="32"/>
              </w:rPr>
            </w:pPr>
          </w:p>
        </w:tc>
        <w:tc>
          <w:tcPr>
            <w:tcW w:w="677" w:type="dxa"/>
            <w:vAlign w:val="center"/>
          </w:tcPr>
          <w:p>
            <w:pPr>
              <w:spacing w:line="300" w:lineRule="exact"/>
              <w:jc w:val="center"/>
              <w:rPr>
                <w:rFonts w:hint="eastAsia" w:ascii="仿宋" w:hAnsi="仿宋" w:eastAsia="仿宋" w:cs="仿宋"/>
                <w:color w:val="000000"/>
                <w:sz w:val="32"/>
                <w:szCs w:val="32"/>
              </w:rPr>
            </w:pPr>
          </w:p>
        </w:tc>
        <w:tc>
          <w:tcPr>
            <w:tcW w:w="1185" w:type="dxa"/>
            <w:vAlign w:val="center"/>
          </w:tcPr>
          <w:p>
            <w:pPr>
              <w:spacing w:line="300" w:lineRule="exact"/>
              <w:jc w:val="center"/>
              <w:rPr>
                <w:rFonts w:hint="eastAsia" w:ascii="仿宋" w:hAnsi="仿宋" w:eastAsia="仿宋" w:cs="仿宋"/>
                <w:color w:val="000000"/>
                <w:sz w:val="32"/>
                <w:szCs w:val="32"/>
              </w:rPr>
            </w:pPr>
          </w:p>
        </w:tc>
        <w:tc>
          <w:tcPr>
            <w:tcW w:w="1058" w:type="dxa"/>
            <w:vAlign w:val="center"/>
          </w:tcPr>
          <w:p>
            <w:pPr>
              <w:spacing w:line="300" w:lineRule="exact"/>
              <w:jc w:val="center"/>
              <w:rPr>
                <w:rFonts w:hint="eastAsia" w:ascii="仿宋" w:hAnsi="仿宋" w:eastAsia="仿宋" w:cs="仿宋"/>
                <w:color w:val="000000"/>
                <w:sz w:val="32"/>
                <w:szCs w:val="32"/>
              </w:rPr>
            </w:pPr>
          </w:p>
        </w:tc>
        <w:tc>
          <w:tcPr>
            <w:tcW w:w="907"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13</w:t>
            </w:r>
          </w:p>
        </w:tc>
        <w:tc>
          <w:tcPr>
            <w:tcW w:w="563"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83</w:t>
            </w:r>
          </w:p>
        </w:tc>
        <w:tc>
          <w:tcPr>
            <w:tcW w:w="454" w:type="dxa"/>
            <w:vAlign w:val="center"/>
          </w:tcPr>
          <w:p>
            <w:pPr>
              <w:spacing w:line="300" w:lineRule="exact"/>
              <w:jc w:val="center"/>
              <w:rPr>
                <w:rFonts w:hint="eastAsia" w:ascii="仿宋" w:hAnsi="仿宋" w:eastAsia="仿宋" w:cs="仿宋"/>
                <w:color w:val="000000"/>
                <w:sz w:val="32"/>
                <w:szCs w:val="32"/>
              </w:rPr>
            </w:pPr>
          </w:p>
        </w:tc>
        <w:tc>
          <w:tcPr>
            <w:tcW w:w="538"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75</w:t>
            </w:r>
          </w:p>
        </w:tc>
        <w:tc>
          <w:tcPr>
            <w:tcW w:w="560" w:type="dxa"/>
            <w:vAlign w:val="center"/>
          </w:tcPr>
          <w:p>
            <w:pPr>
              <w:spacing w:line="300" w:lineRule="exact"/>
              <w:jc w:val="center"/>
              <w:rPr>
                <w:rFonts w:hint="eastAsia" w:ascii="仿宋" w:hAnsi="仿宋" w:eastAsia="仿宋" w:cs="仿宋"/>
                <w:color w:val="000000"/>
                <w:sz w:val="32"/>
                <w:szCs w:val="32"/>
              </w:rPr>
            </w:pPr>
          </w:p>
        </w:tc>
        <w:tc>
          <w:tcPr>
            <w:tcW w:w="560" w:type="dxa"/>
            <w:vAlign w:val="center"/>
          </w:tcPr>
          <w:p>
            <w:pPr>
              <w:spacing w:line="300" w:lineRule="exact"/>
              <w:jc w:val="center"/>
              <w:rPr>
                <w:rFonts w:hint="eastAsia" w:ascii="仿宋" w:hAnsi="仿宋" w:eastAsia="仿宋" w:cs="仿宋"/>
                <w:color w:val="000000"/>
                <w:sz w:val="32"/>
                <w:szCs w:val="32"/>
                <w:lang w:eastAsia="zh-CN"/>
              </w:rPr>
            </w:pPr>
          </w:p>
        </w:tc>
        <w:tc>
          <w:tcPr>
            <w:tcW w:w="562"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44</w:t>
            </w:r>
          </w:p>
        </w:tc>
        <w:tc>
          <w:tcPr>
            <w:tcW w:w="474" w:type="dxa"/>
            <w:vAlign w:val="center"/>
          </w:tcPr>
          <w:p>
            <w:pPr>
              <w:spacing w:line="300" w:lineRule="exact"/>
              <w:jc w:val="center"/>
              <w:rPr>
                <w:rFonts w:hint="eastAsia" w:ascii="仿宋" w:hAnsi="仿宋" w:eastAsia="仿宋" w:cs="仿宋"/>
                <w:color w:val="000000"/>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5" w:hRule="atLeast"/>
          <w:jc w:val="center"/>
        </w:trPr>
        <w:tc>
          <w:tcPr>
            <w:tcW w:w="1977" w:type="dxa"/>
            <w:vAlign w:val="center"/>
          </w:tcPr>
          <w:p>
            <w:pPr>
              <w:spacing w:line="3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石家庄市</w:t>
            </w:r>
            <w:r>
              <w:rPr>
                <w:rFonts w:hint="eastAsia" w:ascii="仿宋" w:hAnsi="仿宋" w:eastAsia="仿宋" w:cs="仿宋"/>
                <w:color w:val="000000"/>
                <w:sz w:val="32"/>
                <w:szCs w:val="32"/>
                <w:lang w:eastAsia="zh-CN"/>
              </w:rPr>
              <w:t>新华</w:t>
            </w:r>
            <w:r>
              <w:rPr>
                <w:rFonts w:hint="eastAsia" w:ascii="仿宋" w:hAnsi="仿宋" w:eastAsia="仿宋" w:cs="仿宋"/>
                <w:color w:val="000000"/>
                <w:sz w:val="32"/>
                <w:szCs w:val="32"/>
              </w:rPr>
              <w:t>区</w:t>
            </w:r>
          </w:p>
          <w:p>
            <w:pPr>
              <w:spacing w:line="3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人民</w:t>
            </w:r>
            <w:r>
              <w:rPr>
                <w:rFonts w:hint="eastAsia" w:ascii="仿宋" w:hAnsi="仿宋" w:eastAsia="仿宋" w:cs="仿宋"/>
                <w:color w:val="000000"/>
                <w:sz w:val="32"/>
                <w:szCs w:val="32"/>
                <w:lang w:eastAsia="zh-CN"/>
              </w:rPr>
              <w:t>法</w:t>
            </w:r>
            <w:r>
              <w:rPr>
                <w:rFonts w:hint="eastAsia" w:ascii="仿宋" w:hAnsi="仿宋" w:eastAsia="仿宋" w:cs="仿宋"/>
                <w:color w:val="000000"/>
                <w:sz w:val="32"/>
                <w:szCs w:val="32"/>
              </w:rPr>
              <w:t>院（机关）</w:t>
            </w:r>
          </w:p>
        </w:tc>
        <w:tc>
          <w:tcPr>
            <w:tcW w:w="677" w:type="dxa"/>
            <w:vAlign w:val="center"/>
          </w:tcPr>
          <w:p>
            <w:pPr>
              <w:spacing w:line="3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rPr>
              <w:t>行政</w:t>
            </w:r>
          </w:p>
        </w:tc>
        <w:tc>
          <w:tcPr>
            <w:tcW w:w="1185" w:type="dxa"/>
            <w:vAlign w:val="center"/>
          </w:tcPr>
          <w:p>
            <w:pPr>
              <w:spacing w:line="3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正科</w:t>
            </w:r>
            <w:r>
              <w:rPr>
                <w:rFonts w:hint="eastAsia" w:ascii="仿宋" w:hAnsi="仿宋" w:eastAsia="仿宋" w:cs="仿宋"/>
                <w:color w:val="000000"/>
                <w:sz w:val="32"/>
                <w:szCs w:val="32"/>
              </w:rPr>
              <w:t>级</w:t>
            </w:r>
          </w:p>
        </w:tc>
        <w:tc>
          <w:tcPr>
            <w:tcW w:w="1058" w:type="dxa"/>
            <w:vAlign w:val="center"/>
          </w:tcPr>
          <w:p>
            <w:pPr>
              <w:spacing w:line="3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rPr>
              <w:t>财政拨款</w:t>
            </w:r>
          </w:p>
        </w:tc>
        <w:tc>
          <w:tcPr>
            <w:tcW w:w="907"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13</w:t>
            </w:r>
          </w:p>
        </w:tc>
        <w:tc>
          <w:tcPr>
            <w:tcW w:w="563"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83</w:t>
            </w:r>
          </w:p>
        </w:tc>
        <w:tc>
          <w:tcPr>
            <w:tcW w:w="454" w:type="dxa"/>
            <w:vAlign w:val="center"/>
          </w:tcPr>
          <w:p>
            <w:pPr>
              <w:spacing w:line="300" w:lineRule="exact"/>
              <w:jc w:val="center"/>
              <w:rPr>
                <w:rFonts w:hint="eastAsia" w:ascii="仿宋" w:hAnsi="仿宋" w:eastAsia="仿宋" w:cs="仿宋"/>
                <w:color w:val="000000"/>
                <w:sz w:val="32"/>
                <w:szCs w:val="32"/>
                <w:lang w:val="en-US" w:eastAsia="zh-CN"/>
              </w:rPr>
            </w:pPr>
          </w:p>
        </w:tc>
        <w:tc>
          <w:tcPr>
            <w:tcW w:w="538"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75</w:t>
            </w:r>
          </w:p>
        </w:tc>
        <w:tc>
          <w:tcPr>
            <w:tcW w:w="560" w:type="dxa"/>
            <w:vAlign w:val="center"/>
          </w:tcPr>
          <w:p>
            <w:pPr>
              <w:spacing w:line="300" w:lineRule="exact"/>
              <w:jc w:val="center"/>
              <w:rPr>
                <w:rFonts w:hint="eastAsia" w:ascii="仿宋" w:hAnsi="仿宋" w:eastAsia="仿宋" w:cs="仿宋"/>
                <w:color w:val="000000"/>
                <w:sz w:val="32"/>
                <w:szCs w:val="32"/>
              </w:rPr>
            </w:pPr>
          </w:p>
        </w:tc>
        <w:tc>
          <w:tcPr>
            <w:tcW w:w="560" w:type="dxa"/>
            <w:vAlign w:val="center"/>
          </w:tcPr>
          <w:p>
            <w:pPr>
              <w:spacing w:line="300" w:lineRule="exact"/>
              <w:jc w:val="center"/>
              <w:rPr>
                <w:rFonts w:hint="eastAsia" w:ascii="仿宋" w:hAnsi="仿宋" w:eastAsia="仿宋" w:cs="仿宋"/>
                <w:color w:val="000000"/>
                <w:sz w:val="32"/>
                <w:szCs w:val="32"/>
                <w:lang w:eastAsia="zh-CN"/>
              </w:rPr>
            </w:pPr>
          </w:p>
        </w:tc>
        <w:tc>
          <w:tcPr>
            <w:tcW w:w="562" w:type="dxa"/>
            <w:vAlign w:val="center"/>
          </w:tcPr>
          <w:p>
            <w:pPr>
              <w:spacing w:line="300" w:lineRule="exact"/>
              <w:jc w:val="center"/>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44</w:t>
            </w:r>
          </w:p>
        </w:tc>
        <w:tc>
          <w:tcPr>
            <w:tcW w:w="474" w:type="dxa"/>
            <w:vAlign w:val="center"/>
          </w:tcPr>
          <w:p>
            <w:pPr>
              <w:spacing w:line="300" w:lineRule="exact"/>
              <w:jc w:val="center"/>
              <w:rPr>
                <w:rFonts w:hint="eastAsia" w:ascii="仿宋" w:hAnsi="仿宋" w:eastAsia="仿宋" w:cs="仿宋"/>
                <w:color w:val="000000"/>
                <w:sz w:val="32"/>
                <w:szCs w:val="32"/>
              </w:rPr>
            </w:pPr>
          </w:p>
        </w:tc>
      </w:tr>
    </w:tbl>
    <w:p>
      <w:pPr>
        <w:widowControl w:val="0"/>
        <w:numPr>
          <w:ilvl w:val="0"/>
          <w:numId w:val="0"/>
        </w:numPr>
        <w:wordWrap/>
        <w:adjustRightInd/>
        <w:snapToGrid/>
        <w:spacing w:line="360" w:lineRule="auto"/>
        <w:jc w:val="left"/>
        <w:textAlignment w:val="auto"/>
        <w:outlineLvl w:val="9"/>
        <w:rPr>
          <w:rFonts w:hint="eastAsia" w:ascii="仿宋" w:hAnsi="仿宋" w:eastAsia="仿宋" w:cs="仿宋"/>
          <w:sz w:val="32"/>
          <w:szCs w:val="32"/>
          <w:lang w:val="en-US" w:eastAsia="zh-CN"/>
        </w:rPr>
      </w:pPr>
    </w:p>
    <w:p>
      <w:pPr>
        <w:widowControl w:val="0"/>
        <w:numPr>
          <w:ilvl w:val="0"/>
          <w:numId w:val="1"/>
        </w:numPr>
        <w:wordWrap/>
        <w:adjustRightInd/>
        <w:snapToGrid/>
        <w:spacing w:line="360" w:lineRule="auto"/>
        <w:ind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资产基本情况</w:t>
      </w:r>
    </w:p>
    <w:tbl>
      <w:tblPr>
        <w:tblStyle w:val="9"/>
        <w:tblW w:w="87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65"/>
        <w:gridCol w:w="600"/>
        <w:gridCol w:w="1440"/>
        <w:gridCol w:w="17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85" w:hRule="atLeast"/>
        </w:trPr>
        <w:tc>
          <w:tcPr>
            <w:tcW w:w="49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固定资产占有情况</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行次</w:t>
            </w:r>
          </w:p>
        </w:tc>
        <w:tc>
          <w:tcPr>
            <w:tcW w:w="31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资产数据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5" w:hRule="atLeast"/>
        </w:trPr>
        <w:tc>
          <w:tcPr>
            <w:tcW w:w="49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32"/>
                <w:szCs w:val="32"/>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b/>
                <w:bCs/>
                <w:i w:val="0"/>
                <w:iCs w:val="0"/>
                <w:color w:val="000000"/>
                <w:sz w:val="32"/>
                <w:szCs w:val="32"/>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数量</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原值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b/>
                <w:bCs/>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资产总额</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1</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1520.45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　 　  1.房屋(平方米)</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2</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eastAsia="zh-CN"/>
              </w:rPr>
            </w:pPr>
            <w:r>
              <w:rPr>
                <w:rFonts w:hint="eastAsia" w:ascii="仿宋" w:hAnsi="仿宋" w:eastAsia="仿宋" w:cs="仿宋"/>
                <w:i w:val="0"/>
                <w:iCs w:val="0"/>
                <w:color w:val="000000"/>
                <w:sz w:val="32"/>
                <w:szCs w:val="32"/>
                <w:u w:val="none"/>
                <w:lang w:val="en-US" w:eastAsia="zh-CN"/>
              </w:rPr>
              <w:t>1800</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　 　  　 　   其中:办公用房(平方米)</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3</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1800</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　 　  2.车辆(台、辆)</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4</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159.4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　 　  3.单价在20万元以上的设备</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5</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29.6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49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　 　  4.其他固定资产</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i w:val="0"/>
                <w:iCs w:val="0"/>
                <w:color w:val="000000"/>
                <w:kern w:val="0"/>
                <w:sz w:val="32"/>
                <w:szCs w:val="32"/>
                <w:u w:val="none"/>
                <w:lang w:val="en-US" w:eastAsia="zh-CN" w:bidi="ar"/>
              </w:rPr>
              <w:t>6</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3801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32"/>
                <w:szCs w:val="32"/>
                <w:u w:val="none"/>
                <w:lang w:val="en-US"/>
              </w:rPr>
            </w:pPr>
            <w:r>
              <w:rPr>
                <w:rFonts w:hint="eastAsia" w:ascii="仿宋" w:hAnsi="仿宋" w:eastAsia="仿宋" w:cs="仿宋"/>
                <w:i w:val="0"/>
                <w:iCs w:val="0"/>
                <w:color w:val="000000"/>
                <w:kern w:val="0"/>
                <w:sz w:val="32"/>
                <w:szCs w:val="32"/>
                <w:u w:val="none"/>
                <w:lang w:val="en-US" w:eastAsia="zh-CN" w:bidi="ar"/>
              </w:rPr>
              <w:t>1251.45</w:t>
            </w:r>
          </w:p>
        </w:tc>
      </w:tr>
    </w:tbl>
    <w:p>
      <w:pPr>
        <w:widowControl w:val="0"/>
        <w:wordWrap/>
        <w:adjustRightInd w:val="0"/>
        <w:snapToGrid w:val="0"/>
        <w:spacing w:line="360" w:lineRule="auto"/>
        <w:ind w:right="0"/>
        <w:textAlignment w:val="auto"/>
        <w:outlineLvl w:val="9"/>
        <w:rPr>
          <w:rFonts w:hint="eastAsia" w:ascii="仿宋" w:hAnsi="仿宋" w:eastAsia="仿宋" w:cs="仿宋"/>
          <w:b/>
          <w:bCs/>
          <w:sz w:val="32"/>
          <w:szCs w:val="32"/>
        </w:rPr>
      </w:pPr>
    </w:p>
    <w:p>
      <w:pPr>
        <w:keepNext w:val="0"/>
        <w:keepLines w:val="0"/>
        <w:pageBreakBefore w:val="0"/>
        <w:widowControl w:val="0"/>
        <w:kinsoku/>
        <w:wordWrap/>
        <w:overflowPunct/>
        <w:topLinePunct w:val="0"/>
        <w:autoSpaceDN/>
        <w:bidi w:val="0"/>
        <w:adjustRightInd w:val="0"/>
        <w:snapToGrid w:val="0"/>
        <w:spacing w:line="360" w:lineRule="auto"/>
        <w:ind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rPr>
        <w:t>（二）</w:t>
      </w:r>
      <w:r>
        <w:rPr>
          <w:rFonts w:hint="eastAsia" w:ascii="仿宋" w:hAnsi="仿宋" w:eastAsia="仿宋" w:cs="仿宋"/>
          <w:b/>
          <w:bCs/>
          <w:sz w:val="32"/>
          <w:szCs w:val="32"/>
          <w:lang w:eastAsia="zh-CN"/>
        </w:rPr>
        <w:t>部门收支预决算情况</w:t>
      </w:r>
    </w:p>
    <w:p>
      <w:pPr>
        <w:keepNext w:val="0"/>
        <w:keepLines w:val="0"/>
        <w:pageBreakBefore w:val="0"/>
        <w:widowControl w:val="0"/>
        <w:kinsoku/>
        <w:wordWrap/>
        <w:overflowPunct/>
        <w:topLinePunct w:val="0"/>
        <w:autoSpaceDN/>
        <w:bidi w:val="0"/>
        <w:adjustRightInd w:val="0"/>
        <w:snapToGrid w:val="0"/>
        <w:spacing w:line="360" w:lineRule="auto"/>
        <w:ind w:firstLine="640" w:firstLineChars="200"/>
        <w:textAlignment w:val="auto"/>
        <w:outlineLvl w:val="9"/>
        <w:rPr>
          <w:rFonts w:hint="eastAsia" w:ascii="仿宋" w:hAnsi="仿宋" w:eastAsia="仿宋" w:cs="仿宋"/>
          <w:color w:val="000000"/>
          <w:sz w:val="32"/>
          <w:szCs w:val="32"/>
        </w:rPr>
      </w:pPr>
      <w:r>
        <w:rPr>
          <w:rFonts w:hint="eastAsia" w:ascii="仿宋" w:hAnsi="仿宋" w:eastAsia="仿宋" w:cs="仿宋"/>
          <w:sz w:val="32"/>
          <w:szCs w:val="32"/>
          <w:lang w:eastAsia="zh-CN"/>
        </w:rPr>
        <w:t>2023</w:t>
      </w:r>
      <w:r>
        <w:rPr>
          <w:rFonts w:hint="eastAsia" w:ascii="仿宋" w:hAnsi="仿宋" w:eastAsia="仿宋" w:cs="仿宋"/>
          <w:sz w:val="32"/>
          <w:szCs w:val="32"/>
        </w:rPr>
        <w:t>年预算收入</w:t>
      </w:r>
      <w:r>
        <w:rPr>
          <w:rFonts w:hint="eastAsia" w:ascii="仿宋" w:hAnsi="仿宋" w:eastAsia="仿宋" w:cs="仿宋"/>
          <w:color w:val="auto"/>
          <w:sz w:val="32"/>
          <w:szCs w:val="32"/>
          <w:lang w:val="en-US" w:eastAsia="zh-CN"/>
        </w:rPr>
        <w:t>4250.14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4250.14</w:t>
      </w:r>
      <w:r>
        <w:rPr>
          <w:rFonts w:hint="eastAsia" w:ascii="仿宋" w:hAnsi="仿宋" w:eastAsia="仿宋" w:cs="仿宋"/>
          <w:sz w:val="32"/>
          <w:szCs w:val="32"/>
        </w:rPr>
        <w:t>万元，基金预算收入0万元，财政专户核拨收入0万元</w:t>
      </w:r>
      <w:r>
        <w:rPr>
          <w:rFonts w:hint="eastAsia" w:ascii="仿宋" w:hAnsi="仿宋" w:eastAsia="仿宋" w:cs="仿宋"/>
          <w:sz w:val="32"/>
          <w:szCs w:val="32"/>
          <w:lang w:eastAsia="zh-CN"/>
        </w:rPr>
        <w:t>；2023</w:t>
      </w:r>
      <w:r>
        <w:rPr>
          <w:rFonts w:hint="eastAsia" w:ascii="仿宋" w:hAnsi="仿宋" w:eastAsia="仿宋" w:cs="仿宋"/>
          <w:sz w:val="32"/>
          <w:szCs w:val="32"/>
        </w:rPr>
        <w:t>年支出预算</w:t>
      </w:r>
      <w:r>
        <w:rPr>
          <w:rFonts w:hint="eastAsia" w:ascii="仿宋" w:hAnsi="仿宋" w:eastAsia="仿宋" w:cs="仿宋"/>
          <w:color w:val="auto"/>
          <w:sz w:val="32"/>
          <w:szCs w:val="32"/>
          <w:lang w:val="en-US" w:eastAsia="zh-CN"/>
        </w:rPr>
        <w:t>4250.14</w:t>
      </w:r>
      <w:r>
        <w:rPr>
          <w:rFonts w:hint="eastAsia" w:ascii="仿宋" w:hAnsi="仿宋" w:eastAsia="仿宋" w:cs="仿宋"/>
          <w:color w:val="auto"/>
          <w:sz w:val="32"/>
          <w:szCs w:val="32"/>
        </w:rPr>
        <w:t>万</w:t>
      </w:r>
      <w:r>
        <w:rPr>
          <w:rFonts w:hint="eastAsia" w:ascii="仿宋" w:hAnsi="仿宋" w:eastAsia="仿宋" w:cs="仿宋"/>
          <w:sz w:val="32"/>
          <w:szCs w:val="32"/>
        </w:rPr>
        <w:t>元，其中基本支出</w:t>
      </w:r>
      <w:r>
        <w:rPr>
          <w:rFonts w:hint="eastAsia" w:ascii="仿宋" w:hAnsi="仿宋" w:eastAsia="仿宋" w:cs="仿宋"/>
          <w:color w:val="auto"/>
          <w:sz w:val="32"/>
          <w:szCs w:val="32"/>
          <w:lang w:val="en-US" w:eastAsia="zh-CN"/>
        </w:rPr>
        <w:t>2358.78</w:t>
      </w:r>
      <w:r>
        <w:rPr>
          <w:rFonts w:hint="eastAsia" w:ascii="仿宋" w:hAnsi="仿宋" w:eastAsia="仿宋" w:cs="仿宋"/>
          <w:sz w:val="32"/>
          <w:szCs w:val="32"/>
        </w:rPr>
        <w:t>万元，包括人员经费</w:t>
      </w:r>
      <w:r>
        <w:rPr>
          <w:rFonts w:hint="eastAsia" w:ascii="仿宋" w:hAnsi="仿宋" w:eastAsia="仿宋" w:cs="仿宋"/>
          <w:color w:val="auto"/>
          <w:sz w:val="32"/>
          <w:szCs w:val="32"/>
          <w:lang w:val="en-US" w:eastAsia="zh-CN"/>
        </w:rPr>
        <w:t>1984.22</w:t>
      </w:r>
      <w:r>
        <w:rPr>
          <w:rFonts w:hint="eastAsia" w:ascii="仿宋" w:hAnsi="仿宋" w:eastAsia="仿宋" w:cs="仿宋"/>
          <w:sz w:val="32"/>
          <w:szCs w:val="32"/>
        </w:rPr>
        <w:t>万元和日常公用经费</w:t>
      </w:r>
      <w:r>
        <w:rPr>
          <w:rFonts w:hint="eastAsia" w:ascii="仿宋" w:hAnsi="仿宋" w:eastAsia="仿宋" w:cs="仿宋"/>
          <w:color w:val="auto"/>
          <w:sz w:val="32"/>
          <w:szCs w:val="32"/>
          <w:lang w:val="en-US" w:eastAsia="zh-CN"/>
        </w:rPr>
        <w:t>374.56</w:t>
      </w:r>
      <w:r>
        <w:rPr>
          <w:rFonts w:hint="eastAsia" w:ascii="仿宋" w:hAnsi="仿宋" w:eastAsia="仿宋" w:cs="仿宋"/>
          <w:sz w:val="32"/>
          <w:szCs w:val="32"/>
        </w:rPr>
        <w:t>万元；项目支出</w:t>
      </w:r>
      <w:r>
        <w:rPr>
          <w:rFonts w:hint="eastAsia" w:ascii="仿宋" w:hAnsi="仿宋" w:eastAsia="仿宋" w:cs="仿宋"/>
          <w:color w:val="auto"/>
          <w:sz w:val="32"/>
          <w:szCs w:val="32"/>
          <w:lang w:val="en-US" w:eastAsia="zh-CN"/>
        </w:rPr>
        <w:t>1891.36</w:t>
      </w:r>
      <w:r>
        <w:rPr>
          <w:rFonts w:hint="eastAsia" w:ascii="仿宋" w:hAnsi="仿宋" w:eastAsia="仿宋" w:cs="仿宋"/>
          <w:sz w:val="32"/>
          <w:szCs w:val="32"/>
        </w:rPr>
        <w:t>万元，主要包括</w:t>
      </w:r>
      <w:r>
        <w:rPr>
          <w:rFonts w:hint="eastAsia" w:ascii="仿宋" w:hAnsi="仿宋" w:eastAsia="仿宋" w:cs="仿宋"/>
          <w:sz w:val="32"/>
          <w:szCs w:val="32"/>
          <w:lang w:eastAsia="zh-CN"/>
        </w:rPr>
        <w:t>中央及省级转移支付资金、</w:t>
      </w:r>
      <w:r>
        <w:rPr>
          <w:rFonts w:hint="eastAsia" w:ascii="仿宋" w:hAnsi="仿宋" w:eastAsia="仿宋" w:cs="仿宋"/>
          <w:sz w:val="32"/>
          <w:szCs w:val="32"/>
          <w:lang w:val="en-US" w:eastAsia="zh-CN"/>
        </w:rPr>
        <w:t>办公租赁经费、物业管理经费、劳务派遣人员经费</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N/>
        <w:bidi w:val="0"/>
        <w:adjustRightInd w:val="0"/>
        <w:snapToGrid w:val="0"/>
        <w:spacing w:line="360" w:lineRule="auto"/>
        <w:ind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2023年决算收入4250.14万元，</w:t>
      </w:r>
      <w:r>
        <w:rPr>
          <w:rFonts w:hint="eastAsia" w:ascii="仿宋" w:hAnsi="仿宋" w:eastAsia="仿宋" w:cs="仿宋"/>
          <w:sz w:val="32"/>
          <w:szCs w:val="32"/>
        </w:rPr>
        <w:t>其中：一般公共预算收入</w:t>
      </w:r>
      <w:r>
        <w:rPr>
          <w:rFonts w:hint="eastAsia" w:ascii="仿宋" w:hAnsi="仿宋" w:eastAsia="仿宋" w:cs="仿宋"/>
          <w:sz w:val="32"/>
          <w:szCs w:val="32"/>
          <w:lang w:val="en-US" w:eastAsia="zh-CN"/>
        </w:rPr>
        <w:t>4250.14</w:t>
      </w:r>
      <w:r>
        <w:rPr>
          <w:rFonts w:hint="eastAsia" w:ascii="仿宋" w:hAnsi="仿宋" w:eastAsia="仿宋" w:cs="仿宋"/>
          <w:sz w:val="32"/>
          <w:szCs w:val="32"/>
        </w:rPr>
        <w:t>万元，基金预算收入0万元，财政专户核拨收入0万元</w:t>
      </w:r>
      <w:r>
        <w:rPr>
          <w:rFonts w:hint="eastAsia" w:ascii="仿宋" w:hAnsi="仿宋" w:eastAsia="仿宋" w:cs="仿宋"/>
          <w:sz w:val="32"/>
          <w:szCs w:val="32"/>
          <w:lang w:eastAsia="zh-CN"/>
        </w:rPr>
        <w:t>；2023</w:t>
      </w:r>
      <w:r>
        <w:rPr>
          <w:rFonts w:hint="eastAsia" w:ascii="仿宋" w:hAnsi="仿宋" w:eastAsia="仿宋" w:cs="仿宋"/>
          <w:sz w:val="32"/>
          <w:szCs w:val="32"/>
        </w:rPr>
        <w:t>年支出</w:t>
      </w:r>
      <w:r>
        <w:rPr>
          <w:rFonts w:hint="eastAsia" w:ascii="仿宋" w:hAnsi="仿宋" w:eastAsia="仿宋" w:cs="仿宋"/>
          <w:sz w:val="32"/>
          <w:szCs w:val="32"/>
          <w:lang w:eastAsia="zh-CN"/>
        </w:rPr>
        <w:t>决算</w:t>
      </w:r>
      <w:r>
        <w:rPr>
          <w:rFonts w:hint="eastAsia" w:ascii="仿宋" w:hAnsi="仿宋" w:eastAsia="仿宋" w:cs="仿宋"/>
          <w:color w:val="auto"/>
          <w:sz w:val="32"/>
          <w:szCs w:val="32"/>
          <w:lang w:val="en-US" w:eastAsia="zh-CN"/>
        </w:rPr>
        <w:t>4250.14</w:t>
      </w:r>
      <w:r>
        <w:rPr>
          <w:rFonts w:hint="eastAsia" w:ascii="仿宋" w:hAnsi="仿宋" w:eastAsia="仿宋" w:cs="仿宋"/>
          <w:color w:val="auto"/>
          <w:sz w:val="32"/>
          <w:szCs w:val="32"/>
        </w:rPr>
        <w:t>万</w:t>
      </w:r>
      <w:r>
        <w:rPr>
          <w:rFonts w:hint="eastAsia" w:ascii="仿宋" w:hAnsi="仿宋" w:eastAsia="仿宋" w:cs="仿宋"/>
          <w:sz w:val="32"/>
          <w:szCs w:val="32"/>
        </w:rPr>
        <w:t>元，其中基本支出</w:t>
      </w:r>
      <w:r>
        <w:rPr>
          <w:rFonts w:hint="eastAsia" w:ascii="仿宋" w:hAnsi="仿宋" w:eastAsia="仿宋" w:cs="仿宋"/>
          <w:color w:val="auto"/>
          <w:sz w:val="32"/>
          <w:szCs w:val="32"/>
          <w:lang w:val="en-US" w:eastAsia="zh-CN"/>
        </w:rPr>
        <w:t>2358.781</w:t>
      </w:r>
      <w:r>
        <w:rPr>
          <w:rFonts w:hint="eastAsia" w:ascii="仿宋" w:hAnsi="仿宋" w:eastAsia="仿宋" w:cs="仿宋"/>
          <w:sz w:val="32"/>
          <w:szCs w:val="32"/>
        </w:rPr>
        <w:t>万元，项目支出</w:t>
      </w:r>
      <w:r>
        <w:rPr>
          <w:rFonts w:hint="eastAsia" w:ascii="仿宋" w:hAnsi="仿宋" w:eastAsia="仿宋" w:cs="仿宋"/>
          <w:color w:val="auto"/>
          <w:sz w:val="32"/>
          <w:szCs w:val="32"/>
          <w:lang w:val="en-US" w:eastAsia="zh-CN"/>
        </w:rPr>
        <w:t>1891.36</w:t>
      </w:r>
      <w:r>
        <w:rPr>
          <w:rFonts w:hint="eastAsia" w:ascii="仿宋" w:hAnsi="仿宋" w:eastAsia="仿宋" w:cs="仿宋"/>
          <w:sz w:val="32"/>
          <w:szCs w:val="32"/>
        </w:rPr>
        <w:t>万元</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（三）部门整体支出绩效目标、指标</w:t>
      </w:r>
    </w:p>
    <w:p>
      <w:pPr>
        <w:pStyle w:val="11"/>
        <w:keepNext w:val="0"/>
        <w:keepLines w:val="0"/>
        <w:pageBreakBefore w:val="0"/>
        <w:kinsoku/>
        <w:overflowPunct/>
        <w:topLinePunct w:val="0"/>
        <w:autoSpaceDN/>
        <w:bidi w:val="0"/>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2023年石家庄市新华区人民法院坚持以习近平新时代中国特色社会主义思想为指导，深入贯彻习近平法治思想，全面贯彻党的十九届历次全会和党的二十大精神，围绕全区现代化建设全局，忠诚履职，积极作为，努力争创一流工作实绩，奋力打造一流品牌法院，为全区经济社会高质量发展提供了有力的司法服务和保障。2023年我院的整体工作思路是：抓牢一条主线--讲忠诚、强队伍、聚合力、精业务、创一流；聚焦两大任务--为大局服务、为人民司法；强化三项管理--队伍管理、审判管理、智能化管理；促进五大提升--政治生态提升、纪律作风提升、案件质效提升、工作效能提升、服务能力提升。一是旗帜鲜明立场坚定，以更高站位筑牢政治忠诚；二是忠诚履职勇于担当，以更强自觉服务中心大局。准确把握新时代法院职责使命，聚焦区委中心工作和重大决策部署，找准服务大局的切入点着力点。积极融入党委领导下的诉源治理格局，持续深化矛盾纠纷多元化解体系，深入推进市域社会治理现代化；三是践行宗旨固本强基，以更实举措优化民生保障。坚守案件质量生命线，倡导多调精判，做足释法明理，让人民群众切实感受到公平正义就在身边。大力开展普法宣传教育，增进人民群众对法院工作的了解，讲好法院故事，传递法治力量；四是创新机制深化改革，以更大力度推进质效提升。深入推进以审判为中心的刑事诉讼制度改革、民事诉讼繁简分流改革，健全完善执行工作长效机制。全面深化智慧法院建设应用，加快推进大数据、人工智能等科技成果与审执工作深度融合，不断提高人民群众司法获得感和满意度；五是从严治院科学管理，以更严要求锤炼过硬队伍。坚持以制约和监督权力运行为核心，以岗位风险防控为基础，以加强制度建设为重点，在确保“让审理者裁判，让裁判者负责”的前提下，加快构建与新型审判权力运行模式相适应的监督制约体系。</w:t>
      </w:r>
    </w:p>
    <w:p>
      <w:pPr>
        <w:keepNext w:val="0"/>
        <w:keepLines w:val="0"/>
        <w:pageBreakBefore w:val="0"/>
        <w:widowControl w:val="0"/>
        <w:kinsoku/>
        <w:wordWrap/>
        <w:overflowPunct/>
        <w:topLinePunct w:val="0"/>
        <w:autoSpaceDN/>
        <w:bidi w:val="0"/>
        <w:adjustRightInd w:val="0"/>
        <w:snapToGrid w:val="0"/>
        <w:spacing w:line="360" w:lineRule="auto"/>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二、自评工作</w:t>
      </w:r>
      <w:r>
        <w:rPr>
          <w:rFonts w:hint="eastAsia" w:ascii="仿宋" w:hAnsi="仿宋" w:eastAsia="仿宋" w:cs="仿宋"/>
          <w:sz w:val="32"/>
          <w:szCs w:val="32"/>
          <w:lang w:eastAsia="zh-CN"/>
        </w:rPr>
        <w:t>开展</w:t>
      </w:r>
      <w:r>
        <w:rPr>
          <w:rFonts w:hint="eastAsia" w:ascii="仿宋" w:hAnsi="仿宋" w:eastAsia="仿宋" w:cs="仿宋"/>
          <w:sz w:val="32"/>
          <w:szCs w:val="32"/>
        </w:rPr>
        <w:t>情况</w:t>
      </w:r>
    </w:p>
    <w:p>
      <w:pPr>
        <w:keepNext w:val="0"/>
        <w:keepLines w:val="0"/>
        <w:pageBreakBefore w:val="0"/>
        <w:widowControl w:val="0"/>
        <w:kinsoku/>
        <w:wordWrap/>
        <w:overflowPunct/>
        <w:topLinePunct w:val="0"/>
        <w:autoSpaceDN/>
        <w:bidi w:val="0"/>
        <w:adjustRightInd w:val="0"/>
        <w:snapToGrid w:val="0"/>
        <w:spacing w:line="360" w:lineRule="auto"/>
        <w:ind w:left="0" w:leftChars="0" w:right="0"/>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（一）自评的组织工作</w:t>
      </w:r>
    </w:p>
    <w:p>
      <w:pPr>
        <w:keepNext w:val="0"/>
        <w:keepLines w:val="0"/>
        <w:pageBreakBefore w:val="0"/>
        <w:widowControl/>
        <w:kinsoku/>
        <w:wordWrap/>
        <w:overflowPunct/>
        <w:topLinePunct w:val="0"/>
        <w:autoSpaceDN/>
        <w:bidi w:val="0"/>
        <w:adjustRightInd w:val="0"/>
        <w:snapToGrid w:val="0"/>
        <w:spacing w:line="360" w:lineRule="auto"/>
        <w:ind w:firstLine="640" w:firstLineChars="200"/>
        <w:jc w:val="left"/>
        <w:textAlignment w:val="auto"/>
        <w:outlineLvl w:val="9"/>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1、成立机构：评价小组负责人及成员：杨建科、张观华、姚秋林、贡彤</w:t>
      </w:r>
    </w:p>
    <w:p>
      <w:pPr>
        <w:keepNext w:val="0"/>
        <w:keepLines w:val="0"/>
        <w:pageBreakBefore w:val="0"/>
        <w:widowControl/>
        <w:kinsoku/>
        <w:wordWrap/>
        <w:overflowPunct/>
        <w:topLinePunct w:val="0"/>
        <w:autoSpaceDN/>
        <w:bidi w:val="0"/>
        <w:adjustRightInd w:val="0"/>
        <w:snapToGrid w:val="0"/>
        <w:spacing w:line="360" w:lineRule="auto"/>
        <w:ind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rPr>
        <w:t xml:space="preserve">负责人：综合办公室负责人张观华负责项目绩效评价工作。 </w:t>
      </w:r>
    </w:p>
    <w:p>
      <w:pPr>
        <w:keepNext w:val="0"/>
        <w:keepLines w:val="0"/>
        <w:pageBreakBefore w:val="0"/>
        <w:widowControl/>
        <w:kinsoku/>
        <w:wordWrap/>
        <w:overflowPunct/>
        <w:topLinePunct w:val="0"/>
        <w:autoSpaceDN/>
        <w:bidi w:val="0"/>
        <w:adjustRightInd w:val="0"/>
        <w:snapToGrid w:val="0"/>
        <w:spacing w:line="360" w:lineRule="auto"/>
        <w:ind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rPr>
        <w:t>2、学习文件：《石家庄市新华区财政局关于开展2023年度绩效自评工作的通知》</w:t>
      </w:r>
    </w:p>
    <w:p>
      <w:pPr>
        <w:keepNext w:val="0"/>
        <w:keepLines w:val="0"/>
        <w:pageBreakBefore w:val="0"/>
        <w:widowControl/>
        <w:kinsoku/>
        <w:wordWrap/>
        <w:overflowPunct/>
        <w:topLinePunct w:val="0"/>
        <w:autoSpaceDN/>
        <w:bidi w:val="0"/>
        <w:adjustRightInd w:val="0"/>
        <w:snapToGrid w:val="0"/>
        <w:spacing w:line="360" w:lineRule="auto"/>
        <w:ind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rPr>
        <w:t xml:space="preserve">3、对照年初设定的绩效目标，逐项进行对比分析、检验、评判各项绩效指标完成情况，查找资金使用的薄弱环节，认真分析评价结果反映的问题，制定改进和提高工作成绩的措施，建立问题整改责任制，提高预算项目和资金管理水平，进一步提高财政资金的使用效益。 </w:t>
      </w:r>
    </w:p>
    <w:p>
      <w:pPr>
        <w:keepNext w:val="0"/>
        <w:keepLines w:val="0"/>
        <w:pageBreakBefore w:val="0"/>
        <w:widowControl w:val="0"/>
        <w:numPr>
          <w:ilvl w:val="0"/>
          <w:numId w:val="2"/>
        </w:numPr>
        <w:kinsoku/>
        <w:wordWrap/>
        <w:overflowPunct/>
        <w:topLinePunct w:val="0"/>
        <w:autoSpaceDN/>
        <w:bidi w:val="0"/>
        <w:adjustRightInd w:val="0"/>
        <w:snapToGrid w:val="0"/>
        <w:spacing w:line="360" w:lineRule="auto"/>
        <w:ind w:left="642" w:leftChars="0" w:right="0" w:firstLine="0" w:firstLineChars="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自评的方法和过程</w:t>
      </w:r>
    </w:p>
    <w:p>
      <w:pPr>
        <w:keepNext w:val="0"/>
        <w:keepLines w:val="0"/>
        <w:pageBreakBefore w:val="0"/>
        <w:widowControl/>
        <w:kinsoku/>
        <w:wordWrap/>
        <w:overflowPunct/>
        <w:topLinePunct w:val="0"/>
        <w:autoSpaceDN/>
        <w:bidi w:val="0"/>
        <w:adjustRightInd w:val="0"/>
        <w:snapToGrid w:val="0"/>
        <w:spacing w:line="360" w:lineRule="auto"/>
        <w:ind w:firstLine="640" w:firstLineChars="200"/>
        <w:jc w:val="left"/>
        <w:textAlignment w:val="auto"/>
        <w:outlineLvl w:val="9"/>
        <w:rPr>
          <w:rFonts w:hint="eastAsia" w:ascii="仿宋" w:hAnsi="仿宋" w:eastAsia="仿宋" w:cs="仿宋"/>
          <w:b/>
          <w:bCs/>
          <w:sz w:val="32"/>
          <w:szCs w:val="32"/>
        </w:rPr>
      </w:pPr>
      <w:r>
        <w:rPr>
          <w:rFonts w:hint="eastAsia" w:ascii="仿宋" w:hAnsi="仿宋" w:eastAsia="仿宋" w:cs="仿宋"/>
          <w:color w:val="000000"/>
          <w:kern w:val="0"/>
          <w:sz w:val="32"/>
          <w:szCs w:val="32"/>
          <w:lang w:val="en-US" w:eastAsia="zh-CN"/>
        </w:rPr>
        <w:t>本次绩效评价采用以下方法：一是资料整理法。通过对相关记账凭证和业务合同等财务资料查阅、核实、汇总分析，评价项目资金使用规范性、支出范围的相关性和合理性等指标。二是访谈调查法。了解干警和当事人的满意程度。</w:t>
      </w:r>
    </w:p>
    <w:p>
      <w:pPr>
        <w:keepNext w:val="0"/>
        <w:keepLines w:val="0"/>
        <w:pageBreakBefore w:val="0"/>
        <w:widowControl w:val="0"/>
        <w:kinsoku/>
        <w:wordWrap/>
        <w:overflowPunct/>
        <w:topLinePunct w:val="0"/>
        <w:autoSpaceDN/>
        <w:bidi w:val="0"/>
        <w:adjustRightInd w:val="0"/>
        <w:snapToGrid w:val="0"/>
        <w:spacing w:line="360" w:lineRule="auto"/>
        <w:ind w:left="0" w:leftChars="0" w:right="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rPr>
        <w:t xml:space="preserve">     </w:t>
      </w:r>
      <w:r>
        <w:rPr>
          <w:rFonts w:hint="eastAsia" w:ascii="仿宋" w:hAnsi="仿宋" w:eastAsia="仿宋" w:cs="仿宋"/>
          <w:sz w:val="32"/>
          <w:szCs w:val="32"/>
        </w:rPr>
        <w:t>三、</w:t>
      </w:r>
      <w:r>
        <w:rPr>
          <w:rFonts w:hint="eastAsia" w:ascii="仿宋" w:hAnsi="仿宋" w:eastAsia="仿宋" w:cs="仿宋"/>
          <w:sz w:val="32"/>
          <w:szCs w:val="32"/>
          <w:lang w:eastAsia="zh-CN"/>
        </w:rPr>
        <w:t>部门整体支出</w:t>
      </w:r>
      <w:r>
        <w:rPr>
          <w:rFonts w:hint="eastAsia" w:ascii="仿宋" w:hAnsi="仿宋" w:eastAsia="仿宋" w:cs="仿宋"/>
          <w:sz w:val="32"/>
          <w:szCs w:val="32"/>
        </w:rPr>
        <w:t>绩效</w:t>
      </w:r>
      <w:r>
        <w:rPr>
          <w:rFonts w:hint="eastAsia" w:ascii="仿宋" w:hAnsi="仿宋" w:eastAsia="仿宋" w:cs="仿宋"/>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eastAsia="zh-CN"/>
        </w:rPr>
        <w:t>总体绩效目标实现情况</w:t>
      </w:r>
    </w:p>
    <w:p>
      <w:pPr>
        <w:keepNext w:val="0"/>
        <w:keepLines w:val="0"/>
        <w:pageBreakBefore w:val="0"/>
        <w:widowControl/>
        <w:suppressLineNumbers w:val="0"/>
        <w:kinsoku/>
        <w:overflowPunct/>
        <w:topLinePunct w:val="0"/>
        <w:autoSpaceDE w:val="0"/>
        <w:autoSpaceDN/>
        <w:bidi w:val="0"/>
        <w:adjustRightInd/>
        <w:snapToGrid/>
        <w:spacing w:before="0" w:beforeAutospacing="0" w:after="0" w:afterAutospacing="0" w:line="360" w:lineRule="auto"/>
        <w:ind w:right="0" w:firstLine="640" w:firstLineChars="200"/>
        <w:jc w:val="both"/>
        <w:textAlignment w:val="auto"/>
        <w:rPr>
          <w:rFonts w:hint="eastAsia" w:ascii="仿宋" w:hAnsi="仿宋" w:eastAsia="仿宋" w:cs="仿宋"/>
          <w:color w:val="auto"/>
          <w:sz w:val="32"/>
          <w:szCs w:val="32"/>
          <w:highlight w:val="none"/>
          <w:u w:val="none"/>
        </w:rPr>
      </w:pPr>
      <w:r>
        <w:rPr>
          <w:rFonts w:hint="eastAsia" w:ascii="仿宋" w:hAnsi="仿宋" w:eastAsia="仿宋" w:cs="仿宋"/>
          <w:color w:val="auto"/>
          <w:kern w:val="0"/>
          <w:sz w:val="32"/>
          <w:szCs w:val="32"/>
          <w:highlight w:val="none"/>
          <w:u w:val="none"/>
          <w:lang w:val="en-US" w:eastAsia="zh-CN" w:bidi="ar"/>
        </w:rPr>
        <w:t>2023年，新华区法院在区委坚强领导，区人大有力监督，区政府、区政协和社会各界的关心支持下，牢牢坚持以习近平新时代中国特色社会主义思想为指导，深入学习贯彻习近平法治思想，全面贯彻党的二十大和二十届二中全会精神，认真学习领会习近平总书记视察河北重要讲话精神，紧扣全区发展大局，紧扣民生关心关切，围绕</w:t>
      </w:r>
      <w:r>
        <w:rPr>
          <w:rFonts w:hint="eastAsia" w:ascii="仿宋" w:hAnsi="仿宋" w:eastAsia="仿宋" w:cs="仿宋"/>
          <w:b w:val="0"/>
          <w:color w:val="auto"/>
          <w:kern w:val="0"/>
          <w:sz w:val="32"/>
          <w:szCs w:val="32"/>
          <w:highlight w:val="none"/>
          <w:u w:val="none"/>
          <w:lang w:val="en-US" w:eastAsia="zh-CN" w:bidi="ar"/>
        </w:rPr>
        <w:t>“公正与效率”主题，</w:t>
      </w:r>
      <w:r>
        <w:rPr>
          <w:rFonts w:hint="eastAsia" w:ascii="仿宋" w:hAnsi="仿宋" w:eastAsia="仿宋" w:cs="仿宋"/>
          <w:color w:val="auto"/>
          <w:kern w:val="0"/>
          <w:sz w:val="32"/>
          <w:szCs w:val="32"/>
          <w:highlight w:val="none"/>
          <w:u w:val="none"/>
          <w:lang w:val="en-US" w:eastAsia="zh-CN" w:bidi="ar"/>
        </w:rPr>
        <w:t>按照“一二三五”整体工作思路，</w:t>
      </w:r>
      <w:r>
        <w:rPr>
          <w:rFonts w:hint="eastAsia" w:ascii="仿宋" w:hAnsi="仿宋" w:eastAsia="仿宋" w:cs="仿宋"/>
          <w:b w:val="0"/>
          <w:color w:val="auto"/>
          <w:kern w:val="0"/>
          <w:sz w:val="32"/>
          <w:szCs w:val="32"/>
          <w:highlight w:val="none"/>
          <w:u w:val="none"/>
          <w:lang w:val="en-US" w:eastAsia="zh-CN" w:bidi="ar"/>
        </w:rPr>
        <w:t>忠实履行审判职责，全面加强自身建设，</w:t>
      </w:r>
      <w:r>
        <w:rPr>
          <w:rFonts w:hint="eastAsia" w:ascii="仿宋" w:hAnsi="仿宋" w:eastAsia="仿宋" w:cs="仿宋"/>
          <w:b w:val="0"/>
          <w:bCs/>
          <w:color w:val="auto"/>
          <w:kern w:val="0"/>
          <w:sz w:val="32"/>
          <w:szCs w:val="32"/>
          <w:highlight w:val="none"/>
          <w:u w:val="none"/>
          <w:lang w:val="en-US" w:eastAsia="zh-CN" w:bidi="ar"/>
        </w:rPr>
        <w:t>为推进辖区经济社会高质量发展提供了坚实司法保障。</w:t>
      </w:r>
      <w:r>
        <w:rPr>
          <w:rFonts w:hint="eastAsia" w:ascii="仿宋" w:hAnsi="仿宋" w:eastAsia="仿宋" w:cs="仿宋"/>
          <w:color w:val="auto"/>
          <w:kern w:val="0"/>
          <w:sz w:val="32"/>
          <w:szCs w:val="32"/>
          <w:highlight w:val="none"/>
          <w:u w:val="none"/>
          <w:lang w:val="en-US" w:eastAsia="zh-CN" w:bidi="ar"/>
        </w:rPr>
        <w:t>全年共受理各类案件22408件，结案20082件，法官人均结案523件。</w:t>
      </w:r>
    </w:p>
    <w:p>
      <w:pPr>
        <w:keepNext w:val="0"/>
        <w:keepLines w:val="0"/>
        <w:pageBreakBefore w:val="0"/>
        <w:widowControl w:val="0"/>
        <w:kinsoku/>
        <w:wordWrap/>
        <w:overflowPunct/>
        <w:topLinePunct w:val="0"/>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color w:val="auto"/>
          <w:kern w:val="0"/>
          <w:sz w:val="32"/>
          <w:szCs w:val="32"/>
          <w:highlight w:val="none"/>
          <w:u w:val="none"/>
          <w:shd w:val="clear" w:color="auto" w:fill="FFFFFF"/>
          <w:lang w:val="en-US" w:eastAsia="zh-CN" w:bidi="ar"/>
        </w:rPr>
      </w:pPr>
      <w:r>
        <w:rPr>
          <w:rFonts w:hint="eastAsia" w:ascii="仿宋" w:hAnsi="仿宋" w:eastAsia="仿宋" w:cs="仿宋"/>
          <w:b/>
          <w:bCs w:val="0"/>
          <w:color w:val="auto"/>
          <w:kern w:val="0"/>
          <w:sz w:val="32"/>
          <w:szCs w:val="32"/>
          <w:highlight w:val="none"/>
          <w:u w:val="none"/>
          <w:shd w:val="clear" w:color="auto" w:fill="FFFFFF"/>
          <w:lang w:val="en-US" w:eastAsia="zh-CN" w:bidi="ar"/>
        </w:rPr>
        <w:t>严惩犯罪保障社会安定。</w:t>
      </w:r>
      <w:r>
        <w:rPr>
          <w:rFonts w:hint="eastAsia" w:ascii="仿宋" w:hAnsi="仿宋" w:eastAsia="仿宋" w:cs="仿宋"/>
          <w:color w:val="auto"/>
          <w:kern w:val="0"/>
          <w:sz w:val="32"/>
          <w:szCs w:val="32"/>
          <w:highlight w:val="none"/>
          <w:u w:val="none"/>
          <w:shd w:val="clear" w:color="auto" w:fill="FFFFFF"/>
          <w:lang w:val="en-US" w:eastAsia="zh-CN" w:bidi="ar"/>
        </w:rPr>
        <w:t>全面贯彻总体国家安全观，共审结刑事案件805件1133人。严厉打击侵害群众生命财产安全犯罪，审结故意伤害、强奸等侵害公民人身权利犯罪案件36件，盗窃、诈骗、抢夺等侵财犯罪案件148件。</w:t>
      </w:r>
    </w:p>
    <w:p>
      <w:pPr>
        <w:keepNext w:val="0"/>
        <w:keepLines w:val="0"/>
        <w:pageBreakBefore w:val="0"/>
        <w:widowControl w:val="0"/>
        <w:kinsoku/>
        <w:wordWrap/>
        <w:overflowPunct/>
        <w:topLinePunct w:val="0"/>
        <w:autoSpaceDE/>
        <w:autoSpaceDN/>
        <w:bidi w:val="0"/>
        <w:adjustRightInd/>
        <w:snapToGrid/>
        <w:spacing w:beforeAutospacing="0" w:afterAutospacing="0" w:line="360" w:lineRule="auto"/>
        <w:ind w:firstLine="640" w:firstLineChars="200"/>
        <w:jc w:val="both"/>
        <w:textAlignment w:val="auto"/>
        <w:rPr>
          <w:rFonts w:hint="eastAsia" w:ascii="仿宋" w:hAnsi="仿宋" w:eastAsia="仿宋" w:cs="仿宋"/>
          <w:b w:val="0"/>
          <w:bCs w:val="0"/>
          <w:color w:val="auto"/>
          <w:kern w:val="0"/>
          <w:sz w:val="32"/>
          <w:szCs w:val="32"/>
          <w:highlight w:val="none"/>
          <w:u w:val="none"/>
          <w:shd w:val="clear" w:color="auto" w:fill="FFFFFF"/>
          <w:lang w:val="en-US" w:eastAsia="zh-CN" w:bidi="ar"/>
        </w:rPr>
      </w:pPr>
      <w:r>
        <w:rPr>
          <w:rFonts w:hint="eastAsia" w:ascii="仿宋" w:hAnsi="仿宋" w:eastAsia="仿宋" w:cs="仿宋"/>
          <w:b w:val="0"/>
          <w:bCs w:val="0"/>
          <w:color w:val="auto"/>
          <w:kern w:val="0"/>
          <w:sz w:val="32"/>
          <w:szCs w:val="32"/>
          <w:highlight w:val="none"/>
          <w:u w:val="none"/>
          <w:shd w:val="clear" w:color="auto" w:fill="FFFFFF"/>
          <w:lang w:val="en-US" w:eastAsia="zh-CN" w:bidi="ar"/>
        </w:rPr>
        <w:t>2023年，我院共有3个集体、7名个人获得市级以上表彰。其中，我院荣获“全省打击传销工作突出单位”；行政审判庭（综合审判庭）荣获“全省法院行政审判工作先进集体”称号；民事审判庭荣获市中院“集体三等功”；郭健同志荣获省高院“冀执利剑集中执行攻坚行动先进个人”称号。</w:t>
      </w:r>
    </w:p>
    <w:p>
      <w:pPr>
        <w:keepNext w:val="0"/>
        <w:keepLines w:val="0"/>
        <w:pageBreakBefore w:val="0"/>
        <w:widowControl w:val="0"/>
        <w:kinsoku/>
        <w:wordWrap/>
        <w:overflowPunct/>
        <w:topLinePunct w:val="0"/>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val="0"/>
          <w:bCs/>
          <w:sz w:val="32"/>
          <w:szCs w:val="32"/>
          <w:lang w:val="en-US" w:eastAsia="zh-CN"/>
        </w:rPr>
      </w:pPr>
      <w:r>
        <w:rPr>
          <w:rFonts w:hint="eastAsia" w:ascii="仿宋" w:hAnsi="仿宋" w:eastAsia="仿宋" w:cs="仿宋"/>
          <w:b/>
          <w:bCs/>
          <w:sz w:val="32"/>
          <w:szCs w:val="32"/>
        </w:rPr>
        <w:t>（二）</w:t>
      </w:r>
      <w:r>
        <w:rPr>
          <w:rFonts w:hint="eastAsia" w:ascii="仿宋" w:hAnsi="仿宋" w:eastAsia="仿宋" w:cs="仿宋"/>
          <w:b/>
          <w:bCs/>
          <w:sz w:val="32"/>
          <w:szCs w:val="32"/>
          <w:lang w:eastAsia="zh-CN"/>
        </w:rPr>
        <w:t>分项绩效目标实现情况及指标分析</w:t>
      </w:r>
    </w:p>
    <w:p>
      <w:pPr>
        <w:pStyle w:val="4"/>
        <w:keepNext w:val="0"/>
        <w:keepLines w:val="0"/>
        <w:pageBreakBefore w:val="0"/>
        <w:widowControl w:val="0"/>
        <w:numPr>
          <w:ilvl w:val="0"/>
          <w:numId w:val="0"/>
        </w:numPr>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1.案件审判管理和执行</w:t>
      </w:r>
    </w:p>
    <w:p>
      <w:pPr>
        <w:pStyle w:val="4"/>
        <w:keepNext w:val="0"/>
        <w:keepLines w:val="0"/>
        <w:pageBreakBefore w:val="0"/>
        <w:widowControl w:val="0"/>
        <w:numPr>
          <w:ilvl w:val="0"/>
          <w:numId w:val="0"/>
        </w:numPr>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绩效目标：妥善处理各类矛盾纠纷，依法维护人民各项权益，维护社会稳定和谐，严惩各类犯罪行为，营造良好的法治环境。</w:t>
      </w:r>
    </w:p>
    <w:p>
      <w:pPr>
        <w:keepNext w:val="0"/>
        <w:keepLines w:val="0"/>
        <w:pageBreakBefore w:val="0"/>
        <w:widowControl w:val="0"/>
        <w:suppressLineNumbers w:val="0"/>
        <w:kinsoku/>
        <w:wordWrap w:val="0"/>
        <w:overflowPunct/>
        <w:topLinePunct w:val="0"/>
        <w:autoSpaceDE w:val="0"/>
        <w:autoSpaceDN/>
        <w:bidi w:val="0"/>
        <w:adjustRightInd/>
        <w:snapToGrid/>
        <w:spacing w:before="0" w:beforeAutospacing="0" w:after="0" w:afterAutospacing="0" w:line="360" w:lineRule="auto"/>
        <w:ind w:left="0" w:leftChars="0" w:right="0" w:firstLine="640" w:firstLineChars="200"/>
        <w:jc w:val="both"/>
        <w:textAlignment w:val="auto"/>
        <w:rPr>
          <w:rFonts w:hint="eastAsia" w:ascii="仿宋" w:hAnsi="仿宋" w:eastAsia="仿宋" w:cs="仿宋"/>
          <w:color w:val="auto"/>
          <w:kern w:val="0"/>
          <w:sz w:val="32"/>
          <w:szCs w:val="32"/>
          <w:highlight w:val="none"/>
          <w:u w:val="none"/>
          <w:lang w:val="en-US" w:eastAsia="zh-CN" w:bidi="ar"/>
        </w:rPr>
      </w:pPr>
      <w:r>
        <w:rPr>
          <w:rFonts w:hint="eastAsia" w:ascii="仿宋" w:hAnsi="仿宋" w:eastAsia="仿宋" w:cs="仿宋"/>
          <w:b w:val="0"/>
          <w:bCs/>
          <w:sz w:val="32"/>
          <w:szCs w:val="32"/>
          <w:lang w:val="en-US" w:eastAsia="zh-CN"/>
        </w:rPr>
        <w:t>绩效指标：</w:t>
      </w:r>
      <w:r>
        <w:rPr>
          <w:rFonts w:hint="eastAsia" w:ascii="仿宋" w:hAnsi="仿宋" w:eastAsia="仿宋" w:cs="仿宋"/>
          <w:color w:val="auto"/>
          <w:kern w:val="0"/>
          <w:sz w:val="32"/>
          <w:szCs w:val="32"/>
          <w:highlight w:val="none"/>
          <w:u w:val="none"/>
          <w:lang w:val="en-US" w:eastAsia="zh-CN" w:bidi="ar"/>
        </w:rPr>
        <w:t>做优服务保障，增进民生福祉，共审结民商事案件10120件，调解、撤诉3823件。加强民生司法保护，审结教育、医疗、劳动争议案件564件，保障学有所教、病有所医、劳有所得；审结房屋买卖、建设工程、物业服务等案件1285件，保障住有所居、居有所安、安有所乐；审结抚养、赡养、婚姻等家事纠纷案件722件，保障幼有所育、老有所养、弱有所扶，助力和谐家庭建设、和谐氛围营造。</w:t>
      </w:r>
    </w:p>
    <w:p>
      <w:pPr>
        <w:pStyle w:val="4"/>
        <w:keepNext w:val="0"/>
        <w:keepLines w:val="0"/>
        <w:pageBreakBefore w:val="0"/>
        <w:widowControl w:val="0"/>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2.司法救助和国家赔偿</w:t>
      </w:r>
    </w:p>
    <w:p>
      <w:pPr>
        <w:pStyle w:val="4"/>
        <w:keepNext w:val="0"/>
        <w:keepLines w:val="0"/>
        <w:pageBreakBefore w:val="0"/>
        <w:widowControl w:val="0"/>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绩效目标：完成涉法涉诉类案件的息诉罢访工作，依法办理国家赔偿案件。</w:t>
      </w:r>
    </w:p>
    <w:p>
      <w:pPr>
        <w:keepNext w:val="0"/>
        <w:keepLines w:val="0"/>
        <w:pageBreakBefore w:val="0"/>
        <w:widowControl w:val="0"/>
        <w:suppressLineNumbers w:val="0"/>
        <w:kinsoku/>
        <w:wordWrap w:val="0"/>
        <w:overflowPunct/>
        <w:topLinePunct w:val="0"/>
        <w:autoSpaceDE w:val="0"/>
        <w:autoSpaceDN/>
        <w:bidi w:val="0"/>
        <w:adjustRightInd/>
        <w:snapToGrid/>
        <w:spacing w:before="0" w:beforeAutospacing="0" w:after="0" w:afterAutospacing="0" w:line="360" w:lineRule="auto"/>
        <w:ind w:right="0" w:firstLine="640" w:firstLineChars="200"/>
        <w:jc w:val="both"/>
        <w:textAlignment w:val="auto"/>
        <w:rPr>
          <w:rFonts w:hint="eastAsia" w:ascii="仿宋" w:hAnsi="仿宋" w:eastAsia="仿宋" w:cs="仿宋"/>
          <w:color w:val="auto"/>
          <w:sz w:val="32"/>
          <w:szCs w:val="32"/>
          <w:highlight w:val="none"/>
          <w:u w:val="none"/>
        </w:rPr>
      </w:pPr>
      <w:r>
        <w:rPr>
          <w:rFonts w:hint="eastAsia" w:ascii="仿宋" w:hAnsi="仿宋" w:eastAsia="仿宋" w:cs="仿宋"/>
          <w:b w:val="0"/>
          <w:bCs/>
          <w:sz w:val="32"/>
          <w:szCs w:val="32"/>
          <w:lang w:val="en-US" w:eastAsia="zh-CN"/>
        </w:rPr>
        <w:t xml:space="preserve"> 绩效指标：</w:t>
      </w:r>
      <w:r>
        <w:rPr>
          <w:rFonts w:hint="eastAsia" w:ascii="仿宋" w:hAnsi="仿宋" w:eastAsia="仿宋" w:cs="仿宋"/>
          <w:color w:val="auto"/>
          <w:kern w:val="0"/>
          <w:sz w:val="32"/>
          <w:szCs w:val="32"/>
          <w:highlight w:val="none"/>
          <w:u w:val="none"/>
          <w:lang w:val="en-US" w:eastAsia="zh-CN" w:bidi="ar"/>
        </w:rPr>
        <w:t>聚焦群众急难愁盼，推出便民利民举措10项。加强弱势群体诉讼权益保护，为困难当事人缓减免诉讼费87.24万元，发放救助金28万元，全力彰显司法温情。</w:t>
      </w:r>
      <w:r>
        <w:rPr>
          <w:rFonts w:hint="eastAsia" w:ascii="仿宋" w:hAnsi="仿宋" w:eastAsia="仿宋" w:cs="仿宋"/>
          <w:b w:val="0"/>
          <w:color w:val="auto"/>
          <w:kern w:val="0"/>
          <w:sz w:val="32"/>
          <w:szCs w:val="32"/>
          <w:highlight w:val="none"/>
          <w:u w:val="none"/>
          <w:lang w:val="en-US" w:eastAsia="zh-CN" w:bidi="ar"/>
        </w:rPr>
        <w:t>畅通信访渠道，引导群众依法合理表达诉求，不断提高用法治思维和法治方式解决问题的能力。今年以来，</w:t>
      </w:r>
      <w:r>
        <w:rPr>
          <w:rFonts w:hint="eastAsia" w:ascii="仿宋" w:hAnsi="仿宋" w:eastAsia="仿宋" w:cs="仿宋"/>
          <w:color w:val="auto"/>
          <w:kern w:val="0"/>
          <w:sz w:val="32"/>
          <w:szCs w:val="32"/>
          <w:highlight w:val="none"/>
          <w:u w:val="none"/>
          <w:lang w:val="en-US" w:eastAsia="zh-CN" w:bidi="ar"/>
        </w:rPr>
        <w:t>接待涉法涉诉信访群众132案176人次，处理来信49件、网上投诉105件，院长带头下沉接待群众48人次，有效化解信访积案25件。</w:t>
      </w:r>
      <w:r>
        <w:rPr>
          <w:rFonts w:hint="eastAsia" w:ascii="仿宋" w:hAnsi="仿宋" w:eastAsia="仿宋" w:cs="仿宋"/>
          <w:b w:val="0"/>
          <w:i w:val="0"/>
          <w:color w:val="auto"/>
          <w:spacing w:val="0"/>
          <w:kern w:val="0"/>
          <w:sz w:val="32"/>
          <w:szCs w:val="32"/>
          <w:highlight w:val="none"/>
          <w:u w:val="none"/>
          <w:lang w:val="en-US" w:eastAsia="zh-CN" w:bidi="ar"/>
        </w:rPr>
        <w:t>选派力量开展驻村扶贫，我院69名干警结对帮扶132户贫困户，现已全部实现脱贫。</w:t>
      </w:r>
    </w:p>
    <w:p>
      <w:pPr>
        <w:pStyle w:val="4"/>
        <w:keepNext w:val="0"/>
        <w:keepLines w:val="0"/>
        <w:pageBreakBefore w:val="0"/>
        <w:widowControl w:val="0"/>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i w:val="0"/>
          <w:iCs w:val="0"/>
          <w:caps w:val="0"/>
          <w:color w:val="auto"/>
          <w:spacing w:val="0"/>
          <w:sz w:val="32"/>
          <w:szCs w:val="32"/>
          <w:highlight w:val="none"/>
          <w:u w:val="none" w:color="auto"/>
          <w:shd w:val="clear" w:fill="FFFFFF"/>
          <w:vertAlign w:val="baseline"/>
          <w:lang w:val="en-US" w:eastAsia="zh-CN"/>
        </w:rPr>
      </w:pP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lang w:val="en-US" w:eastAsia="zh-CN"/>
        </w:rPr>
        <w:t>认真开展</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rPr>
        <w:t>信访案件评查、终结、公开听证等工作，不断加大司法救助力度，</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lang w:eastAsia="zh-CN"/>
        </w:rPr>
        <w:t>全年</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rPr>
        <w:t>共救助</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lang w:val="en-US" w:eastAsia="zh-CN"/>
        </w:rPr>
        <w:t>9</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rPr>
        <w:t>案</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lang w:val="en-US" w:eastAsia="zh-CN"/>
        </w:rPr>
        <w:t>9</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rPr>
        <w:t>人次，救助金额</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lang w:val="en-US" w:eastAsia="zh-CN"/>
        </w:rPr>
        <w:t>20</w:t>
      </w:r>
      <w:r>
        <w:rPr>
          <w:rFonts w:hint="eastAsia" w:ascii="仿宋" w:hAnsi="仿宋" w:eastAsia="仿宋" w:cs="仿宋"/>
          <w:b w:val="0"/>
          <w:bCs/>
          <w:i w:val="0"/>
          <w:iCs w:val="0"/>
          <w:caps w:val="0"/>
          <w:color w:val="auto"/>
          <w:spacing w:val="0"/>
          <w:sz w:val="32"/>
          <w:szCs w:val="32"/>
          <w:highlight w:val="none"/>
          <w:u w:val="none" w:color="auto"/>
          <w:shd w:val="clear" w:fill="FFFFFF"/>
          <w:vertAlign w:val="baseline"/>
        </w:rPr>
        <w:t>万元，为群众纾困解难，提升信访工作实效。</w:t>
      </w:r>
    </w:p>
    <w:p>
      <w:pPr>
        <w:keepNext w:val="0"/>
        <w:keepLines w:val="0"/>
        <w:pageBreakBefore w:val="0"/>
        <w:widowControl w:val="0"/>
        <w:kinsoku/>
        <w:wordWrap/>
        <w:overflowPunct/>
        <w:topLinePunct w:val="0"/>
        <w:autoSpaceDN/>
        <w:bidi w:val="0"/>
        <w:adjustRightInd w:val="0"/>
        <w:snapToGrid w:val="0"/>
        <w:spacing w:beforeAutospacing="0" w:afterAutospacing="0" w:line="360" w:lineRule="auto"/>
        <w:ind w:firstLine="640" w:firstLineChars="200"/>
        <w:textAlignment w:val="auto"/>
        <w:rPr>
          <w:rFonts w:hint="eastAsia" w:ascii="仿宋" w:hAnsi="仿宋" w:eastAsia="仿宋" w:cs="仿宋"/>
          <w:i w:val="0"/>
          <w:iCs w:val="0"/>
          <w:caps w:val="0"/>
          <w:color w:val="auto"/>
          <w:spacing w:val="0"/>
          <w:sz w:val="32"/>
          <w:szCs w:val="32"/>
          <w:highlight w:val="none"/>
          <w:u w:val="none" w:color="auto"/>
          <w:shd w:val="clear" w:fill="FFFFFF"/>
          <w:vertAlign w:val="baseline"/>
        </w:rPr>
      </w:pPr>
      <w:r>
        <w:rPr>
          <w:rFonts w:hint="eastAsia" w:ascii="仿宋" w:hAnsi="仿宋" w:eastAsia="仿宋" w:cs="仿宋"/>
          <w:i w:val="0"/>
          <w:iCs w:val="0"/>
          <w:caps w:val="0"/>
          <w:color w:val="auto"/>
          <w:spacing w:val="0"/>
          <w:sz w:val="32"/>
          <w:szCs w:val="32"/>
          <w:highlight w:val="none"/>
          <w:u w:val="none" w:color="auto"/>
          <w:shd w:val="clear" w:fill="FFFFFF"/>
          <w:vertAlign w:val="baseline"/>
          <w:lang w:val="en-US" w:eastAsia="zh-CN"/>
        </w:rPr>
        <w:t>3.</w:t>
      </w:r>
      <w:r>
        <w:rPr>
          <w:rFonts w:hint="eastAsia" w:ascii="仿宋" w:hAnsi="仿宋" w:eastAsia="仿宋" w:cs="仿宋"/>
          <w:i w:val="0"/>
          <w:iCs w:val="0"/>
          <w:caps w:val="0"/>
          <w:color w:val="auto"/>
          <w:spacing w:val="0"/>
          <w:sz w:val="32"/>
          <w:szCs w:val="32"/>
          <w:highlight w:val="none"/>
          <w:u w:val="none" w:color="auto"/>
          <w:shd w:val="clear" w:fill="FFFFFF"/>
          <w:vertAlign w:val="baseline"/>
        </w:rPr>
        <w:t>法院事务管理</w:t>
      </w:r>
    </w:p>
    <w:p>
      <w:pPr>
        <w:keepNext w:val="0"/>
        <w:keepLines w:val="0"/>
        <w:pageBreakBefore w:val="0"/>
        <w:widowControl w:val="0"/>
        <w:kinsoku/>
        <w:wordWrap/>
        <w:overflowPunct/>
        <w:topLinePunct w:val="0"/>
        <w:autoSpaceDN/>
        <w:bidi w:val="0"/>
        <w:adjustRightInd w:val="0"/>
        <w:snapToGrid w:val="0"/>
        <w:spacing w:beforeAutospacing="0" w:afterAutospacing="0" w:line="36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绩效目标：加强法院系统队伍建设，提高队伍素质和执法能力，加强法院基础设施及信息化建设，加强培训及法院文化建设；建立绩效考核制度，加强对外宣传以及舆论引导，树立法院良好形象。</w:t>
      </w:r>
    </w:p>
    <w:p>
      <w:pPr>
        <w:keepNext w:val="0"/>
        <w:keepLines w:val="0"/>
        <w:pageBreakBefore w:val="0"/>
        <w:widowControl w:val="0"/>
        <w:suppressLineNumbers w:val="0"/>
        <w:kinsoku/>
        <w:overflowPunct/>
        <w:topLinePunct w:val="0"/>
        <w:autoSpaceDE w:val="0"/>
        <w:autoSpaceDN/>
        <w:bidi w:val="0"/>
        <w:adjustRightInd/>
        <w:snapToGrid/>
        <w:spacing w:before="0" w:beforeAutospacing="0" w:after="0" w:afterAutospacing="0" w:line="360" w:lineRule="auto"/>
        <w:ind w:left="0" w:leftChars="0" w:right="0" w:firstLine="640" w:firstLineChars="200"/>
        <w:jc w:val="both"/>
        <w:textAlignment w:val="auto"/>
        <w:rPr>
          <w:rFonts w:hint="eastAsia" w:ascii="仿宋" w:hAnsi="仿宋" w:eastAsia="仿宋" w:cs="仿宋"/>
          <w:color w:val="auto"/>
          <w:kern w:val="0"/>
          <w:sz w:val="32"/>
          <w:szCs w:val="32"/>
          <w:highlight w:val="none"/>
          <w:u w:val="none"/>
          <w:lang w:val="en-US" w:eastAsia="zh-CN" w:bidi="ar"/>
        </w:rPr>
      </w:pPr>
      <w:r>
        <w:rPr>
          <w:rFonts w:hint="eastAsia" w:ascii="仿宋" w:hAnsi="仿宋" w:eastAsia="仿宋" w:cs="仿宋"/>
          <w:sz w:val="32"/>
          <w:szCs w:val="32"/>
        </w:rPr>
        <w:t>绩效指标：</w:t>
      </w:r>
      <w:r>
        <w:rPr>
          <w:rFonts w:hint="eastAsia" w:ascii="仿宋" w:hAnsi="仿宋" w:eastAsia="仿宋" w:cs="仿宋"/>
          <w:color w:val="auto"/>
          <w:kern w:val="0"/>
          <w:sz w:val="32"/>
          <w:szCs w:val="32"/>
          <w:highlight w:val="none"/>
          <w:u w:val="none"/>
          <w:lang w:val="en-US" w:eastAsia="zh-CN" w:bidi="ar"/>
        </w:rPr>
        <w:t>认真落实“一校一法官”工作，60名法官（助理）包联64所学校，实现公办学校全覆盖，通过举办“开学第一课”法治宣讲活动，推动法治文化走进校园。</w:t>
      </w:r>
    </w:p>
    <w:p>
      <w:pPr>
        <w:keepNext w:val="0"/>
        <w:keepLines w:val="0"/>
        <w:pageBreakBefore w:val="0"/>
        <w:widowControl w:val="0"/>
        <w:suppressLineNumbers w:val="0"/>
        <w:kinsoku/>
        <w:overflowPunct/>
        <w:topLinePunct w:val="0"/>
        <w:autoSpaceDE w:val="0"/>
        <w:autoSpaceDN/>
        <w:bidi w:val="0"/>
        <w:adjustRightInd/>
        <w:snapToGrid/>
        <w:spacing w:before="0" w:beforeAutospacing="0" w:after="0" w:afterAutospacing="0" w:line="360" w:lineRule="auto"/>
        <w:ind w:right="0"/>
        <w:jc w:val="both"/>
        <w:textAlignment w:val="auto"/>
        <w:rPr>
          <w:rFonts w:hint="eastAsia" w:ascii="仿宋" w:hAnsi="仿宋" w:eastAsia="仿宋" w:cs="仿宋"/>
          <w:color w:val="auto"/>
          <w:kern w:val="0"/>
          <w:sz w:val="32"/>
          <w:szCs w:val="32"/>
          <w:highlight w:val="none"/>
          <w:u w:val="none"/>
          <w:lang w:val="en-US" w:eastAsia="zh-CN" w:bidi="ar"/>
        </w:rPr>
      </w:pPr>
      <w:r>
        <w:rPr>
          <w:rFonts w:hint="eastAsia" w:ascii="仿宋" w:hAnsi="仿宋" w:eastAsia="仿宋" w:cs="仿宋"/>
          <w:color w:val="auto"/>
          <w:kern w:val="0"/>
          <w:sz w:val="32"/>
          <w:szCs w:val="32"/>
          <w:highlight w:val="none"/>
          <w:u w:val="none"/>
          <w:lang w:val="en-US" w:eastAsia="zh-CN" w:bidi="ar"/>
        </w:rPr>
        <w:t>创新“法院好声音”普法品牌，集中开展</w:t>
      </w:r>
      <w:r>
        <w:rPr>
          <w:rFonts w:hint="eastAsia" w:ascii="仿宋" w:hAnsi="仿宋" w:eastAsia="仿宋" w:cs="仿宋"/>
          <w:b w:val="0"/>
          <w:bCs w:val="0"/>
          <w:color w:val="auto"/>
          <w:kern w:val="0"/>
          <w:sz w:val="32"/>
          <w:szCs w:val="32"/>
          <w:highlight w:val="none"/>
          <w:u w:val="none"/>
          <w:lang w:val="en-US" w:eastAsia="zh-CN" w:bidi="ar"/>
        </w:rPr>
        <w:t>“能动司法显担当、诉源治理解民忧”主题宣讲活动，组织干警及特邀调解员走进步行街、夜市、公园、社区等地，多形式宣传“三下三进三联动”诉源治理工作体系，被河北日报、河北电视台、石家庄日报等多家媒体宣传报道。通过“两微一端”等新媒体平台发布法院信息动态145</w:t>
      </w:r>
      <w:r>
        <w:rPr>
          <w:rFonts w:hint="eastAsia" w:ascii="仿宋" w:hAnsi="仿宋" w:eastAsia="仿宋" w:cs="仿宋"/>
          <w:color w:val="auto"/>
          <w:kern w:val="0"/>
          <w:sz w:val="32"/>
          <w:szCs w:val="32"/>
          <w:highlight w:val="none"/>
          <w:u w:val="none"/>
          <w:lang w:val="en-US" w:eastAsia="zh-CN" w:bidi="ar"/>
        </w:rPr>
        <w:t>条，让大量鲜活案例成为全民共享的法治公开课。</w:t>
      </w:r>
    </w:p>
    <w:p>
      <w:pPr>
        <w:widowControl w:val="0"/>
        <w:wordWrap/>
        <w:adjustRightInd w:val="0"/>
        <w:snapToGrid w:val="0"/>
        <w:spacing w:beforeAutospacing="0" w:afterAutospacing="0" w:line="360" w:lineRule="auto"/>
        <w:ind w:firstLine="640" w:firstLineChars="200"/>
        <w:jc w:val="left"/>
        <w:textAlignment w:val="auto"/>
        <w:rPr>
          <w:rFonts w:hint="eastAsia" w:ascii="仿宋" w:hAnsi="仿宋" w:eastAsia="仿宋" w:cs="仿宋"/>
          <w:sz w:val="32"/>
          <w:szCs w:val="32"/>
        </w:rPr>
      </w:pPr>
    </w:p>
    <w:tbl>
      <w:tblPr>
        <w:tblStyle w:val="9"/>
        <w:tblW w:w="8759"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62"/>
        <w:gridCol w:w="1081"/>
        <w:gridCol w:w="1298"/>
        <w:gridCol w:w="2072"/>
        <w:gridCol w:w="2154"/>
        <w:gridCol w:w="9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jc w:val="center"/>
        </w:trPr>
        <w:tc>
          <w:tcPr>
            <w:tcW w:w="8759" w:type="dxa"/>
            <w:gridSpan w:val="6"/>
            <w:tcBorders>
              <w:top w:val="nil"/>
              <w:left w:val="nil"/>
              <w:bottom w:val="nil"/>
              <w:right w:val="nil"/>
            </w:tcBorders>
            <w:vAlign w:val="center"/>
          </w:tcPr>
          <w:p>
            <w:pPr>
              <w:widowControl/>
              <w:jc w:val="center"/>
              <w:rPr>
                <w:rFonts w:hint="eastAsia" w:ascii="仿宋" w:hAnsi="仿宋" w:eastAsia="仿宋" w:cs="仿宋"/>
                <w:sz w:val="32"/>
                <w:szCs w:val="32"/>
              </w:rPr>
            </w:pPr>
            <w:r>
              <w:rPr>
                <w:rFonts w:hint="eastAsia" w:ascii="仿宋" w:hAnsi="仿宋" w:eastAsia="仿宋" w:cs="仿宋"/>
                <w:sz w:val="32"/>
                <w:szCs w:val="32"/>
              </w:rPr>
              <w:t>部门整体支出绩效表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09" w:hRule="atLeast"/>
          <w:jc w:val="center"/>
        </w:trPr>
        <w:tc>
          <w:tcPr>
            <w:tcW w:w="116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一级指标</w:t>
            </w:r>
          </w:p>
        </w:tc>
        <w:tc>
          <w:tcPr>
            <w:tcW w:w="1081"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二级指标</w:t>
            </w:r>
          </w:p>
        </w:tc>
        <w:tc>
          <w:tcPr>
            <w:tcW w:w="1298"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三级指标</w:t>
            </w:r>
          </w:p>
        </w:tc>
        <w:tc>
          <w:tcPr>
            <w:tcW w:w="207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rPr>
            </w:pPr>
            <w:r>
              <w:rPr>
                <w:rFonts w:hint="eastAsia" w:ascii="仿宋" w:hAnsi="仿宋" w:eastAsia="仿宋" w:cs="仿宋"/>
                <w:b/>
                <w:bCs/>
                <w:kern w:val="0"/>
                <w:sz w:val="32"/>
                <w:szCs w:val="32"/>
              </w:rPr>
              <w:t>绩效指标描述</w:t>
            </w:r>
          </w:p>
        </w:tc>
        <w:tc>
          <w:tcPr>
            <w:tcW w:w="21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lang w:eastAsia="zh-CN"/>
              </w:rPr>
            </w:pPr>
            <w:r>
              <w:rPr>
                <w:rFonts w:hint="eastAsia" w:ascii="仿宋" w:hAnsi="仿宋" w:eastAsia="仿宋" w:cs="仿宋"/>
                <w:b/>
                <w:bCs/>
                <w:kern w:val="0"/>
                <w:sz w:val="32"/>
                <w:szCs w:val="32"/>
                <w:lang w:eastAsia="zh-CN"/>
              </w:rPr>
              <w:t>评分标准</w:t>
            </w:r>
          </w:p>
        </w:tc>
        <w:tc>
          <w:tcPr>
            <w:tcW w:w="99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kern w:val="0"/>
                <w:sz w:val="32"/>
                <w:szCs w:val="32"/>
                <w:lang w:eastAsia="zh-CN"/>
              </w:rPr>
            </w:pPr>
            <w:r>
              <w:rPr>
                <w:rFonts w:hint="eastAsia" w:ascii="仿宋" w:hAnsi="仿宋" w:eastAsia="仿宋" w:cs="仿宋"/>
                <w:b/>
                <w:bCs/>
                <w:kern w:val="0"/>
                <w:sz w:val="32"/>
                <w:szCs w:val="32"/>
                <w:lang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1162" w:type="dxa"/>
            <w:vMerge w:val="restart"/>
            <w:tcBorders>
              <w:top w:val="nil"/>
              <w:left w:val="single" w:color="auto" w:sz="4" w:space="0"/>
              <w:right w:val="single" w:color="auto" w:sz="4" w:space="0"/>
            </w:tcBorders>
            <w:vAlign w:val="center"/>
          </w:tcPr>
          <w:p>
            <w:pPr>
              <w:widowControl/>
              <w:jc w:val="center"/>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rPr>
              <w:t>产出指标</w:t>
            </w:r>
          </w:p>
        </w:tc>
        <w:tc>
          <w:tcPr>
            <w:tcW w:w="1081"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数</w:t>
            </w:r>
            <w:r>
              <w:rPr>
                <w:rFonts w:hint="eastAsia" w:ascii="仿宋" w:hAnsi="仿宋" w:eastAsia="仿宋" w:cs="仿宋"/>
                <w:b w:val="0"/>
                <w:bCs w:val="0"/>
                <w:sz w:val="32"/>
                <w:szCs w:val="32"/>
              </w:rPr>
              <w:t>量指标</w:t>
            </w:r>
          </w:p>
        </w:tc>
        <w:tc>
          <w:tcPr>
            <w:tcW w:w="1298"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案件受理数</w:t>
            </w:r>
          </w:p>
        </w:tc>
        <w:tc>
          <w:tcPr>
            <w:tcW w:w="207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受理案件数量</w:t>
            </w:r>
          </w:p>
        </w:tc>
        <w:tc>
          <w:tcPr>
            <w:tcW w:w="2154"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sz w:val="32"/>
                <w:szCs w:val="32"/>
                <w:lang w:val="en-US" w:eastAsia="zh-CN"/>
              </w:rPr>
              <w:t>18000件以上得15分，18000件以下根据具体情况得分</w:t>
            </w:r>
          </w:p>
        </w:tc>
        <w:tc>
          <w:tcPr>
            <w:tcW w:w="99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0" w:hRule="atLeast"/>
          <w:jc w:val="center"/>
        </w:trPr>
        <w:tc>
          <w:tcPr>
            <w:tcW w:w="1162" w:type="dxa"/>
            <w:vMerge w:val="continue"/>
            <w:tcBorders>
              <w:left w:val="single" w:color="auto" w:sz="4" w:space="0"/>
              <w:right w:val="single" w:color="auto" w:sz="4" w:space="0"/>
            </w:tcBorders>
            <w:vAlign w:val="center"/>
          </w:tcPr>
          <w:p>
            <w:pPr>
              <w:widowControl/>
              <w:jc w:val="left"/>
              <w:rPr>
                <w:rFonts w:hint="eastAsia" w:ascii="仿宋" w:hAnsi="仿宋" w:eastAsia="仿宋" w:cs="仿宋"/>
                <w:b w:val="0"/>
                <w:bCs w:val="0"/>
                <w:kern w:val="0"/>
                <w:sz w:val="32"/>
                <w:szCs w:val="32"/>
              </w:rPr>
            </w:pPr>
          </w:p>
        </w:tc>
        <w:tc>
          <w:tcPr>
            <w:tcW w:w="1081"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数</w:t>
            </w:r>
            <w:r>
              <w:rPr>
                <w:rFonts w:hint="eastAsia" w:ascii="仿宋" w:hAnsi="仿宋" w:eastAsia="仿宋" w:cs="仿宋"/>
                <w:b w:val="0"/>
                <w:bCs w:val="0"/>
                <w:sz w:val="32"/>
                <w:szCs w:val="32"/>
              </w:rPr>
              <w:t>量指标</w:t>
            </w:r>
          </w:p>
        </w:tc>
        <w:tc>
          <w:tcPr>
            <w:tcW w:w="1298"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eastAsia="zh-CN"/>
              </w:rPr>
            </w:pPr>
            <w:r>
              <w:rPr>
                <w:rFonts w:hint="eastAsia" w:ascii="仿宋" w:hAnsi="仿宋" w:eastAsia="仿宋" w:cs="仿宋"/>
                <w:sz w:val="32"/>
                <w:szCs w:val="32"/>
                <w:lang w:val="en-US" w:eastAsia="zh-CN"/>
              </w:rPr>
              <w:t>案件结案数</w:t>
            </w:r>
          </w:p>
        </w:tc>
        <w:tc>
          <w:tcPr>
            <w:tcW w:w="2072" w:type="dxa"/>
            <w:tcBorders>
              <w:top w:val="nil"/>
              <w:left w:val="nil"/>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案件结案数量</w:t>
            </w:r>
          </w:p>
        </w:tc>
        <w:tc>
          <w:tcPr>
            <w:tcW w:w="2154" w:type="dxa"/>
            <w:tcBorders>
              <w:top w:val="nil"/>
              <w:left w:val="nil"/>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16000件以上得15，16000件以下根据具体情况得分</w:t>
            </w:r>
          </w:p>
        </w:tc>
        <w:tc>
          <w:tcPr>
            <w:tcW w:w="99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0" w:hRule="atLeast"/>
          <w:jc w:val="center"/>
        </w:trPr>
        <w:tc>
          <w:tcPr>
            <w:tcW w:w="1162" w:type="dxa"/>
            <w:vMerge w:val="continue"/>
            <w:tcBorders>
              <w:left w:val="single" w:color="auto" w:sz="4" w:space="0"/>
              <w:right w:val="single" w:color="auto" w:sz="4" w:space="0"/>
            </w:tcBorders>
            <w:vAlign w:val="center"/>
          </w:tcPr>
          <w:p>
            <w:pPr>
              <w:widowControl/>
              <w:jc w:val="left"/>
              <w:rPr>
                <w:rFonts w:hint="eastAsia" w:ascii="仿宋" w:hAnsi="仿宋" w:eastAsia="仿宋" w:cs="仿宋"/>
                <w:b w:val="0"/>
                <w:bCs w:val="0"/>
                <w:kern w:val="0"/>
                <w:sz w:val="32"/>
                <w:szCs w:val="32"/>
              </w:rPr>
            </w:pPr>
          </w:p>
        </w:tc>
        <w:tc>
          <w:tcPr>
            <w:tcW w:w="1081"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质</w:t>
            </w:r>
            <w:r>
              <w:rPr>
                <w:rFonts w:hint="eastAsia" w:ascii="仿宋" w:hAnsi="仿宋" w:eastAsia="仿宋" w:cs="仿宋"/>
                <w:b w:val="0"/>
                <w:bCs w:val="0"/>
                <w:sz w:val="32"/>
                <w:szCs w:val="32"/>
              </w:rPr>
              <w:t>量指标</w:t>
            </w:r>
          </w:p>
        </w:tc>
        <w:tc>
          <w:tcPr>
            <w:tcW w:w="1298"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eastAsia="zh-CN"/>
              </w:rPr>
              <w:t>案件</w:t>
            </w:r>
            <w:r>
              <w:rPr>
                <w:rFonts w:hint="eastAsia" w:ascii="仿宋" w:hAnsi="仿宋" w:eastAsia="仿宋" w:cs="仿宋"/>
                <w:b w:val="0"/>
                <w:bCs w:val="0"/>
                <w:sz w:val="32"/>
                <w:szCs w:val="32"/>
              </w:rPr>
              <w:t>结案率</w:t>
            </w:r>
          </w:p>
        </w:tc>
        <w:tc>
          <w:tcPr>
            <w:tcW w:w="207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kern w:val="2"/>
                <w:sz w:val="32"/>
                <w:szCs w:val="32"/>
                <w:lang w:val="en-US" w:eastAsia="zh-CN" w:bidi="ar-SA"/>
              </w:rPr>
              <w:t>在诉讼期间内审结案件数占办理案件数的比率</w:t>
            </w:r>
          </w:p>
        </w:tc>
        <w:tc>
          <w:tcPr>
            <w:tcW w:w="2154"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sz w:val="32"/>
                <w:szCs w:val="32"/>
                <w:lang w:val="en-US" w:eastAsia="zh-CN"/>
              </w:rPr>
              <w:t>90%及以上得15分，其他根据情况得分</w:t>
            </w:r>
          </w:p>
        </w:tc>
        <w:tc>
          <w:tcPr>
            <w:tcW w:w="99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75" w:hRule="atLeast"/>
          <w:jc w:val="center"/>
        </w:trPr>
        <w:tc>
          <w:tcPr>
            <w:tcW w:w="1162" w:type="dxa"/>
            <w:vMerge w:val="continue"/>
            <w:tcBorders>
              <w:left w:val="single" w:color="auto" w:sz="4" w:space="0"/>
              <w:right w:val="single" w:color="auto" w:sz="4" w:space="0"/>
            </w:tcBorders>
            <w:vAlign w:val="center"/>
          </w:tcPr>
          <w:p>
            <w:pPr>
              <w:widowControl/>
              <w:jc w:val="left"/>
              <w:rPr>
                <w:rFonts w:hint="eastAsia" w:ascii="仿宋" w:hAnsi="仿宋" w:eastAsia="仿宋" w:cs="仿宋"/>
                <w:b w:val="0"/>
                <w:bCs w:val="0"/>
                <w:kern w:val="0"/>
                <w:sz w:val="32"/>
                <w:szCs w:val="32"/>
              </w:rPr>
            </w:pPr>
          </w:p>
        </w:tc>
        <w:tc>
          <w:tcPr>
            <w:tcW w:w="1081"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时效指标</w:t>
            </w:r>
          </w:p>
        </w:tc>
        <w:tc>
          <w:tcPr>
            <w:tcW w:w="1298"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color w:val="auto"/>
                <w:kern w:val="2"/>
                <w:sz w:val="32"/>
                <w:szCs w:val="32"/>
                <w:lang w:val="en-US" w:eastAsia="zh-CN" w:bidi="ar-SA"/>
              </w:rPr>
              <w:t>法定审限内审结率</w:t>
            </w:r>
          </w:p>
        </w:tc>
        <w:tc>
          <w:tcPr>
            <w:tcW w:w="207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color w:val="auto"/>
                <w:kern w:val="2"/>
                <w:sz w:val="32"/>
                <w:szCs w:val="32"/>
                <w:lang w:val="en-US" w:eastAsia="zh-CN" w:bidi="ar-SA"/>
              </w:rPr>
              <w:t>法定审限内审结率=法定审限内审结案件数/审结案件数*100%</w:t>
            </w:r>
          </w:p>
        </w:tc>
        <w:tc>
          <w:tcPr>
            <w:tcW w:w="2154" w:type="dxa"/>
            <w:tcBorders>
              <w:top w:val="nil"/>
              <w:left w:val="nil"/>
              <w:bottom w:val="single" w:color="auto" w:sz="4" w:space="0"/>
              <w:right w:val="single" w:color="auto" w:sz="4" w:space="0"/>
            </w:tcBorders>
            <w:vAlign w:val="center"/>
          </w:tcPr>
          <w:p>
            <w:pPr>
              <w:widowControl w:val="0"/>
              <w:wordWrap/>
              <w:adjustRightInd/>
              <w:snapToGrid/>
              <w:ind w:left="0" w:leftChars="0" w:firstLine="0" w:firstLineChars="0"/>
              <w:jc w:val="center"/>
              <w:textAlignment w:val="auto"/>
              <w:rPr>
                <w:rFonts w:hint="eastAsia" w:ascii="仿宋" w:hAnsi="仿宋" w:eastAsia="仿宋" w:cs="仿宋"/>
                <w:b w:val="0"/>
                <w:bCs w:val="0"/>
                <w:sz w:val="32"/>
                <w:szCs w:val="32"/>
              </w:rPr>
            </w:pPr>
            <w:r>
              <w:rPr>
                <w:rFonts w:hint="eastAsia" w:ascii="仿宋" w:hAnsi="仿宋" w:eastAsia="仿宋" w:cs="仿宋"/>
                <w:color w:val="auto"/>
                <w:kern w:val="2"/>
                <w:sz w:val="32"/>
                <w:szCs w:val="32"/>
                <w:lang w:val="en-US" w:eastAsia="zh-CN" w:bidi="ar-SA"/>
              </w:rPr>
              <w:t>90%及以上得15分，其他根据具体情况得分</w:t>
            </w:r>
          </w:p>
        </w:tc>
        <w:tc>
          <w:tcPr>
            <w:tcW w:w="99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1162" w:type="dxa"/>
            <w:vMerge w:val="continue"/>
            <w:tcBorders>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val="0"/>
                <w:bCs w:val="0"/>
                <w:kern w:val="0"/>
                <w:sz w:val="32"/>
                <w:szCs w:val="32"/>
              </w:rPr>
            </w:pPr>
          </w:p>
        </w:tc>
        <w:tc>
          <w:tcPr>
            <w:tcW w:w="108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成本指标</w:t>
            </w:r>
          </w:p>
        </w:tc>
        <w:tc>
          <w:tcPr>
            <w:tcW w:w="1298"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kern w:val="2"/>
                <w:sz w:val="32"/>
                <w:szCs w:val="32"/>
                <w:lang w:val="en-US" w:eastAsia="zh-CN" w:bidi="ar-SA"/>
              </w:rPr>
              <w:t>年度预算资金控制率</w:t>
            </w:r>
          </w:p>
        </w:tc>
        <w:tc>
          <w:tcPr>
            <w:tcW w:w="207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kern w:val="2"/>
                <w:sz w:val="32"/>
                <w:szCs w:val="32"/>
                <w:lang w:val="en-US" w:eastAsia="zh-CN" w:bidi="ar-SA"/>
              </w:rPr>
              <w:t>年度实际支出/年初预算数</w:t>
            </w:r>
          </w:p>
        </w:tc>
        <w:tc>
          <w:tcPr>
            <w:tcW w:w="2154"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90%-100%得10分，90%以下根据情况得分</w:t>
            </w:r>
          </w:p>
        </w:tc>
        <w:tc>
          <w:tcPr>
            <w:tcW w:w="992" w:type="dxa"/>
            <w:tcBorders>
              <w:top w:val="nil"/>
              <w:left w:val="nil"/>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49" w:hRule="atLeast"/>
          <w:jc w:val="center"/>
        </w:trPr>
        <w:tc>
          <w:tcPr>
            <w:tcW w:w="1162"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val="0"/>
                <w:bCs w:val="0"/>
                <w:kern w:val="0"/>
                <w:sz w:val="32"/>
                <w:szCs w:val="32"/>
              </w:rPr>
            </w:pPr>
            <w:r>
              <w:rPr>
                <w:rFonts w:hint="eastAsia" w:ascii="仿宋" w:hAnsi="仿宋" w:eastAsia="仿宋" w:cs="仿宋"/>
                <w:b w:val="0"/>
                <w:bCs w:val="0"/>
                <w:kern w:val="0"/>
                <w:sz w:val="32"/>
                <w:szCs w:val="32"/>
              </w:rPr>
              <w:t>效</w:t>
            </w:r>
            <w:r>
              <w:rPr>
                <w:rFonts w:hint="eastAsia" w:ascii="仿宋" w:hAnsi="仿宋" w:eastAsia="仿宋" w:cs="仿宋"/>
                <w:b w:val="0"/>
                <w:bCs w:val="0"/>
                <w:kern w:val="0"/>
                <w:sz w:val="32"/>
                <w:szCs w:val="32"/>
                <w:lang w:eastAsia="zh-CN"/>
              </w:rPr>
              <w:t>益</w:t>
            </w:r>
            <w:r>
              <w:rPr>
                <w:rFonts w:hint="eastAsia" w:ascii="仿宋" w:hAnsi="仿宋" w:eastAsia="仿宋" w:cs="仿宋"/>
                <w:b w:val="0"/>
                <w:bCs w:val="0"/>
                <w:kern w:val="0"/>
                <w:sz w:val="32"/>
                <w:szCs w:val="32"/>
              </w:rPr>
              <w:t>指标</w:t>
            </w:r>
          </w:p>
        </w:tc>
        <w:tc>
          <w:tcPr>
            <w:tcW w:w="108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社会效益指标</w:t>
            </w:r>
          </w:p>
        </w:tc>
        <w:tc>
          <w:tcPr>
            <w:tcW w:w="129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服判息诉率</w:t>
            </w:r>
          </w:p>
        </w:tc>
        <w:tc>
          <w:tcPr>
            <w:tcW w:w="207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结案后不上诉、不申诉的案件数</w:t>
            </w:r>
            <w:r>
              <w:rPr>
                <w:rFonts w:hint="eastAsia" w:ascii="仿宋" w:hAnsi="仿宋" w:eastAsia="仿宋" w:cs="仿宋"/>
                <w:b w:val="0"/>
                <w:bCs w:val="0"/>
                <w:sz w:val="32"/>
                <w:szCs w:val="32"/>
                <w:lang w:val="en-US" w:eastAsia="zh-CN"/>
              </w:rPr>
              <w:t>/结案数</w:t>
            </w:r>
          </w:p>
        </w:tc>
        <w:tc>
          <w:tcPr>
            <w:tcW w:w="2154"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80%以上</w:t>
            </w:r>
            <w:r>
              <w:rPr>
                <w:rFonts w:hint="eastAsia" w:ascii="仿宋" w:hAnsi="仿宋" w:eastAsia="仿宋" w:cs="仿宋"/>
                <w:sz w:val="32"/>
                <w:szCs w:val="32"/>
                <w:lang w:val="en-US" w:eastAsia="zh-CN"/>
              </w:rPr>
              <w:t>得10分，其他根据情况得分</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5" w:hRule="atLeast"/>
          <w:jc w:val="center"/>
        </w:trPr>
        <w:tc>
          <w:tcPr>
            <w:tcW w:w="1162" w:type="dxa"/>
            <w:vMerge w:val="continue"/>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val="0"/>
                <w:bCs w:val="0"/>
                <w:kern w:val="0"/>
                <w:sz w:val="32"/>
                <w:szCs w:val="32"/>
              </w:rPr>
            </w:pPr>
          </w:p>
        </w:tc>
        <w:tc>
          <w:tcPr>
            <w:tcW w:w="108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可持续影响指标</w:t>
            </w:r>
          </w:p>
        </w:tc>
        <w:tc>
          <w:tcPr>
            <w:tcW w:w="129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eastAsia="zh-CN"/>
              </w:rPr>
            </w:pPr>
            <w:r>
              <w:rPr>
                <w:rFonts w:hint="eastAsia" w:ascii="仿宋" w:hAnsi="仿宋" w:eastAsia="仿宋" w:cs="仿宋"/>
                <w:sz w:val="32"/>
                <w:szCs w:val="32"/>
                <w:lang w:val="en-US" w:eastAsia="zh-CN"/>
              </w:rPr>
              <w:t>促进人民法院工作的可持续发展，构建和谐社会</w:t>
            </w:r>
          </w:p>
        </w:tc>
        <w:tc>
          <w:tcPr>
            <w:tcW w:w="2072" w:type="dxa"/>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center"/>
              <w:textAlignment w:val="auto"/>
              <w:rPr>
                <w:rFonts w:hint="eastAsia" w:ascii="仿宋" w:hAnsi="仿宋" w:eastAsia="仿宋" w:cs="仿宋"/>
                <w:b w:val="0"/>
                <w:bCs w:val="0"/>
                <w:sz w:val="32"/>
                <w:szCs w:val="32"/>
                <w:lang w:eastAsia="zh-CN"/>
              </w:rPr>
            </w:pPr>
            <w:r>
              <w:rPr>
                <w:rFonts w:hint="eastAsia" w:ascii="仿宋" w:hAnsi="仿宋" w:eastAsia="仿宋" w:cs="仿宋"/>
                <w:sz w:val="32"/>
                <w:szCs w:val="32"/>
                <w:lang w:val="en-US" w:eastAsia="zh-CN"/>
              </w:rPr>
              <w:t>是否促进工作发展，构建和谐社会</w:t>
            </w:r>
          </w:p>
        </w:tc>
        <w:tc>
          <w:tcPr>
            <w:tcW w:w="2154" w:type="dxa"/>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center"/>
              <w:textAlignment w:val="auto"/>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是得10分，</w:t>
            </w:r>
            <w:r>
              <w:rPr>
                <w:rFonts w:hint="eastAsia" w:ascii="仿宋" w:hAnsi="仿宋" w:eastAsia="仿宋" w:cs="仿宋"/>
                <w:sz w:val="32"/>
                <w:szCs w:val="32"/>
                <w:highlight w:val="none"/>
                <w:lang w:val="en-US" w:eastAsia="zh-CN"/>
              </w:rPr>
              <w:t>否根据具体情况得分</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10" w:hRule="atLeast"/>
          <w:jc w:val="center"/>
        </w:trPr>
        <w:tc>
          <w:tcPr>
            <w:tcW w:w="116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仿宋" w:hAnsi="仿宋" w:eastAsia="仿宋" w:cs="仿宋"/>
                <w:b w:val="0"/>
                <w:bCs w:val="0"/>
                <w:kern w:val="0"/>
                <w:sz w:val="32"/>
                <w:szCs w:val="32"/>
              </w:rPr>
            </w:pPr>
            <w:r>
              <w:rPr>
                <w:rFonts w:hint="eastAsia" w:ascii="仿宋" w:hAnsi="仿宋" w:eastAsia="仿宋" w:cs="仿宋"/>
                <w:b w:val="0"/>
                <w:bCs w:val="0"/>
                <w:sz w:val="32"/>
                <w:szCs w:val="32"/>
              </w:rPr>
              <w:t>满意度指标</w:t>
            </w:r>
          </w:p>
        </w:tc>
        <w:tc>
          <w:tcPr>
            <w:tcW w:w="108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服务对象满意度指标</w:t>
            </w:r>
          </w:p>
        </w:tc>
        <w:tc>
          <w:tcPr>
            <w:tcW w:w="1298"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rPr>
            </w:pPr>
            <w:r>
              <w:rPr>
                <w:rFonts w:hint="eastAsia" w:ascii="仿宋" w:hAnsi="仿宋" w:eastAsia="仿宋" w:cs="仿宋"/>
                <w:sz w:val="32"/>
                <w:szCs w:val="32"/>
                <w:highlight w:val="none"/>
                <w:lang w:val="en-US" w:eastAsia="zh-CN"/>
              </w:rPr>
              <w:t>当事人满意度</w:t>
            </w:r>
          </w:p>
        </w:tc>
        <w:tc>
          <w:tcPr>
            <w:tcW w:w="2072" w:type="dxa"/>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center"/>
              <w:textAlignment w:val="auto"/>
              <w:rPr>
                <w:rFonts w:hint="eastAsia" w:ascii="仿宋" w:hAnsi="仿宋" w:eastAsia="仿宋" w:cs="仿宋"/>
                <w:b w:val="0"/>
                <w:bCs w:val="0"/>
                <w:sz w:val="32"/>
                <w:szCs w:val="32"/>
              </w:rPr>
            </w:pPr>
            <w:r>
              <w:rPr>
                <w:rFonts w:hint="eastAsia" w:ascii="仿宋" w:hAnsi="仿宋" w:eastAsia="仿宋" w:cs="仿宋"/>
                <w:sz w:val="32"/>
                <w:szCs w:val="32"/>
                <w:highlight w:val="none"/>
                <w:lang w:val="en-US" w:eastAsia="zh-CN"/>
              </w:rPr>
              <w:t>是否得到当事人良好满意程度</w:t>
            </w:r>
          </w:p>
        </w:tc>
        <w:tc>
          <w:tcPr>
            <w:tcW w:w="2154" w:type="dxa"/>
            <w:tcBorders>
              <w:top w:val="single" w:color="auto" w:sz="4" w:space="0"/>
              <w:left w:val="single" w:color="auto" w:sz="4" w:space="0"/>
              <w:bottom w:val="single" w:color="auto" w:sz="4" w:space="0"/>
              <w:right w:val="single" w:color="auto" w:sz="4" w:space="0"/>
            </w:tcBorders>
            <w:vAlign w:val="center"/>
          </w:tcPr>
          <w:p>
            <w:pPr>
              <w:widowControl w:val="0"/>
              <w:numPr>
                <w:ilvl w:val="0"/>
                <w:numId w:val="0"/>
              </w:numPr>
              <w:wordWrap/>
              <w:adjustRightInd/>
              <w:snapToGrid/>
              <w:ind w:left="0" w:leftChars="0" w:firstLine="0" w:firstLineChars="0"/>
              <w:jc w:val="center"/>
              <w:textAlignment w:val="auto"/>
              <w:rPr>
                <w:rFonts w:hint="eastAsia" w:ascii="仿宋" w:hAnsi="仿宋" w:eastAsia="仿宋" w:cs="仿宋"/>
                <w:b w:val="0"/>
                <w:bCs w:val="0"/>
                <w:sz w:val="32"/>
                <w:szCs w:val="32"/>
              </w:rPr>
            </w:pPr>
            <w:r>
              <w:rPr>
                <w:rFonts w:hint="eastAsia" w:ascii="仿宋" w:hAnsi="仿宋" w:eastAsia="仿宋" w:cs="仿宋"/>
                <w:sz w:val="32"/>
                <w:szCs w:val="32"/>
                <w:highlight w:val="none"/>
                <w:lang w:val="en-US" w:eastAsia="zh-CN"/>
              </w:rPr>
              <w:t>是得10分，否根据具体情况得分</w:t>
            </w:r>
          </w:p>
        </w:tc>
        <w:tc>
          <w:tcPr>
            <w:tcW w:w="99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10</w:t>
            </w:r>
          </w:p>
        </w:tc>
      </w:tr>
    </w:tbl>
    <w:p>
      <w:pPr>
        <w:rPr>
          <w:rFonts w:hint="eastAsia" w:ascii="仿宋" w:hAnsi="仿宋" w:eastAsia="仿宋" w:cs="仿宋"/>
          <w:sz w:val="32"/>
          <w:szCs w:val="32"/>
          <w:lang w:val="en-US" w:eastAsia="zh-CN"/>
        </w:rPr>
      </w:pPr>
    </w:p>
    <w:p>
      <w:pPr>
        <w:numPr>
          <w:ilvl w:val="0"/>
          <w:numId w:val="0"/>
        </w:numPr>
        <w:rPr>
          <w:rFonts w:hint="eastAsia" w:ascii="仿宋" w:hAnsi="仿宋" w:eastAsia="仿宋" w:cs="仿宋"/>
          <w:sz w:val="32"/>
          <w:szCs w:val="32"/>
          <w:lang w:val="en-US"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四、评价结论和评价等级</w:t>
      </w:r>
    </w:p>
    <w:p>
      <w:pPr>
        <w:widowControl w:val="0"/>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部门职责定位和各项工作履职情况进行综合评价</w:t>
      </w:r>
      <w:r>
        <w:rPr>
          <w:rFonts w:hint="eastAsia" w:ascii="仿宋" w:hAnsi="仿宋" w:eastAsia="仿宋" w:cs="仿宋"/>
          <w:sz w:val="32"/>
          <w:szCs w:val="32"/>
        </w:rPr>
        <w:t>，给出总得分，满分100分，得出综合绩效评价等级。</w:t>
      </w:r>
      <w:r>
        <w:rPr>
          <w:rFonts w:hint="eastAsia" w:ascii="仿宋" w:hAnsi="仿宋" w:eastAsia="仿宋" w:cs="仿宋"/>
          <w:sz w:val="32"/>
          <w:szCs w:val="32"/>
          <w:lang w:eastAsia="zh-CN"/>
        </w:rPr>
        <w:t>部门整体支出</w:t>
      </w:r>
      <w:r>
        <w:rPr>
          <w:rFonts w:hint="eastAsia" w:ascii="仿宋" w:hAnsi="仿宋" w:eastAsia="仿宋" w:cs="仿宋"/>
          <w:sz w:val="32"/>
          <w:szCs w:val="32"/>
        </w:rPr>
        <w:t>综合绩效评价分为4个等级：得分≥85分为优秀；75≤得分＜85分为良好；60≤得分＜75分为一般；得分＜60分为较差。</w:t>
      </w:r>
    </w:p>
    <w:p>
      <w:pPr>
        <w:widowControl w:val="0"/>
        <w:numPr>
          <w:ilvl w:val="0"/>
          <w:numId w:val="0"/>
        </w:numPr>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b w:val="0"/>
          <w:bCs w:val="0"/>
          <w:sz w:val="32"/>
          <w:szCs w:val="32"/>
          <w:lang w:val="en-US" w:eastAsia="zh-CN"/>
        </w:rPr>
        <w:t>通过业务数据统计、访谈、调查等方式取得的信息，我院整体支出绩效评价的得分结果为100分，绩效评价等级为优秀。</w:t>
      </w:r>
    </w:p>
    <w:p>
      <w:pPr>
        <w:widowControl w:val="0"/>
        <w:wordWrap/>
        <w:adjustRightInd w:val="0"/>
        <w:snapToGrid w:val="0"/>
        <w:spacing w:beforeAutospacing="0" w:afterAutospacing="0"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五、存在的问题及改进措施</w:t>
      </w:r>
    </w:p>
    <w:p>
      <w:pPr>
        <w:widowControl w:val="0"/>
        <w:wordWrap/>
        <w:adjustRightInd w:val="0"/>
        <w:snapToGrid w:val="0"/>
        <w:spacing w:beforeAutospacing="0" w:afterAutospacing="0" w:line="360" w:lineRule="auto"/>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（一）存在的主要问题</w:t>
      </w:r>
    </w:p>
    <w:p>
      <w:pPr>
        <w:widowControl w:val="0"/>
        <w:wordWrap/>
        <w:adjustRightInd w:val="0"/>
        <w:snapToGrid w:val="0"/>
        <w:spacing w:beforeAutospacing="0" w:afterAutospacing="0"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rPr>
        <w:t>在项目实施方面，我们将进一步提高工作效率，加大项目经费绩效评价考核力度，保证项目实施进度，切实提高预算管理水平。</w:t>
      </w:r>
    </w:p>
    <w:p>
      <w:pPr>
        <w:widowControl w:val="0"/>
        <w:numPr>
          <w:ilvl w:val="0"/>
          <w:numId w:val="3"/>
        </w:numPr>
        <w:wordWrap/>
        <w:adjustRightInd w:val="0"/>
        <w:snapToGrid w:val="0"/>
        <w:spacing w:beforeAutospacing="0" w:afterAutospacing="0" w:line="360" w:lineRule="auto"/>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针对问题提出具体的改进措施或建议</w:t>
      </w:r>
    </w:p>
    <w:p>
      <w:pPr>
        <w:widowControl/>
        <w:wordWrap/>
        <w:adjustRightInd w:val="0"/>
        <w:snapToGrid w:val="0"/>
        <w:spacing w:beforeAutospacing="0" w:afterAutospacing="0" w:line="36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rPr>
        <w:t>充分发挥各个项目的效能，在解决问题之时，要确保把解决执行难落到实处，让群众切实感受到我院司法为民的初心，</w:t>
      </w:r>
      <w:r>
        <w:rPr>
          <w:rFonts w:hint="eastAsia" w:ascii="仿宋" w:hAnsi="仿宋" w:eastAsia="仿宋" w:cs="仿宋"/>
          <w:kern w:val="0"/>
          <w:sz w:val="32"/>
          <w:szCs w:val="32"/>
          <w:highlight w:val="none"/>
          <w:shd w:val="clear" w:color="auto" w:fill="FFFFFF"/>
          <w:lang w:val="en-US" w:eastAsia="zh-CN"/>
        </w:rPr>
        <w:t>全力保障经济社会平稳健康发展，</w:t>
      </w:r>
      <w:r>
        <w:rPr>
          <w:rFonts w:hint="eastAsia" w:ascii="仿宋" w:hAnsi="仿宋" w:eastAsia="仿宋" w:cs="仿宋"/>
          <w:sz w:val="32"/>
          <w:szCs w:val="32"/>
          <w:highlight w:val="none"/>
          <w:shd w:val="clear" w:color="auto" w:fill="FFFFFF"/>
          <w:lang w:val="en-US" w:eastAsia="zh-CN"/>
        </w:rPr>
        <w:t>增强人民群众司法获得感</w:t>
      </w:r>
      <w:r>
        <w:rPr>
          <w:rFonts w:hint="eastAsia" w:ascii="仿宋" w:hAnsi="仿宋" w:eastAsia="仿宋" w:cs="仿宋"/>
          <w:color w:val="000000"/>
          <w:kern w:val="0"/>
          <w:sz w:val="32"/>
          <w:szCs w:val="32"/>
          <w:lang w:val="en-US" w:eastAsia="zh-CN"/>
        </w:rPr>
        <w:t>。</w:t>
      </w:r>
    </w:p>
    <w:p>
      <w:pPr>
        <w:widowControl w:val="0"/>
        <w:numPr>
          <w:ilvl w:val="0"/>
          <w:numId w:val="4"/>
        </w:numPr>
        <w:wordWrap/>
        <w:adjustRightInd w:val="0"/>
        <w:snapToGrid w:val="0"/>
        <w:spacing w:beforeAutospacing="0" w:afterAutospacing="0"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评价工作组人员名单及签字（姓名、工作单位、职务、职称）</w:t>
      </w:r>
    </w:p>
    <w:tbl>
      <w:tblPr>
        <w:tblStyle w:val="9"/>
        <w:tblW w:w="86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9"/>
        <w:gridCol w:w="3765"/>
        <w:gridCol w:w="1755"/>
        <w:gridCol w:w="1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299"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评价组</w:t>
            </w:r>
          </w:p>
        </w:tc>
        <w:tc>
          <w:tcPr>
            <w:tcW w:w="376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工作单位</w:t>
            </w:r>
          </w:p>
        </w:tc>
        <w:tc>
          <w:tcPr>
            <w:tcW w:w="175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1796"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299"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组长</w:t>
            </w:r>
          </w:p>
        </w:tc>
        <w:tc>
          <w:tcPr>
            <w:tcW w:w="376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石家庄市新华区人民法院</w:t>
            </w:r>
          </w:p>
        </w:tc>
        <w:tc>
          <w:tcPr>
            <w:tcW w:w="175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p>
        </w:tc>
        <w:tc>
          <w:tcPr>
            <w:tcW w:w="1796"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杨建科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299"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w:t>
            </w:r>
          </w:p>
        </w:tc>
        <w:tc>
          <w:tcPr>
            <w:tcW w:w="376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石家庄市新华区人民法院</w:t>
            </w:r>
          </w:p>
        </w:tc>
        <w:tc>
          <w:tcPr>
            <w:tcW w:w="175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p>
        </w:tc>
        <w:tc>
          <w:tcPr>
            <w:tcW w:w="1796"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张观华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299"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组员</w:t>
            </w:r>
          </w:p>
        </w:tc>
        <w:tc>
          <w:tcPr>
            <w:tcW w:w="376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石家庄市新华区人民法院</w:t>
            </w:r>
          </w:p>
        </w:tc>
        <w:tc>
          <w:tcPr>
            <w:tcW w:w="175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p>
        </w:tc>
        <w:tc>
          <w:tcPr>
            <w:tcW w:w="1796"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姚秋林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jc w:val="center"/>
        </w:trPr>
        <w:tc>
          <w:tcPr>
            <w:tcW w:w="1299"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组员</w:t>
            </w:r>
          </w:p>
        </w:tc>
        <w:tc>
          <w:tcPr>
            <w:tcW w:w="376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石家庄市新华区人民法院</w:t>
            </w:r>
          </w:p>
        </w:tc>
        <w:tc>
          <w:tcPr>
            <w:tcW w:w="1755"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p>
        </w:tc>
        <w:tc>
          <w:tcPr>
            <w:tcW w:w="1796" w:type="dxa"/>
            <w:vAlign w:val="center"/>
          </w:tcPr>
          <w:p>
            <w:pPr>
              <w:widowControl w:val="0"/>
              <w:pBdr>
                <w:top w:val="none" w:color="auto" w:sz="0" w:space="0"/>
                <w:left w:val="none" w:color="auto" w:sz="0" w:space="0"/>
                <w:bottom w:val="none" w:color="auto" w:sz="0" w:space="0"/>
                <w:right w:val="none" w:color="auto" w:sz="0" w:space="0"/>
                <w:between w:val="none" w:color="auto" w:sz="0" w:space="0"/>
              </w:pBdr>
              <w:shd w:val="clear" w:color="auto" w:fill="auto"/>
              <w:wordWrap/>
              <w:adjustRightInd/>
              <w:snapToGrid/>
              <w:spacing w:before="0" w:after="0" w:line="360" w:lineRule="auto"/>
              <w:ind w:left="0" w:leftChars="0" w:right="0" w:firstLine="0" w:firstLineChars="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贡彤</w:t>
            </w:r>
          </w:p>
        </w:tc>
      </w:tr>
    </w:tbl>
    <w:p>
      <w:pPr>
        <w:widowControl w:val="0"/>
        <w:wordWrap/>
        <w:adjustRightInd w:val="0"/>
        <w:snapToGrid w:val="0"/>
        <w:spacing w:beforeAutospacing="0" w:afterAutospacing="0" w:line="360" w:lineRule="auto"/>
        <w:ind w:right="0"/>
        <w:textAlignment w:val="auto"/>
        <w:outlineLvl w:val="9"/>
        <w:rPr>
          <w:rFonts w:hint="eastAsia" w:ascii="仿宋" w:hAnsi="仿宋" w:eastAsia="仿宋" w:cs="仿宋"/>
          <w:sz w:val="32"/>
          <w:szCs w:val="32"/>
        </w:rPr>
      </w:pPr>
    </w:p>
    <w:p>
      <w:pPr>
        <w:bidi w:val="0"/>
        <w:rPr>
          <w:rFonts w:hint="eastAsia" w:ascii="Calibri" w:hAnsi="Calibri" w:eastAsia="宋体" w:cs="黑体"/>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sz w:val="32"/>
          <w:szCs w:val="32"/>
          <w:lang w:val="en-US" w:eastAsia="zh-CN"/>
        </w:rPr>
      </w:pPr>
    </w:p>
    <w:p>
      <w:pPr>
        <w:tabs>
          <w:tab w:val="left" w:pos="5364"/>
        </w:tabs>
        <w:bidi w:val="0"/>
        <w:ind w:firstLine="4480" w:firstLineChars="1400"/>
        <w:jc w:val="left"/>
        <w:rPr>
          <w:rFonts w:hint="eastAsia"/>
          <w:sz w:val="32"/>
          <w:szCs w:val="32"/>
          <w:lang w:val="en-US" w:eastAsia="zh-CN"/>
        </w:rPr>
      </w:pPr>
      <w:r>
        <w:rPr>
          <w:rFonts w:hint="eastAsia"/>
          <w:sz w:val="32"/>
          <w:szCs w:val="32"/>
          <w:lang w:val="en-US" w:eastAsia="zh-CN"/>
        </w:rPr>
        <w:t>石家庄市新华区人民法院</w:t>
      </w:r>
    </w:p>
    <w:p>
      <w:pPr>
        <w:tabs>
          <w:tab w:val="left" w:pos="5364"/>
        </w:tabs>
        <w:bidi w:val="0"/>
        <w:ind w:firstLine="5120" w:firstLineChars="1600"/>
        <w:jc w:val="left"/>
        <w:rPr>
          <w:rFonts w:hint="default" w:eastAsia="宋体"/>
          <w:sz w:val="32"/>
          <w:szCs w:val="32"/>
          <w:lang w:val="en-US" w:eastAsia="zh-CN"/>
        </w:rPr>
      </w:pPr>
      <w:bookmarkStart w:id="0" w:name="_GoBack"/>
      <w:bookmarkEnd w:id="0"/>
      <w:r>
        <w:rPr>
          <w:rFonts w:hint="eastAsia"/>
          <w:sz w:val="32"/>
          <w:szCs w:val="32"/>
          <w:lang w:val="en-US" w:eastAsia="zh-CN"/>
        </w:rPr>
        <w:t>2024年4月16日</w:t>
      </w:r>
    </w:p>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4D2211"/>
    <w:multiLevelType w:val="singleLevel"/>
    <w:tmpl w:val="A74D2211"/>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72474954"/>
    <w:multiLevelType w:val="singleLevel"/>
    <w:tmpl w:val="72474954"/>
    <w:lvl w:ilvl="0" w:tentative="0">
      <w:start w:val="3"/>
      <w:numFmt w:val="decimal"/>
      <w:lvlText w:val="%1."/>
      <w:lvlJc w:val="left"/>
      <w:pPr>
        <w:tabs>
          <w:tab w:val="left" w:pos="312"/>
        </w:tabs>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GIxMDE5YmUyZDAzMTJlNTM0YjUyZTI4MGY5MWI0MWUifQ=="/>
  </w:docVars>
  <w:rsids>
    <w:rsidRoot w:val="00000000"/>
    <w:rsid w:val="004B2B62"/>
    <w:rsid w:val="01AF5332"/>
    <w:rsid w:val="02B72A33"/>
    <w:rsid w:val="05B95E97"/>
    <w:rsid w:val="075E313A"/>
    <w:rsid w:val="080A5D29"/>
    <w:rsid w:val="09EF0356"/>
    <w:rsid w:val="0DDA4B5F"/>
    <w:rsid w:val="121943F5"/>
    <w:rsid w:val="13916645"/>
    <w:rsid w:val="160E0421"/>
    <w:rsid w:val="1B321CE5"/>
    <w:rsid w:val="1E5310C7"/>
    <w:rsid w:val="1EBF3D1F"/>
    <w:rsid w:val="1F022AED"/>
    <w:rsid w:val="220E743E"/>
    <w:rsid w:val="221B704D"/>
    <w:rsid w:val="22BA79E7"/>
    <w:rsid w:val="2378385F"/>
    <w:rsid w:val="275D4D64"/>
    <w:rsid w:val="28D177B8"/>
    <w:rsid w:val="29477A7A"/>
    <w:rsid w:val="2CFD173B"/>
    <w:rsid w:val="2F083808"/>
    <w:rsid w:val="322E3240"/>
    <w:rsid w:val="32D15E41"/>
    <w:rsid w:val="33EB0FE6"/>
    <w:rsid w:val="34140EA1"/>
    <w:rsid w:val="34544873"/>
    <w:rsid w:val="37076A9B"/>
    <w:rsid w:val="3DB35286"/>
    <w:rsid w:val="3FAF1A7E"/>
    <w:rsid w:val="447C2876"/>
    <w:rsid w:val="473A231F"/>
    <w:rsid w:val="4791488A"/>
    <w:rsid w:val="488262B3"/>
    <w:rsid w:val="4A6A13C3"/>
    <w:rsid w:val="4D040842"/>
    <w:rsid w:val="506D39BB"/>
    <w:rsid w:val="50B11AF9"/>
    <w:rsid w:val="50E21CB3"/>
    <w:rsid w:val="50FD6AED"/>
    <w:rsid w:val="53163E96"/>
    <w:rsid w:val="559674D1"/>
    <w:rsid w:val="56B365AB"/>
    <w:rsid w:val="595A32B0"/>
    <w:rsid w:val="5E23390B"/>
    <w:rsid w:val="5FF36165"/>
    <w:rsid w:val="603B3628"/>
    <w:rsid w:val="60670F7E"/>
    <w:rsid w:val="6086511D"/>
    <w:rsid w:val="61A8710C"/>
    <w:rsid w:val="61F53D7D"/>
    <w:rsid w:val="62976675"/>
    <w:rsid w:val="63D15967"/>
    <w:rsid w:val="66B00FE7"/>
    <w:rsid w:val="69230C63"/>
    <w:rsid w:val="6BFE1706"/>
    <w:rsid w:val="6D741A8D"/>
    <w:rsid w:val="6FB40867"/>
    <w:rsid w:val="6FC36CFC"/>
    <w:rsid w:val="6FD8533E"/>
    <w:rsid w:val="70BC60A3"/>
    <w:rsid w:val="71940950"/>
    <w:rsid w:val="72200435"/>
    <w:rsid w:val="731C6E4F"/>
    <w:rsid w:val="77EB7DB5"/>
    <w:rsid w:val="7BE40725"/>
    <w:rsid w:val="7D500E2D"/>
    <w:rsid w:val="7EB20667"/>
    <w:rsid w:val="7F32743F"/>
    <w:rsid w:val="7F9742F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2"/>
    <w:basedOn w:val="1"/>
    <w:next w:val="1"/>
    <w:qFormat/>
    <w:uiPriority w:val="0"/>
    <w:pPr>
      <w:spacing w:beforeAutospacing="1" w:afterAutospacing="1"/>
      <w:outlineLvl w:val="1"/>
    </w:pPr>
    <w:rPr>
      <w:rFonts w:hint="eastAsia" w:ascii="宋体" w:hAnsi="宋体" w:eastAsia="宋体"/>
      <w:b/>
      <w:sz w:val="36"/>
      <w:szCs w:val="36"/>
    </w:rPr>
  </w:style>
  <w:style w:type="character" w:default="1" w:styleId="8">
    <w:name w:val="Default Paragraph Font"/>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qFormat/>
    <w:uiPriority w:val="0"/>
    <w:pPr>
      <w:spacing w:after="120"/>
      <w:ind w:left="200" w:leftChars="200" w:firstLine="420" w:firstLineChars="200"/>
    </w:pPr>
    <w:rPr>
      <w:rFonts w:ascii="Times New Roman" w:hAnsi="Times New Roman" w:eastAsia="宋体" w:cs="Times New Roman"/>
      <w:lang w:val="en-US" w:eastAsia="zh-CN" w:bidi="ar-SA"/>
    </w:rPr>
  </w:style>
  <w:style w:type="paragraph" w:styleId="3">
    <w:name w:val="Body Text Indent"/>
    <w:basedOn w:val="1"/>
    <w:qFormat/>
    <w:uiPriority w:val="0"/>
    <w:pPr>
      <w:ind w:left="200" w:leftChars="200"/>
    </w:pPr>
    <w:rPr>
      <w:rFonts w:ascii="Times New Roman" w:hAnsi="Times New Roman" w:cs="Times New Roma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Normal (Web)"/>
    <w:basedOn w:val="1"/>
    <w:next w:val="1"/>
    <w:qFormat/>
    <w:uiPriority w:val="0"/>
    <w:pPr>
      <w:widowControl/>
      <w:spacing w:before="100" w:beforeAutospacing="1" w:after="100" w:afterAutospacing="1"/>
      <w:jc w:val="left"/>
    </w:pPr>
    <w:rPr>
      <w:rFonts w:ascii="宋体" w:hAnsi="宋体" w:eastAsia="宋体" w:cs="宋体"/>
      <w:color w:val="000000"/>
      <w:kern w:val="0"/>
      <w:sz w:val="24"/>
      <w:szCs w:val="24"/>
    </w:rPr>
  </w:style>
  <w:style w:type="paragraph" w:customStyle="1" w:styleId="10">
    <w:name w:val="插入文本样式-插入部门职责文件"/>
    <w:basedOn w:val="1"/>
    <w:qFormat/>
    <w:uiPriority w:val="0"/>
    <w:pPr>
      <w:spacing w:line="500" w:lineRule="exact"/>
      <w:ind w:firstLine="560"/>
    </w:pPr>
    <w:rPr>
      <w:rFonts w:eastAsia="方正仿宋_GBK"/>
      <w:sz w:val="28"/>
    </w:rPr>
  </w:style>
  <w:style w:type="paragraph" w:customStyle="1" w:styleId="11">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3813</Words>
  <Characters>4117</Characters>
  <Lines>7</Lines>
  <Paragraphs>2</Paragraphs>
  <TotalTime>15</TotalTime>
  <ScaleCrop>false</ScaleCrop>
  <LinksUpToDate>false</LinksUpToDate>
  <CharactersWithSpaces>4170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caiwu</cp:lastModifiedBy>
  <cp:lastPrinted>2022-01-19T07:24:00Z</cp:lastPrinted>
  <dcterms:modified xsi:type="dcterms:W3CDTF">2024-04-16T01:43:05Z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4BDF5595ED2C447086B90660B367E325_12</vt:lpwstr>
  </property>
</Properties>
</file>