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adjustRightInd w:val="0"/>
        <w:snapToGrid w:val="0"/>
        <w:spacing w:line="560" w:lineRule="exact"/>
        <w:rPr>
          <w:rFonts w:ascii="仿宋_GB2312" w:eastAsia="仿宋_GB2312"/>
          <w:sz w:val="32"/>
          <w:szCs w:val="32"/>
        </w:rPr>
      </w:pPr>
      <w:r>
        <w:rPr>
          <w:rFonts w:hint="eastAsia" w:ascii="仿宋_GB2312" w:eastAsia="仿宋_GB2312"/>
          <w:sz w:val="32"/>
          <w:szCs w:val="32"/>
        </w:rPr>
        <w:t>附件4</w:t>
      </w:r>
    </w:p>
    <w:p>
      <w:pPr>
        <w:spacing w:line="560" w:lineRule="exact"/>
        <w:jc w:val="center"/>
        <w:rPr>
          <w:rFonts w:ascii="宋体" w:hAnsi="宋体" w:cs="宋体"/>
          <w:b/>
          <w:bCs/>
          <w:sz w:val="44"/>
          <w:szCs w:val="44"/>
        </w:rPr>
      </w:pPr>
    </w:p>
    <w:p>
      <w:pPr>
        <w:spacing w:line="560" w:lineRule="exact"/>
        <w:jc w:val="center"/>
        <w:rPr>
          <w:rFonts w:ascii="宋体" w:hAnsi="宋体" w:cs="宋体"/>
          <w:b/>
          <w:bCs/>
          <w:sz w:val="44"/>
          <w:szCs w:val="44"/>
        </w:rPr>
      </w:pPr>
      <w:r>
        <w:rPr>
          <w:rFonts w:hint="eastAsia" w:ascii="宋体" w:hAnsi="宋体" w:cs="宋体"/>
          <w:b/>
          <w:bCs/>
          <w:sz w:val="44"/>
          <w:szCs w:val="44"/>
        </w:rPr>
        <w:t>赞皇县人民检察院部门</w:t>
      </w:r>
    </w:p>
    <w:p>
      <w:pPr>
        <w:spacing w:line="560" w:lineRule="exact"/>
        <w:jc w:val="center"/>
        <w:rPr>
          <w:rFonts w:ascii="宋体" w:hAnsi="宋体" w:cs="宋体"/>
          <w:sz w:val="32"/>
          <w:szCs w:val="32"/>
        </w:rPr>
      </w:pPr>
      <w:r>
        <w:rPr>
          <w:rFonts w:hint="eastAsia" w:ascii="宋体" w:hAnsi="宋体" w:cs="宋体"/>
          <w:b/>
          <w:bCs/>
          <w:sz w:val="44"/>
          <w:szCs w:val="44"/>
        </w:rPr>
        <w:t>2023年度整体支出绩效自评报告</w:t>
      </w:r>
    </w:p>
    <w:p>
      <w:pPr>
        <w:spacing w:line="560" w:lineRule="exact"/>
        <w:jc w:val="center"/>
        <w:rPr>
          <w:rFonts w:ascii="华文楷体" w:eastAsia="华文楷体"/>
          <w:sz w:val="32"/>
          <w:szCs w:val="32"/>
        </w:rPr>
      </w:pPr>
    </w:p>
    <w:p>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贯彻落实市委市政府《关于全面落实预算绩效管理的实施意见》（石发﹝2019﹞8号）文件精神，遵循“科学性、规范性、客观性和公正性”的原则，对我院2023年整体支出情况实施了财政支出绩效自评价，形成本评价报告。</w:t>
      </w:r>
    </w:p>
    <w:p>
      <w:pPr>
        <w:adjustRightInd w:val="0"/>
        <w:snapToGrid w:val="0"/>
        <w:spacing w:line="560" w:lineRule="exact"/>
        <w:rPr>
          <w:rFonts w:ascii="黑体" w:hAnsi="黑体" w:eastAsia="黑体"/>
          <w:b/>
          <w:bCs/>
          <w:sz w:val="32"/>
          <w:szCs w:val="36"/>
        </w:rPr>
      </w:pPr>
      <w:r>
        <w:rPr>
          <w:rFonts w:hint="eastAsia" w:ascii="黑体" w:hAnsi="黑体" w:eastAsia="黑体"/>
          <w:sz w:val="32"/>
          <w:szCs w:val="32"/>
        </w:rPr>
        <w:t xml:space="preserve">     一、部门</w:t>
      </w:r>
      <w:r>
        <w:rPr>
          <w:rFonts w:hint="eastAsia" w:ascii="黑体" w:hAnsi="黑体" w:eastAsia="黑体"/>
          <w:sz w:val="32"/>
          <w:szCs w:val="36"/>
        </w:rPr>
        <w:t>基本情况</w:t>
      </w:r>
    </w:p>
    <w:p>
      <w:pPr>
        <w:adjustRightInd w:val="0"/>
        <w:snapToGrid w:val="0"/>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（一）部门概况</w:t>
      </w:r>
    </w:p>
    <w:p>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1.部门职能</w:t>
      </w:r>
    </w:p>
    <w:p>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（1）深入贯彻习近平新时代中国特色社会主义思想，深入贯彻党的路线方针和决策部署，坚持党对检察工作的绝对领导，坚决维护习近平总书记的核心地位，坚决维护党中央权威和集中统一领导。</w:t>
      </w:r>
    </w:p>
    <w:p>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（2）依法向人民代表大会及其常务委员会提出议案。</w:t>
      </w:r>
    </w:p>
    <w:p>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（3）贯彻落实检察工作方针、总体规划，研究制定检察工作计划并组织实施。</w:t>
      </w:r>
    </w:p>
    <w:p>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（4）依照法律规定对直接受理的刑事案件行使侦查权。</w:t>
      </w:r>
    </w:p>
    <w:p>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（5）负责对管辖的各类刑事案件依法审查批准逮捕、决定逮捕、提起公诉。</w:t>
      </w:r>
    </w:p>
    <w:p>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（6）负责应由本院承办的刑事、民事、行政诉讼活动及刑事、民事、行政判决和裁定等生效法律文书执行的法律监督工作。</w:t>
      </w:r>
    </w:p>
    <w:p>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（7）负责应由本院承办的提起公益诉讼工作。</w:t>
      </w:r>
    </w:p>
    <w:p>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（8）依法受理核准追诉案件，审查是否上报。</w:t>
      </w:r>
    </w:p>
    <w:p>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（9）负责应由本院承办的对看守所、社区矫正等执法活动的法律监督工作。</w:t>
      </w:r>
    </w:p>
    <w:p>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（10）受理向本院的控告申诉。</w:t>
      </w:r>
    </w:p>
    <w:p>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（11）组织检察工作中法律政策具体应用问题的研究；组织开展检察理论研究工作。</w:t>
      </w:r>
    </w:p>
    <w:p>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（12）负责检察人员思想政治教育和业务培训工作；按照权限管理检察官和其他工作人员。</w:t>
      </w:r>
    </w:p>
    <w:p>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（13）负责本院检务督察工作。</w:t>
      </w:r>
    </w:p>
    <w:p>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（14）负责本院检务保障以及检察技术、信息化建设工作。</w:t>
      </w:r>
    </w:p>
    <w:p>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（15）完成其他应当由本院负责的工作。</w:t>
      </w:r>
    </w:p>
    <w:p>
      <w:pPr>
        <w:spacing w:line="560" w:lineRule="exact"/>
        <w:ind w:firstLine="640" w:firstLineChars="200"/>
        <w:rPr>
          <w:rFonts w:ascii="仿宋_GB2312" w:hAnsi="仿宋" w:eastAsia="仿宋_GB2312" w:cs="仿宋"/>
          <w:sz w:val="32"/>
          <w:szCs w:val="32"/>
        </w:rPr>
      </w:pPr>
      <w:r>
        <w:rPr>
          <w:rFonts w:hint="eastAsia" w:ascii="仿宋" w:hAnsi="仿宋" w:eastAsia="仿宋"/>
          <w:sz w:val="32"/>
          <w:szCs w:val="32"/>
        </w:rPr>
        <w:t>2.</w:t>
      </w:r>
      <w:r>
        <w:rPr>
          <w:rFonts w:hint="eastAsia" w:ascii="仿宋_GB2312" w:hAnsi="仿宋" w:eastAsia="仿宋_GB2312" w:cs="仿宋"/>
          <w:sz w:val="32"/>
          <w:szCs w:val="32"/>
        </w:rPr>
        <w:t>组织机构及人员情况</w:t>
      </w:r>
    </w:p>
    <w:p>
      <w:pPr>
        <w:spacing w:line="560" w:lineRule="exact"/>
        <w:ind w:firstLine="640" w:firstLineChars="200"/>
        <w:rPr>
          <w:rFonts w:ascii="仿宋_GB2312" w:hAnsi="仿宋" w:eastAsia="仿宋_GB2312" w:cs="仿宋"/>
          <w:sz w:val="32"/>
          <w:szCs w:val="32"/>
        </w:rPr>
      </w:pPr>
      <w:r>
        <w:rPr>
          <w:rFonts w:hint="eastAsia" w:ascii="仿宋_GB2312" w:hAnsi="仿宋" w:eastAsia="仿宋_GB2312" w:cs="仿宋"/>
          <w:sz w:val="32"/>
          <w:szCs w:val="32"/>
        </w:rPr>
        <w:t>赞皇县人民检察院纳入2023年度本部门预算汇编范围的独立核算单位共 1 个，为行政单位，经费形式为全额财政拨款。</w:t>
      </w:r>
    </w:p>
    <w:p>
      <w:pPr>
        <w:spacing w:line="560" w:lineRule="exact"/>
        <w:ind w:firstLine="640" w:firstLineChars="200"/>
        <w:rPr>
          <w:rFonts w:ascii="仿宋" w:hAnsi="仿宋" w:eastAsia="仿宋"/>
          <w:sz w:val="32"/>
          <w:szCs w:val="32"/>
        </w:rPr>
      </w:pPr>
      <w:r>
        <w:rPr>
          <w:rFonts w:hint="eastAsia" w:ascii="仿宋_GB2312" w:hAnsi="仿宋" w:eastAsia="仿宋_GB2312" w:cs="仿宋"/>
          <w:sz w:val="32"/>
          <w:szCs w:val="32"/>
        </w:rPr>
        <w:t>赞皇县人民检察院内设机构5个。中央政法编制31名。</w:t>
      </w:r>
    </w:p>
    <w:p>
      <w:pPr>
        <w:adjustRightInd w:val="0"/>
        <w:snapToGrid w:val="0"/>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（二）部门收支预决算情况</w:t>
      </w:r>
    </w:p>
    <w:p>
      <w:pPr>
        <w:spacing w:line="560" w:lineRule="exact"/>
        <w:ind w:firstLine="640" w:firstLineChars="200"/>
        <w:rPr>
          <w:rFonts w:ascii="仿宋_GB2312" w:hAnsi="仿宋" w:eastAsia="仿宋_GB2312" w:cs="仿宋"/>
          <w:sz w:val="32"/>
          <w:szCs w:val="32"/>
        </w:rPr>
      </w:pPr>
      <w:r>
        <w:rPr>
          <w:rFonts w:hint="eastAsia" w:ascii="仿宋_GB2312" w:hAnsi="仿宋" w:eastAsia="仿宋_GB2312" w:cs="仿宋"/>
          <w:sz w:val="32"/>
          <w:szCs w:val="32"/>
        </w:rPr>
        <w:t>我院2023年预算为1032.21万元，其中财政拨款1032.21万元，占总预算的100%。整体预算中，人员经费预算547.12万元，日常公用经费预算141.97万元（包含“三公经费”预算2万元），项目经费预算343.12万元。</w:t>
      </w:r>
    </w:p>
    <w:p>
      <w:pPr>
        <w:spacing w:line="560" w:lineRule="exact"/>
        <w:ind w:firstLine="640" w:firstLineChars="200"/>
        <w:rPr>
          <w:rFonts w:ascii="仿宋_GB2312" w:hAnsi="仿宋" w:eastAsia="仿宋_GB2312" w:cs="仿宋"/>
          <w:sz w:val="32"/>
          <w:szCs w:val="32"/>
        </w:rPr>
      </w:pPr>
      <w:r>
        <w:rPr>
          <w:rFonts w:hint="eastAsia" w:ascii="仿宋_GB2312" w:hAnsi="仿宋" w:eastAsia="仿宋_GB2312" w:cs="仿宋"/>
          <w:sz w:val="32"/>
          <w:szCs w:val="32"/>
        </w:rPr>
        <w:t>我院2023年度实际收入1032.21万元，其中财政拨款收入1032.21万元，占总预算的100%。</w:t>
      </w:r>
    </w:p>
    <w:p>
      <w:pPr>
        <w:spacing w:line="560" w:lineRule="exact"/>
        <w:ind w:firstLine="640" w:firstLineChars="200"/>
        <w:rPr>
          <w:rFonts w:ascii="仿宋_GB2312" w:hAnsi="仿宋" w:eastAsia="仿宋_GB2312" w:cs="仿宋"/>
          <w:sz w:val="32"/>
          <w:szCs w:val="32"/>
        </w:rPr>
      </w:pPr>
      <w:r>
        <w:rPr>
          <w:rFonts w:hint="eastAsia" w:ascii="仿宋_GB2312" w:hAnsi="仿宋" w:eastAsia="仿宋_GB2312" w:cs="仿宋"/>
          <w:sz w:val="32"/>
          <w:szCs w:val="32"/>
        </w:rPr>
        <w:t>我院2023年整体支出为955.01万元。</w:t>
      </w:r>
    </w:p>
    <w:p>
      <w:pPr>
        <w:spacing w:line="560" w:lineRule="exact"/>
        <w:ind w:firstLine="640"/>
        <w:rPr>
          <w:rFonts w:ascii="仿宋" w:hAnsi="仿宋" w:eastAsia="仿宋"/>
          <w:sz w:val="32"/>
          <w:szCs w:val="32"/>
        </w:rPr>
      </w:pPr>
      <w:r>
        <w:rPr>
          <w:rFonts w:hint="eastAsia" w:ascii="仿宋_GB2312" w:hAnsi="仿宋" w:eastAsia="仿宋_GB2312" w:cs="仿宋"/>
          <w:sz w:val="32"/>
          <w:szCs w:val="32"/>
        </w:rPr>
        <w:t>1.基本支出情况</w:t>
      </w:r>
    </w:p>
    <w:p>
      <w:pPr>
        <w:spacing w:line="560" w:lineRule="exact"/>
        <w:ind w:firstLine="640" w:firstLineChars="200"/>
        <w:rPr>
          <w:rFonts w:ascii="仿宋_GB2312" w:hAnsi="仿宋" w:eastAsia="仿宋_GB2312" w:cs="仿宋"/>
          <w:sz w:val="32"/>
          <w:szCs w:val="32"/>
        </w:rPr>
      </w:pPr>
      <w:r>
        <w:rPr>
          <w:rFonts w:hint="eastAsia" w:ascii="仿宋_GB2312" w:hAnsi="仿宋" w:eastAsia="仿宋_GB2312" w:cs="仿宋"/>
          <w:sz w:val="32"/>
          <w:szCs w:val="32"/>
        </w:rPr>
        <w:t>基本支出是保障机构正常运转、完成日常工作任务而发生的支出，包括人员经费支出和日常公用经费（含“三公经费”）支出。</w:t>
      </w:r>
    </w:p>
    <w:p>
      <w:pPr>
        <w:spacing w:line="560" w:lineRule="exact"/>
        <w:ind w:firstLine="640" w:firstLineChars="200"/>
        <w:rPr>
          <w:rFonts w:ascii="仿宋_GB2312" w:hAnsi="仿宋" w:eastAsia="仿宋_GB2312" w:cs="仿宋"/>
          <w:sz w:val="32"/>
          <w:szCs w:val="32"/>
        </w:rPr>
      </w:pPr>
      <w:r>
        <w:rPr>
          <w:rFonts w:hint="eastAsia" w:ascii="仿宋_GB2312" w:hAnsi="仿宋" w:eastAsia="仿宋_GB2312" w:cs="仿宋"/>
          <w:sz w:val="32"/>
          <w:szCs w:val="32"/>
        </w:rPr>
        <w:t>2023年度本院基本支出639.4万元，人员经费支出497.43万元,占基本支出比例77.8 %，日常公用经费支出141.97万元，占基本支出比例22.2%。其中，“三公”经费支出为2万元，占日常公用经费支出比例为1.4%。</w:t>
      </w:r>
    </w:p>
    <w:p>
      <w:pPr>
        <w:adjustRightInd w:val="0"/>
        <w:snapToGrid w:val="0"/>
        <w:spacing w:line="560" w:lineRule="exact"/>
        <w:ind w:firstLine="640" w:firstLineChars="200"/>
      </w:pPr>
      <w:r>
        <w:rPr>
          <w:rFonts w:hint="eastAsia" w:ascii="楷体" w:hAnsi="楷体" w:eastAsia="楷体" w:cs="楷体_GB2312"/>
          <w:bCs/>
          <w:sz w:val="32"/>
          <w:szCs w:val="32"/>
        </w:rPr>
        <w:t>（三）部门整体支出绩效目标、指标</w:t>
      </w:r>
    </w:p>
    <w:p>
      <w:pPr>
        <w:spacing w:line="560" w:lineRule="exact"/>
        <w:ind w:firstLine="640" w:firstLineChars="200"/>
        <w:rPr>
          <w:rFonts w:hint="eastAsia" w:ascii="仿宋_GB2312" w:hAnsi="仿宋" w:eastAsia="仿宋_GB2312" w:cs="仿宋"/>
          <w:sz w:val="32"/>
          <w:szCs w:val="32"/>
        </w:rPr>
      </w:pPr>
      <w:r>
        <w:rPr>
          <w:rFonts w:hint="eastAsia" w:ascii="仿宋_GB2312" w:hAnsi="仿宋" w:eastAsia="仿宋_GB2312" w:cs="仿宋"/>
          <w:sz w:val="32"/>
          <w:szCs w:val="32"/>
        </w:rPr>
        <w:t>赞皇县检察院将进一步坚持不懈学深悟透笃行习近平新时代中国特色社会主义思想，全面贯彻习近平法治思想，深入学习宣传党的二十大精神，坚决贯彻落实省委、市委、县委和上级院各项决策部署，始终牢记新时代新征程党的中心任务，全面履职尽责，推动全院干警更加自觉增强“四个意识”、坚定“四个自信”、做到“两个维护”。</w:t>
      </w:r>
    </w:p>
    <w:p>
      <w:pPr>
        <w:spacing w:line="560" w:lineRule="exact"/>
        <w:ind w:firstLine="640" w:firstLineChars="200"/>
        <w:rPr>
          <w:rFonts w:hint="eastAsia" w:ascii="仿宋_GB2312" w:hAnsi="仿宋" w:eastAsia="仿宋_GB2312" w:cs="仿宋"/>
          <w:sz w:val="32"/>
          <w:szCs w:val="32"/>
        </w:rPr>
      </w:pPr>
      <w:r>
        <w:rPr>
          <w:rFonts w:hint="eastAsia" w:ascii="仿宋_GB2312" w:hAnsi="仿宋" w:eastAsia="仿宋_GB2312" w:cs="仿宋"/>
          <w:sz w:val="32"/>
          <w:szCs w:val="32"/>
        </w:rPr>
        <w:t>一是主动担当履职，服务发展大局。深入贯彻《</w:t>
      </w:r>
      <w:r>
        <w:rPr>
          <w:rFonts w:hint="eastAsia" w:ascii="仿宋_GB2312" w:hAnsi="仿宋" w:eastAsia="仿宋_GB2312" w:cs="仿宋"/>
          <w:sz w:val="32"/>
          <w:szCs w:val="32"/>
          <w:lang w:val="en-US" w:eastAsia="zh-CN"/>
        </w:rPr>
        <w:t>中华人民共和国</w:t>
      </w:r>
      <w:r>
        <w:rPr>
          <w:rFonts w:hint="eastAsia" w:ascii="仿宋_GB2312" w:hAnsi="仿宋" w:eastAsia="仿宋_GB2312" w:cs="仿宋"/>
          <w:sz w:val="32"/>
          <w:szCs w:val="32"/>
        </w:rPr>
        <w:t>反有组织犯罪法》，积极深入推进扫黑除恶常态化、“三场硬仗”活动，营造稳定的法治环境。以建设“中国式现代化赞皇场景”为抓手，以赞皇县获得国家“两山”理论实践创新基地为契机，深入开展生态环境和自然资源保护专项监督活动，保障“三地两区一城”规划实现。</w:t>
      </w:r>
    </w:p>
    <w:p>
      <w:pPr>
        <w:spacing w:line="560" w:lineRule="exact"/>
        <w:ind w:firstLine="640" w:firstLineChars="200"/>
        <w:rPr>
          <w:rFonts w:hint="eastAsia" w:ascii="仿宋_GB2312" w:hAnsi="仿宋" w:eastAsia="仿宋_GB2312" w:cs="仿宋"/>
          <w:sz w:val="32"/>
          <w:szCs w:val="32"/>
        </w:rPr>
      </w:pPr>
      <w:r>
        <w:rPr>
          <w:rFonts w:hint="eastAsia" w:ascii="仿宋_GB2312" w:hAnsi="仿宋" w:eastAsia="仿宋_GB2312" w:cs="仿宋"/>
          <w:sz w:val="32"/>
          <w:szCs w:val="32"/>
        </w:rPr>
        <w:t>二是办案提质增效，提升监督品质。大力开展“四比一争”“提质增效”活动，提升办案质量、增强办案效率、增强办案效果。落实好认罪认罚从宽制度，大胆贯彻少捕慎诉慎押政策，大胆适用不捕、不诉、抗诉等法律规定，敢于监督，依法监督，全面监督，让人民群众感受到公平正义就在身边。</w:t>
      </w:r>
    </w:p>
    <w:p>
      <w:pPr>
        <w:spacing w:line="560" w:lineRule="exact"/>
        <w:ind w:firstLine="640" w:firstLineChars="200"/>
        <w:rPr>
          <w:rFonts w:hint="eastAsia" w:ascii="仿宋_GB2312" w:hAnsi="仿宋" w:eastAsia="仿宋_GB2312" w:cs="仿宋"/>
          <w:sz w:val="32"/>
          <w:szCs w:val="32"/>
        </w:rPr>
      </w:pPr>
      <w:r>
        <w:rPr>
          <w:rFonts w:hint="eastAsia" w:ascii="仿宋_GB2312" w:hAnsi="仿宋" w:eastAsia="仿宋_GB2312" w:cs="仿宋"/>
          <w:sz w:val="32"/>
          <w:szCs w:val="32"/>
        </w:rPr>
        <w:t>三是坚持司法为民，维护社会公平正义。依法解决群众法律诉求，抓实抓好群众来信“件件有回复”、公开听证、司法救助、支持起诉、行政争议实质性化解等工作，不断提升人民群众的安全感和满意度，打造平安赞皇、法治赞皇、和谐赞皇，打造“枫桥经验”的赞皇样板。</w:t>
      </w:r>
    </w:p>
    <w:p>
      <w:pPr>
        <w:adjustRightInd w:val="0"/>
        <w:snapToGrid w:val="0"/>
        <w:spacing w:line="560" w:lineRule="exact"/>
        <w:ind w:firstLine="640" w:firstLineChars="200"/>
        <w:rPr>
          <w:rFonts w:ascii="黑体" w:hAnsi="黑体" w:eastAsia="黑体"/>
          <w:sz w:val="32"/>
          <w:szCs w:val="32"/>
        </w:rPr>
      </w:pPr>
      <w:r>
        <w:rPr>
          <w:rFonts w:hint="eastAsia" w:ascii="黑体" w:hAnsi="黑体" w:eastAsia="黑体"/>
          <w:sz w:val="32"/>
          <w:szCs w:val="32"/>
        </w:rPr>
        <w:t>二、自评工作开展情况</w:t>
      </w:r>
    </w:p>
    <w:p>
      <w:pPr>
        <w:spacing w:line="560" w:lineRule="exact"/>
        <w:rPr>
          <w:rFonts w:ascii="楷体" w:hAnsi="楷体" w:eastAsia="楷体" w:cs="楷体_GB2312"/>
          <w:sz w:val="32"/>
          <w:szCs w:val="32"/>
        </w:rPr>
      </w:pPr>
      <w:r>
        <w:rPr>
          <w:rFonts w:hint="eastAsia" w:ascii="仿宋" w:hAnsi="仿宋" w:eastAsia="仿宋" w:cs="楷体_GB2312"/>
          <w:b/>
          <w:bCs/>
          <w:sz w:val="32"/>
          <w:szCs w:val="32"/>
        </w:rPr>
        <w:t xml:space="preserve">    </w:t>
      </w:r>
      <w:r>
        <w:rPr>
          <w:rFonts w:hint="eastAsia" w:ascii="楷体" w:hAnsi="楷体" w:eastAsia="楷体" w:cs="楷体_GB2312"/>
          <w:bCs/>
          <w:sz w:val="32"/>
          <w:szCs w:val="32"/>
        </w:rPr>
        <w:t>（一）自评的组织工作</w:t>
      </w:r>
    </w:p>
    <w:p>
      <w:pPr>
        <w:spacing w:line="360" w:lineRule="auto"/>
        <w:ind w:firstLine="645"/>
        <w:rPr>
          <w:rFonts w:ascii="仿宋" w:hAnsi="仿宋" w:eastAsia="仿宋"/>
          <w:sz w:val="32"/>
          <w:szCs w:val="32"/>
        </w:rPr>
      </w:pPr>
      <w:r>
        <w:rPr>
          <w:rFonts w:hint="eastAsia" w:ascii="仿宋_GB2312" w:eastAsia="仿宋_GB2312"/>
          <w:sz w:val="32"/>
          <w:szCs w:val="32"/>
        </w:rPr>
        <w:t>为保证绩效评价工作顺利开展，成立了绩效评价工作小组，负责绩效评价的组织管理和实施工作，工作组各成员按照任务分工和时间安排开展相关工作。</w:t>
      </w:r>
    </w:p>
    <w:p>
      <w:pPr>
        <w:numPr>
          <w:ilvl w:val="0"/>
          <w:numId w:val="1"/>
        </w:numPr>
        <w:spacing w:line="560" w:lineRule="exact"/>
        <w:rPr>
          <w:rFonts w:ascii="楷体" w:hAnsi="楷体" w:eastAsia="楷体" w:cs="楷体_GB2312"/>
          <w:bCs/>
          <w:sz w:val="32"/>
          <w:szCs w:val="32"/>
        </w:rPr>
      </w:pPr>
      <w:r>
        <w:rPr>
          <w:rFonts w:hint="eastAsia" w:ascii="楷体" w:hAnsi="楷体" w:eastAsia="楷体" w:cs="楷体_GB2312"/>
          <w:bCs/>
          <w:sz w:val="32"/>
          <w:szCs w:val="32"/>
        </w:rPr>
        <w:t>自评的方法和过程</w:t>
      </w:r>
    </w:p>
    <w:p>
      <w:pPr>
        <w:snapToGrid w:val="0"/>
        <w:spacing w:line="560" w:lineRule="exact"/>
        <w:ind w:firstLine="640" w:firstLineChars="200"/>
        <w:rPr>
          <w:rFonts w:hint="eastAsia" w:ascii="仿宋_GB2312" w:hAnsi="仿宋" w:eastAsia="仿宋_GB2312" w:cs="仿宋"/>
          <w:sz w:val="32"/>
          <w:szCs w:val="32"/>
          <w:lang w:val="en-US" w:eastAsia="zh-CN"/>
        </w:rPr>
      </w:pPr>
      <w:r>
        <w:rPr>
          <w:rFonts w:hint="eastAsia" w:ascii="仿宋_GB2312" w:hAnsi="仿宋" w:eastAsia="仿宋_GB2312" w:cs="仿宋"/>
          <w:sz w:val="32"/>
          <w:szCs w:val="32"/>
          <w:lang w:val="en-US" w:eastAsia="zh-CN"/>
        </w:rPr>
        <w:t>为提高自评结果的客观公正性，本着科学规范、客观公正、注重实效的原则，院办公室对部门整体支出绩效自评工作进行了部署，明确了绩效自评的办法、步骤，对自评工作提出了明确要求。财务室与相关科室按照自评方案要求，做好数据收集、现场核查、满意度调查等相关工作，积极提供整体支出绩效自评材料，确保按时完成绩效自评工作。</w:t>
      </w:r>
    </w:p>
    <w:p>
      <w:pPr>
        <w:spacing w:line="560" w:lineRule="exact"/>
        <w:rPr>
          <w:rFonts w:ascii="黑体" w:hAnsi="黑体" w:eastAsia="黑体"/>
          <w:b/>
          <w:bCs/>
          <w:sz w:val="32"/>
          <w:szCs w:val="32"/>
        </w:rPr>
      </w:pPr>
      <w:r>
        <w:rPr>
          <w:rFonts w:hint="eastAsia" w:ascii="黑体" w:hAnsi="黑体" w:eastAsia="黑体"/>
          <w:sz w:val="32"/>
          <w:szCs w:val="32"/>
        </w:rPr>
        <w:t xml:space="preserve">    三、部门整体支出绩效目标实现情况及指标分析</w:t>
      </w:r>
    </w:p>
    <w:p>
      <w:pPr>
        <w:numPr>
          <w:ilvl w:val="0"/>
          <w:numId w:val="2"/>
        </w:numPr>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总体绩效目标实现情况</w:t>
      </w:r>
    </w:p>
    <w:p>
      <w:pPr>
        <w:snapToGrid w:val="0"/>
        <w:spacing w:line="570" w:lineRule="exact"/>
        <w:ind w:firstLine="640" w:firstLineChars="200"/>
        <w:rPr>
          <w:rFonts w:ascii="仿宋" w:hAnsi="仿宋" w:eastAsia="仿宋"/>
          <w:sz w:val="32"/>
          <w:szCs w:val="32"/>
        </w:rPr>
      </w:pPr>
      <w:r>
        <w:rPr>
          <w:rFonts w:hint="eastAsia" w:ascii="仿宋" w:hAnsi="仿宋" w:eastAsia="仿宋" w:cs="仿宋"/>
          <w:sz w:val="32"/>
          <w:szCs w:val="32"/>
        </w:rPr>
        <w:t>在县委和上级院坚强领导下，在县人大及其常委会有力监督下，在县政府、县政协和社会各界关心支持下，始终坚持以习近平新时代中国特色社会主义思想为指导，深入贯彻党的二十大精神，全面贯彻习近平法治思想，坚持为大局服务、为人民司法、为法治担当，深耕法律监督主责主业，各项检察工作取得新进展。</w:t>
      </w:r>
    </w:p>
    <w:p>
      <w:pPr>
        <w:spacing w:line="560" w:lineRule="exact"/>
        <w:rPr>
          <w:rFonts w:ascii="楷体" w:hAnsi="楷体" w:eastAsia="楷体"/>
          <w:bCs/>
          <w:sz w:val="32"/>
          <w:szCs w:val="32"/>
        </w:rPr>
      </w:pPr>
      <w:r>
        <w:rPr>
          <w:rFonts w:hint="eastAsia" w:ascii="仿宋" w:hAnsi="仿宋" w:eastAsia="仿宋" w:cs="楷体_GB2312"/>
          <w:b/>
          <w:bCs/>
          <w:sz w:val="32"/>
          <w:szCs w:val="32"/>
        </w:rPr>
        <w:t xml:space="preserve">    </w:t>
      </w:r>
      <w:r>
        <w:rPr>
          <w:rFonts w:hint="eastAsia" w:ascii="楷体" w:hAnsi="楷体" w:eastAsia="楷体" w:cs="楷体_GB2312"/>
          <w:bCs/>
          <w:sz w:val="32"/>
          <w:szCs w:val="32"/>
        </w:rPr>
        <w:t>（二）分项绩效目标实现情况及指标分析</w:t>
      </w:r>
    </w:p>
    <w:p>
      <w:pPr>
        <w:spacing w:line="560" w:lineRule="exact"/>
        <w:ind w:firstLine="800" w:firstLineChars="250"/>
        <w:rPr>
          <w:rFonts w:hint="eastAsia" w:ascii="仿宋_GB2312" w:hAnsi="仿宋" w:eastAsia="仿宋_GB2312" w:cs="仿宋"/>
          <w:sz w:val="32"/>
          <w:szCs w:val="32"/>
          <w:lang w:eastAsia="zh-CN"/>
        </w:rPr>
      </w:pPr>
      <w:r>
        <w:rPr>
          <w:rFonts w:hint="eastAsia" w:ascii="仿宋" w:hAnsi="仿宋" w:eastAsia="仿宋"/>
          <w:sz w:val="32"/>
          <w:szCs w:val="32"/>
          <w:lang w:val="en-US" w:eastAsia="zh-CN"/>
        </w:rPr>
        <w:t>我院</w:t>
      </w:r>
      <w:r>
        <w:rPr>
          <w:rFonts w:hint="eastAsia" w:ascii="仿宋" w:hAnsi="仿宋" w:eastAsia="仿宋"/>
          <w:sz w:val="32"/>
          <w:szCs w:val="32"/>
        </w:rPr>
        <w:t>各项项目立项规范、绩效目标合理、绩效指标明确。202</w:t>
      </w:r>
      <w:r>
        <w:rPr>
          <w:rFonts w:hint="eastAsia" w:ascii="仿宋" w:hAnsi="仿宋" w:eastAsia="仿宋"/>
          <w:sz w:val="32"/>
          <w:szCs w:val="32"/>
          <w:lang w:val="en-US" w:eastAsia="zh-CN"/>
        </w:rPr>
        <w:t>3</w:t>
      </w:r>
      <w:r>
        <w:rPr>
          <w:rFonts w:hint="eastAsia" w:ascii="仿宋" w:hAnsi="仿宋" w:eastAsia="仿宋"/>
          <w:sz w:val="32"/>
          <w:szCs w:val="32"/>
        </w:rPr>
        <w:t>年项目共计</w:t>
      </w:r>
      <w:r>
        <w:rPr>
          <w:rFonts w:hint="eastAsia" w:ascii="仿宋" w:hAnsi="仿宋" w:eastAsia="仿宋"/>
          <w:sz w:val="32"/>
          <w:szCs w:val="32"/>
          <w:lang w:val="en-US" w:eastAsia="zh-CN"/>
        </w:rPr>
        <w:t>13</w:t>
      </w:r>
      <w:r>
        <w:rPr>
          <w:rFonts w:hint="eastAsia" w:ascii="仿宋" w:hAnsi="仿宋" w:eastAsia="仿宋"/>
          <w:sz w:val="32"/>
          <w:szCs w:val="32"/>
        </w:rPr>
        <w:t>个，预算金额</w:t>
      </w:r>
      <w:r>
        <w:rPr>
          <w:rFonts w:hint="eastAsia" w:ascii="仿宋" w:hAnsi="仿宋" w:eastAsia="仿宋"/>
          <w:sz w:val="32"/>
          <w:szCs w:val="32"/>
          <w:lang w:val="en-US" w:eastAsia="zh-CN"/>
        </w:rPr>
        <w:t>343.12</w:t>
      </w:r>
      <w:r>
        <w:rPr>
          <w:rFonts w:hint="eastAsia" w:ascii="仿宋" w:hAnsi="仿宋" w:eastAsia="仿宋"/>
          <w:sz w:val="32"/>
          <w:szCs w:val="32"/>
        </w:rPr>
        <w:t>万元，向财政部门交回资金</w:t>
      </w:r>
      <w:r>
        <w:rPr>
          <w:rFonts w:hint="eastAsia" w:ascii="仿宋" w:hAnsi="仿宋" w:eastAsia="仿宋"/>
          <w:sz w:val="32"/>
          <w:szCs w:val="32"/>
          <w:lang w:val="en-US" w:eastAsia="zh-CN"/>
        </w:rPr>
        <w:t>27.52</w:t>
      </w:r>
      <w:r>
        <w:rPr>
          <w:rFonts w:hint="eastAsia" w:ascii="仿宋" w:hAnsi="仿宋" w:eastAsia="仿宋"/>
          <w:sz w:val="32"/>
          <w:szCs w:val="32"/>
        </w:rPr>
        <w:t>万元。制定目标基本实现，部分预算项目执行不到位的原因为：年初预算编制不够细致，业务费根据检察业务办理情况支出。</w:t>
      </w:r>
    </w:p>
    <w:p>
      <w:pPr>
        <w:spacing w:line="560" w:lineRule="exact"/>
        <w:ind w:firstLine="640" w:firstLineChars="200"/>
        <w:rPr>
          <w:rFonts w:ascii="黑体" w:hAnsi="黑体" w:eastAsia="黑体"/>
          <w:sz w:val="32"/>
          <w:szCs w:val="32"/>
        </w:rPr>
      </w:pPr>
      <w:r>
        <w:rPr>
          <w:rFonts w:hint="eastAsia" w:ascii="黑体" w:hAnsi="黑体" w:eastAsia="黑体"/>
          <w:sz w:val="32"/>
          <w:szCs w:val="32"/>
        </w:rPr>
        <w:t>四、评价结论和评价等级</w:t>
      </w:r>
    </w:p>
    <w:p>
      <w:pPr>
        <w:spacing w:line="560" w:lineRule="exact"/>
        <w:ind w:firstLine="640" w:firstLineChars="200"/>
        <w:rPr>
          <w:rFonts w:hint="eastAsia" w:ascii="仿宋_GB2312" w:hAnsi="仿宋" w:eastAsia="仿宋_GB2312" w:cs="仿宋"/>
          <w:sz w:val="32"/>
          <w:szCs w:val="32"/>
        </w:rPr>
      </w:pPr>
      <w:r>
        <w:rPr>
          <w:rFonts w:hint="eastAsia" w:ascii="仿宋_GB2312" w:hAnsi="仿宋" w:eastAsia="仿宋_GB2312" w:cs="仿宋"/>
          <w:sz w:val="32"/>
          <w:szCs w:val="32"/>
        </w:rPr>
        <w:t>我院积极履职，通过加强预算收支管理，不断梳理内部管理流程，建立健全内部管理制度，部门整体支出管理水平得到提升。经自评，</w:t>
      </w:r>
      <w:r>
        <w:rPr>
          <w:rFonts w:hint="eastAsia" w:ascii="仿宋_GB2312" w:hAnsi="仿宋" w:eastAsia="仿宋_GB2312" w:cs="仿宋"/>
          <w:sz w:val="32"/>
          <w:szCs w:val="32"/>
          <w:lang w:val="en-US" w:eastAsia="zh-CN"/>
        </w:rPr>
        <w:t>12</w:t>
      </w:r>
      <w:r>
        <w:rPr>
          <w:rFonts w:hint="eastAsia" w:ascii="仿宋_GB2312" w:hAnsi="仿宋" w:eastAsia="仿宋_GB2312" w:cs="仿宋"/>
          <w:sz w:val="32"/>
          <w:szCs w:val="32"/>
        </w:rPr>
        <w:t>个项目自评得分均在90分以上，202</w:t>
      </w:r>
      <w:r>
        <w:rPr>
          <w:rFonts w:hint="eastAsia" w:ascii="仿宋_GB2312" w:hAnsi="仿宋" w:eastAsia="仿宋_GB2312" w:cs="仿宋"/>
          <w:sz w:val="32"/>
          <w:szCs w:val="32"/>
          <w:lang w:val="en-US" w:eastAsia="zh-CN"/>
        </w:rPr>
        <w:t>3</w:t>
      </w:r>
      <w:r>
        <w:rPr>
          <w:rFonts w:hint="eastAsia" w:ascii="仿宋_GB2312" w:hAnsi="仿宋" w:eastAsia="仿宋_GB2312" w:cs="仿宋"/>
          <w:sz w:val="32"/>
          <w:szCs w:val="32"/>
        </w:rPr>
        <w:t>年我院较好的完成了年度工作目标，综合评价等级为“优秀”。</w:t>
      </w:r>
    </w:p>
    <w:p>
      <w:pPr>
        <w:spacing w:line="560" w:lineRule="exact"/>
        <w:ind w:firstLine="640" w:firstLineChars="200"/>
        <w:rPr>
          <w:rFonts w:ascii="黑体" w:hAnsi="黑体" w:eastAsia="黑体"/>
          <w:sz w:val="32"/>
          <w:szCs w:val="32"/>
        </w:rPr>
      </w:pPr>
      <w:r>
        <w:rPr>
          <w:rFonts w:hint="eastAsia" w:ascii="黑体" w:hAnsi="黑体" w:eastAsia="黑体"/>
          <w:sz w:val="32"/>
          <w:szCs w:val="32"/>
        </w:rPr>
        <w:t>五、存在的问题及改进措施</w:t>
      </w:r>
    </w:p>
    <w:p>
      <w:pPr>
        <w:spacing w:line="560" w:lineRule="exact"/>
        <w:ind w:firstLine="640" w:firstLineChars="200"/>
        <w:rPr>
          <w:rFonts w:ascii="楷体" w:hAnsi="楷体" w:eastAsia="楷体"/>
          <w:bCs/>
          <w:sz w:val="32"/>
          <w:szCs w:val="32"/>
        </w:rPr>
      </w:pPr>
      <w:r>
        <w:rPr>
          <w:rFonts w:hint="eastAsia" w:ascii="楷体" w:hAnsi="楷体" w:eastAsia="楷体"/>
          <w:bCs/>
          <w:sz w:val="32"/>
          <w:szCs w:val="32"/>
        </w:rPr>
        <w:t>（一）存在的主要问题</w:t>
      </w:r>
    </w:p>
    <w:p>
      <w:pPr>
        <w:spacing w:line="560" w:lineRule="exact"/>
        <w:ind w:firstLine="640" w:firstLineChars="200"/>
        <w:rPr>
          <w:rFonts w:ascii="楷体" w:hAnsi="楷体" w:eastAsia="楷体"/>
          <w:bCs/>
          <w:sz w:val="32"/>
          <w:szCs w:val="32"/>
        </w:rPr>
      </w:pPr>
      <w:r>
        <w:rPr>
          <w:rFonts w:hint="eastAsia" w:ascii="仿宋_GB2312" w:hAnsi="仿宋" w:eastAsia="仿宋_GB2312" w:cs="仿宋"/>
          <w:sz w:val="32"/>
          <w:szCs w:val="32"/>
        </w:rPr>
        <w:t>从自评情况看，有关项目总体立项规范，绩效目标明确，预算编制较为合理，预算执行及时有效，资金及时到位，</w:t>
      </w:r>
      <w:bookmarkStart w:id="0" w:name="_GoBack"/>
      <w:bookmarkEnd w:id="0"/>
      <w:r>
        <w:rPr>
          <w:rFonts w:hint="eastAsia" w:ascii="仿宋_GB2312" w:hAnsi="仿宋" w:eastAsia="仿宋_GB2312" w:cs="仿宋"/>
          <w:sz w:val="32"/>
          <w:szCs w:val="32"/>
        </w:rPr>
        <w:t>绩效目标得到较好实现，部门履职水平不断提高，但也存在部分项目产出指标低于预期、项目实施进展慢等问题。</w:t>
      </w:r>
    </w:p>
    <w:p>
      <w:pPr>
        <w:spacing w:line="560" w:lineRule="exact"/>
        <w:ind w:firstLine="640" w:firstLineChars="200"/>
        <w:rPr>
          <w:rFonts w:ascii="楷体" w:hAnsi="楷体" w:eastAsia="楷体"/>
          <w:bCs/>
          <w:sz w:val="32"/>
          <w:szCs w:val="32"/>
        </w:rPr>
      </w:pPr>
      <w:r>
        <w:rPr>
          <w:rFonts w:hint="eastAsia" w:ascii="楷体" w:hAnsi="楷体" w:eastAsia="楷体"/>
          <w:bCs/>
          <w:sz w:val="32"/>
          <w:szCs w:val="32"/>
        </w:rPr>
        <w:t>（二）针对问题提出具体的改进措施或建议</w:t>
      </w:r>
    </w:p>
    <w:p>
      <w:pPr>
        <w:spacing w:line="560" w:lineRule="exact"/>
        <w:ind w:firstLine="640" w:firstLineChars="200"/>
        <w:rPr>
          <w:rFonts w:ascii="仿宋_GB2312" w:hAnsi="仿宋" w:eastAsia="仿宋_GB2312" w:cs="仿宋"/>
          <w:sz w:val="32"/>
          <w:szCs w:val="32"/>
        </w:rPr>
      </w:pPr>
      <w:r>
        <w:rPr>
          <w:rFonts w:hint="eastAsia" w:ascii="仿宋_GB2312" w:hAnsi="仿宋" w:eastAsia="仿宋_GB2312" w:cs="仿宋"/>
          <w:sz w:val="32"/>
          <w:szCs w:val="32"/>
        </w:rPr>
        <w:t>1.强化绩效目标管理工作。充分挖掘项目实施的价值和意义，根据项目实际情况设置完善的绩效目标，做到绩效目标针对项目特点清晰明确且细化，有量化的绩效指标且能清晰反映绩效可实现程度，绩效目标依据充分。做好绩效监控管理工作，建立监控制度，确保绩效目标如期实现。</w:t>
      </w:r>
    </w:p>
    <w:p>
      <w:pPr>
        <w:adjustRightInd w:val="0"/>
        <w:snapToGrid w:val="0"/>
        <w:spacing w:line="560" w:lineRule="exact"/>
        <w:ind w:firstLine="640" w:firstLineChars="200"/>
        <w:rPr>
          <w:rFonts w:hint="eastAsia" w:ascii="仿宋_GB2312" w:hAnsi="仿宋" w:eastAsia="仿宋_GB2312" w:cs="仿宋"/>
          <w:sz w:val="32"/>
          <w:szCs w:val="32"/>
          <w:lang w:val="en-US" w:eastAsia="zh-CN"/>
        </w:rPr>
      </w:pPr>
      <w:r>
        <w:rPr>
          <w:rFonts w:hint="eastAsia" w:ascii="仿宋_GB2312" w:hAnsi="仿宋" w:eastAsia="仿宋_GB2312" w:cs="仿宋"/>
          <w:sz w:val="32"/>
          <w:szCs w:val="32"/>
        </w:rPr>
        <w:t>2.</w:t>
      </w:r>
      <w:r>
        <w:rPr>
          <w:rFonts w:hint="eastAsia" w:ascii="仿宋_GB2312" w:hAnsi="仿宋" w:eastAsia="仿宋_GB2312" w:cs="仿宋"/>
          <w:sz w:val="32"/>
          <w:szCs w:val="32"/>
          <w:lang w:val="en-US" w:eastAsia="zh-CN"/>
        </w:rPr>
        <w:t>加强预算管理工作。提早谋划论证项目，合理安排年度支出计划，将预算编制细致化、合理化，开展好各项业务工作，保证项目资金有效、合规的使用。</w:t>
      </w:r>
    </w:p>
    <w:p>
      <w:pPr>
        <w:adjustRightInd w:val="0"/>
        <w:snapToGrid w:val="0"/>
        <w:spacing w:line="560" w:lineRule="exact"/>
        <w:ind w:firstLine="640" w:firstLineChars="200"/>
        <w:rPr>
          <w:rFonts w:ascii="仿宋" w:hAnsi="仿宋" w:eastAsia="仿宋"/>
        </w:rPr>
      </w:pPr>
      <w:r>
        <w:rPr>
          <w:rFonts w:hint="eastAsia" w:ascii="仿宋_GB2312" w:hAnsi="仿宋" w:eastAsia="仿宋_GB2312" w:cs="仿宋"/>
          <w:sz w:val="32"/>
          <w:szCs w:val="32"/>
          <w:lang w:val="en-US" w:eastAsia="zh-CN"/>
        </w:rPr>
        <w:t>3.</w:t>
      </w:r>
      <w:r>
        <w:rPr>
          <w:rFonts w:hint="eastAsia" w:ascii="仿宋_GB2312" w:hAnsi="仿宋" w:eastAsia="仿宋_GB2312" w:cs="仿宋"/>
          <w:sz w:val="32"/>
          <w:szCs w:val="32"/>
        </w:rPr>
        <w:t>多措并举提升预算执行率。建议相关内设机构年初应制定较为详细的资金使用明细和计划，有效保障下一年度的资金使用和项目实施，采取项目事前评估或其他方式对项目执行过程中可能发生的问题进行预测，有的放矢的采取相关措施保障计划顺利实施。</w:t>
      </w:r>
    </w:p>
    <w:sectPr>
      <w:footerReference r:id="rId3" w:type="default"/>
      <w:pgSz w:w="11906" w:h="16838"/>
      <w:pgMar w:top="1440" w:right="1474" w:bottom="1440" w:left="1587" w:header="851" w:footer="992" w:gutter="0"/>
      <w:pgNumType w:fmt="numberInDash"/>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AFF" w:usb1="C000247B" w:usb2="00000009" w:usb3="00000000" w:csb0="200001FF" w:csb1="00000000"/>
  </w:font>
  <w:font w:name="Cambria">
    <w:panose1 w:val="02040503050406030204"/>
    <w:charset w:val="00"/>
    <w:family w:val="roman"/>
    <w:pitch w:val="default"/>
    <w:sig w:usb0="E00002FF" w:usb1="400004FF" w:usb2="00000000" w:usb3="00000000" w:csb0="2000019F" w:csb1="00000000"/>
  </w:font>
  <w:font w:name="仿宋_GB2312">
    <w:altName w:val="仿宋"/>
    <w:panose1 w:val="00000000000000000000"/>
    <w:charset w:val="86"/>
    <w:family w:val="modern"/>
    <w:pitch w:val="default"/>
    <w:sig w:usb0="00000000" w:usb1="00000000" w:usb2="00000000" w:usb3="00000000" w:csb0="00040000" w:csb1="00000000"/>
  </w:font>
  <w:font w:name="方正仿宋_GBK">
    <w:altName w:val="宋体"/>
    <w:panose1 w:val="00000000000000000000"/>
    <w:charset w:val="86"/>
    <w:family w:val="roman"/>
    <w:pitch w:val="default"/>
    <w:sig w:usb0="00000000" w:usb1="00000000" w:usb2="00000000" w:usb3="00000000" w:csb0="00000000" w:csb1="00000000"/>
  </w:font>
  <w:font w:name="Arial Unicode MS">
    <w:altName w:val="Arial"/>
    <w:panose1 w:val="020B0604020202020204"/>
    <w:charset w:val="00"/>
    <w:family w:val="roman"/>
    <w:pitch w:val="default"/>
    <w:sig w:usb0="00000000" w:usb1="00000000" w:usb2="00000000" w:usb3="00000000" w:csb0="00000001" w:csb1="00000000"/>
  </w:font>
  <w:font w:name="华文楷体">
    <w:altName w:val="宋体"/>
    <w:panose1 w:val="00000000000000000000"/>
    <w:charset w:val="86"/>
    <w:family w:val="auto"/>
    <w:pitch w:val="default"/>
    <w:sig w:usb0="00000000" w:usb1="00000000" w:usb2="00000010" w:usb3="00000000" w:csb0="0004009F" w:csb1="00000000"/>
  </w:font>
  <w:font w:name="仿宋">
    <w:panose1 w:val="02010609060101010101"/>
    <w:charset w:val="86"/>
    <w:family w:val="modern"/>
    <w:pitch w:val="default"/>
    <w:sig w:usb0="800002BF" w:usb1="38CF7CFA" w:usb2="00000016" w:usb3="00000000" w:csb0="00040001" w:csb1="00000000"/>
  </w:font>
  <w:font w:name="楷体">
    <w:panose1 w:val="02010609060101010101"/>
    <w:charset w:val="86"/>
    <w:family w:val="modern"/>
    <w:pitch w:val="default"/>
    <w:sig w:usb0="800002BF" w:usb1="38CF7CFA" w:usb2="00000016" w:usb3="00000000" w:csb0="00040001" w:csb1="00000000"/>
  </w:font>
  <w:font w:name="楷体_GB2312">
    <w:altName w:val="楷体"/>
    <w:panose1 w:val="00000000000000000000"/>
    <w:charset w:val="86"/>
    <w:family w:val="auto"/>
    <w:pitch w:val="default"/>
    <w:sig w:usb0="00000000" w:usb1="00000000" w:usb2="00000000" w:usb3="00000000" w:csb0="00040000" w:csb1="00000000"/>
  </w:font>
  <w:font w:name="仿宋_GB2312">
    <w:altName w:val="仿宋"/>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0"/>
    </w:pPr>
    <w:r>
      <w:pict>
        <v:shape id="Quad Arrow 3073" o:spid="_x0000_s4097" o:spt="202" type="#_x0000_t202" style="position:absolute;left:0pt;margin-top:0pt;height:144pt;width:144pt;mso-position-horizontal:center;mso-position-horizontal-relative:margin;mso-wrap-style:none;z-index:1024;mso-width-relative:page;mso-height-relative:page;" filled="f" o:preferrelative="t" stroked="f" coordsize="21600,21600">
          <v:path/>
          <v:fill on="f" focussize="0,0"/>
          <v:stroke on="f" joinstyle="miter"/>
          <v:imagedata o:title=""/>
          <o:lock v:ext="edit"/>
          <v:textbox inset="0mm,0mm,0mm,0mm" style="mso-fit-shape-to-text:t;">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- 9 -</w:t>
                </w:r>
                <w:r>
                  <w:rPr>
                    <w:rFonts w:hint="eastAsia"/>
                    <w:sz w:val="18"/>
                  </w:rPr>
                  <w:fldChar w:fldCharType="end"/>
                </w:r>
              </w:p>
            </w:txbxContent>
          </v:textbox>
        </v:shape>
      </w:pic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516AA81"/>
    <w:multiLevelType w:val="singleLevel"/>
    <w:tmpl w:val="0516AA81"/>
    <w:lvl w:ilvl="0" w:tentative="0">
      <w:start w:val="2"/>
      <w:numFmt w:val="chineseCounting"/>
      <w:suff w:val="nothing"/>
      <w:lvlText w:val="（%1）"/>
      <w:lvlJc w:val="left"/>
      <w:pPr>
        <w:ind w:left="642" w:firstLine="0"/>
      </w:pPr>
      <w:rPr>
        <w:rFonts w:hint="eastAsia"/>
      </w:rPr>
    </w:lvl>
  </w:abstractNum>
  <w:abstractNum w:abstractNumId="1">
    <w:nsid w:val="5E68489B"/>
    <w:multiLevelType w:val="singleLevel"/>
    <w:tmpl w:val="5E68489B"/>
    <w:lvl w:ilvl="0" w:tentative="0">
      <w:start w:val="1"/>
      <w:numFmt w:val="chineseCounting"/>
      <w:suff w:val="nothing"/>
      <w:lvlText w:val="（%1）"/>
      <w:lvlJc w:val="left"/>
      <w:rPr>
        <w:rFonts w:ascii="楷体" w:hAnsi="楷体" w:eastAsia="楷体"/>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0"/>
  <w:bordersDoNotSurroundFooter w:val="0"/>
  <w:doNotTrackMoves/>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EBD2122"/>
    <w:rsid w:val="000B0260"/>
    <w:rsid w:val="001E42D0"/>
    <w:rsid w:val="007E6C1F"/>
    <w:rsid w:val="00822988"/>
    <w:rsid w:val="00956A93"/>
    <w:rsid w:val="009E575C"/>
    <w:rsid w:val="00A057F2"/>
    <w:rsid w:val="00AF167E"/>
    <w:rsid w:val="00AF566A"/>
    <w:rsid w:val="00B16824"/>
    <w:rsid w:val="00B478EA"/>
    <w:rsid w:val="00B6553A"/>
    <w:rsid w:val="00BC6576"/>
    <w:rsid w:val="00BD2326"/>
    <w:rsid w:val="00C14935"/>
    <w:rsid w:val="00CE06BA"/>
    <w:rsid w:val="00F441CC"/>
    <w:rsid w:val="01B104CA"/>
    <w:rsid w:val="02106AB0"/>
    <w:rsid w:val="027E1629"/>
    <w:rsid w:val="02B43A28"/>
    <w:rsid w:val="046F331E"/>
    <w:rsid w:val="07956271"/>
    <w:rsid w:val="08701A83"/>
    <w:rsid w:val="09721397"/>
    <w:rsid w:val="0BB63BED"/>
    <w:rsid w:val="0EB97A43"/>
    <w:rsid w:val="0EBD2122"/>
    <w:rsid w:val="0F214EAE"/>
    <w:rsid w:val="0F5C2254"/>
    <w:rsid w:val="0F895D35"/>
    <w:rsid w:val="11B71E6A"/>
    <w:rsid w:val="19DF61CD"/>
    <w:rsid w:val="1AAF0063"/>
    <w:rsid w:val="1BAD383E"/>
    <w:rsid w:val="1BE140DE"/>
    <w:rsid w:val="1D6C4396"/>
    <w:rsid w:val="1E67397F"/>
    <w:rsid w:val="1F5E5F07"/>
    <w:rsid w:val="22B36282"/>
    <w:rsid w:val="23EC5B19"/>
    <w:rsid w:val="248C197D"/>
    <w:rsid w:val="252959AF"/>
    <w:rsid w:val="25356EBA"/>
    <w:rsid w:val="25396922"/>
    <w:rsid w:val="26D74727"/>
    <w:rsid w:val="277A6671"/>
    <w:rsid w:val="292D35B7"/>
    <w:rsid w:val="2EBB03BE"/>
    <w:rsid w:val="31690E36"/>
    <w:rsid w:val="33EB6CFF"/>
    <w:rsid w:val="347C6BED"/>
    <w:rsid w:val="35A12947"/>
    <w:rsid w:val="37387040"/>
    <w:rsid w:val="3B625C0A"/>
    <w:rsid w:val="3CEE1963"/>
    <w:rsid w:val="40C15F43"/>
    <w:rsid w:val="42C91206"/>
    <w:rsid w:val="4360224A"/>
    <w:rsid w:val="452B4F9F"/>
    <w:rsid w:val="476D49F6"/>
    <w:rsid w:val="48887F91"/>
    <w:rsid w:val="48BD40AE"/>
    <w:rsid w:val="48CF1781"/>
    <w:rsid w:val="492367A5"/>
    <w:rsid w:val="4AB40230"/>
    <w:rsid w:val="4C9C27FE"/>
    <w:rsid w:val="4FF9AD8B"/>
    <w:rsid w:val="512260B4"/>
    <w:rsid w:val="526A35DE"/>
    <w:rsid w:val="52BD6ACB"/>
    <w:rsid w:val="55537534"/>
    <w:rsid w:val="561A74F1"/>
    <w:rsid w:val="56E23E5A"/>
    <w:rsid w:val="580053C4"/>
    <w:rsid w:val="597244E8"/>
    <w:rsid w:val="5DC9601D"/>
    <w:rsid w:val="5EB23665"/>
    <w:rsid w:val="5EB71C30"/>
    <w:rsid w:val="60500B4A"/>
    <w:rsid w:val="61C21026"/>
    <w:rsid w:val="660F205A"/>
    <w:rsid w:val="66AF0CE5"/>
    <w:rsid w:val="679F5526"/>
    <w:rsid w:val="68A17CCD"/>
    <w:rsid w:val="6AC537CF"/>
    <w:rsid w:val="6CA74F3F"/>
    <w:rsid w:val="6E5B14A6"/>
    <w:rsid w:val="711B255E"/>
    <w:rsid w:val="73183C38"/>
    <w:rsid w:val="758B44AF"/>
    <w:rsid w:val="762D4F9F"/>
    <w:rsid w:val="77CD7725"/>
    <w:rsid w:val="78C80339"/>
    <w:rsid w:val="79451751"/>
    <w:rsid w:val="7A750C8E"/>
    <w:rsid w:val="7BB51E06"/>
    <w:rsid w:val="7C387F7C"/>
    <w:rsid w:val="7E407851"/>
    <w:rsid w:val="7FE83423"/>
  </w:rsids>
  <m:mathPr>
    <m:mathFont m:val="Cambria Math"/>
    <m:brkBin m:val="before"/>
    <m:brkBinSub m:val="--"/>
    <m:smallFrac m:val="1"/>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qFormat="1"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黑体"/>
      <w:kern w:val="2"/>
      <w:sz w:val="21"/>
      <w:szCs w:val="22"/>
      <w:lang w:val="en-US" w:eastAsia="zh-CN" w:bidi="ar-SA"/>
    </w:rPr>
  </w:style>
  <w:style w:type="character" w:default="1" w:styleId="12">
    <w:name w:val="Default Paragraph Font"/>
    <w:semiHidden/>
    <w:unhideWhenUsed/>
    <w:uiPriority w:val="1"/>
  </w:style>
  <w:style w:type="table" w:default="1" w:styleId="13">
    <w:name w:val="Normal Table"/>
    <w:semiHidden/>
    <w:unhideWhenUsed/>
    <w:qFormat/>
    <w:uiPriority w:val="99"/>
    <w:tblPr>
      <w:tblLayout w:type="fixed"/>
      <w:tblCellMar>
        <w:top w:w="0" w:type="dxa"/>
        <w:left w:w="108" w:type="dxa"/>
        <w:bottom w:w="0" w:type="dxa"/>
        <w:right w:w="108" w:type="dxa"/>
      </w:tblCellMar>
    </w:tblPr>
  </w:style>
  <w:style w:type="paragraph" w:styleId="2">
    <w:name w:val="Body Text First Indent 2"/>
    <w:basedOn w:val="3"/>
    <w:next w:val="1"/>
    <w:uiPriority w:val="0"/>
    <w:pPr>
      <w:ind w:left="200" w:firstLine="420" w:firstLineChars="200"/>
    </w:pPr>
    <w:rPr>
      <w:rFonts w:ascii="Times New Roman"/>
    </w:rPr>
  </w:style>
  <w:style w:type="paragraph" w:styleId="3">
    <w:name w:val="Body Text Indent"/>
    <w:basedOn w:val="1"/>
    <w:next w:val="4"/>
    <w:qFormat/>
    <w:uiPriority w:val="0"/>
    <w:pPr>
      <w:ind w:left="420" w:leftChars="200"/>
    </w:pPr>
  </w:style>
  <w:style w:type="paragraph" w:styleId="4">
    <w:name w:val="Body Text"/>
    <w:basedOn w:val="1"/>
    <w:next w:val="5"/>
    <w:qFormat/>
    <w:uiPriority w:val="0"/>
    <w:pPr>
      <w:jc w:val="center"/>
    </w:pPr>
    <w:rPr>
      <w:rFonts w:ascii="宋体"/>
      <w:b/>
      <w:sz w:val="44"/>
    </w:rPr>
  </w:style>
  <w:style w:type="paragraph" w:customStyle="1" w:styleId="5">
    <w:name w:val="正文部分 Char Char Char"/>
    <w:basedOn w:val="4"/>
    <w:next w:val="6"/>
    <w:qFormat/>
    <w:uiPriority w:val="0"/>
    <w:pPr>
      <w:adjustRightInd w:val="0"/>
      <w:spacing w:line="460" w:lineRule="exact"/>
      <w:textAlignment w:val="baseline"/>
    </w:pPr>
    <w:rPr>
      <w:rFonts w:hAnsi="Calibri"/>
      <w:sz w:val="24"/>
    </w:rPr>
  </w:style>
  <w:style w:type="paragraph" w:customStyle="1" w:styleId="6">
    <w:name w:val="章标题"/>
    <w:basedOn w:val="7"/>
    <w:qFormat/>
    <w:uiPriority w:val="0"/>
    <w:pPr>
      <w:spacing w:line="360" w:lineRule="auto"/>
    </w:pPr>
  </w:style>
  <w:style w:type="paragraph" w:styleId="7">
    <w:name w:val="Title"/>
    <w:basedOn w:val="1"/>
    <w:next w:val="1"/>
    <w:qFormat/>
    <w:uiPriority w:val="0"/>
    <w:pPr>
      <w:spacing w:before="240" w:after="60"/>
      <w:jc w:val="center"/>
      <w:outlineLvl w:val="0"/>
    </w:pPr>
    <w:rPr>
      <w:rFonts w:ascii="Cambria" w:hAnsi="Cambria"/>
      <w:b/>
      <w:bCs/>
      <w:kern w:val="0"/>
      <w:sz w:val="32"/>
      <w:szCs w:val="32"/>
    </w:rPr>
  </w:style>
  <w:style w:type="paragraph" w:styleId="8">
    <w:name w:val="Body Text First Indent"/>
    <w:basedOn w:val="4"/>
    <w:qFormat/>
    <w:uiPriority w:val="0"/>
    <w:pPr>
      <w:ind w:firstLine="420" w:firstLineChars="100"/>
    </w:pPr>
  </w:style>
  <w:style w:type="paragraph" w:styleId="9">
    <w:name w:val="Plain Text"/>
    <w:basedOn w:val="1"/>
    <w:qFormat/>
    <w:uiPriority w:val="0"/>
    <w:pPr>
      <w:spacing w:line="560" w:lineRule="exact"/>
    </w:pPr>
    <w:rPr>
      <w:rFonts w:ascii="Times New Roman" w:hAnsi="Times New Roman" w:eastAsia="仿宋_GB2312" w:cs="Times New Roman"/>
      <w:color w:val="000000"/>
      <w:sz w:val="32"/>
      <w:szCs w:val="32"/>
    </w:rPr>
  </w:style>
  <w:style w:type="paragraph" w:styleId="10">
    <w:name w:val="footer"/>
    <w:basedOn w:val="1"/>
    <w:qFormat/>
    <w:uiPriority w:val="0"/>
    <w:pPr>
      <w:tabs>
        <w:tab w:val="center" w:pos="4153"/>
        <w:tab w:val="right" w:pos="8306"/>
      </w:tabs>
      <w:snapToGrid w:val="0"/>
      <w:jc w:val="left"/>
    </w:pPr>
    <w:rPr>
      <w:sz w:val="18"/>
    </w:rPr>
  </w:style>
  <w:style w:type="paragraph" w:styleId="11">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sz w:val="18"/>
    </w:rPr>
  </w:style>
  <w:style w:type="paragraph" w:customStyle="1" w:styleId="14">
    <w:name w:val="插入文本样式-插入部门职责文件"/>
    <w:basedOn w:val="1"/>
    <w:qFormat/>
    <w:uiPriority w:val="0"/>
    <w:pPr>
      <w:spacing w:line="500" w:lineRule="exact"/>
      <w:ind w:firstLine="560"/>
    </w:pPr>
    <w:rPr>
      <w:rFonts w:eastAsia="方正仿宋_GBK"/>
      <w:sz w:val="28"/>
    </w:rPr>
  </w:style>
  <w:style w:type="paragraph" w:customStyle="1" w:styleId="15">
    <w:name w:val="插入文本样式-插入总体目标文件"/>
    <w:basedOn w:val="1"/>
    <w:qFormat/>
    <w:uiPriority w:val="0"/>
    <w:pPr>
      <w:spacing w:line="500" w:lineRule="exact"/>
      <w:ind w:firstLine="560"/>
    </w:pPr>
    <w:rPr>
      <w:rFonts w:eastAsia="方正仿宋_GBK"/>
      <w:sz w:val="28"/>
    </w:rPr>
  </w:style>
  <w:style w:type="paragraph" w:customStyle="1" w:styleId="16">
    <w:name w:val="插入文本样式-插入职责分类绩效目标文件"/>
    <w:basedOn w:val="1"/>
    <w:qFormat/>
    <w:uiPriority w:val="0"/>
    <w:pPr>
      <w:spacing w:line="500" w:lineRule="exact"/>
      <w:ind w:firstLine="560"/>
    </w:pPr>
    <w:rPr>
      <w:rFonts w:eastAsia="方正仿宋_GBK"/>
      <w:sz w:val="28"/>
    </w:rPr>
  </w:style>
  <w:style w:type="character" w:customStyle="1" w:styleId="17">
    <w:name w:val="font91"/>
    <w:basedOn w:val="12"/>
    <w:qFormat/>
    <w:uiPriority w:val="0"/>
    <w:rPr>
      <w:rFonts w:hint="eastAsia" w:ascii="宋体" w:hAnsi="宋体" w:eastAsia="宋体" w:cs="宋体"/>
      <w:color w:val="000000"/>
      <w:sz w:val="16"/>
      <w:szCs w:val="16"/>
      <w:u w:val="none"/>
    </w:rPr>
  </w:style>
  <w:style w:type="character" w:customStyle="1" w:styleId="18">
    <w:name w:val="font11"/>
    <w:basedOn w:val="12"/>
    <w:qFormat/>
    <w:uiPriority w:val="0"/>
    <w:rPr>
      <w:rFonts w:ascii="Calibri" w:hAnsi="Calibri" w:cs="Calibri"/>
      <w:color w:val="000000"/>
      <w:sz w:val="16"/>
      <w:szCs w:val="16"/>
      <w:u w:val="none"/>
    </w:rPr>
  </w:style>
  <w:style w:type="character" w:customStyle="1" w:styleId="19">
    <w:name w:val="font41"/>
    <w:basedOn w:val="12"/>
    <w:qFormat/>
    <w:uiPriority w:val="0"/>
    <w:rPr>
      <w:rFonts w:ascii="Arial Unicode MS" w:hAnsi="Arial Unicode MS" w:eastAsia="Arial Unicode MS" w:cs="Arial Unicode MS"/>
      <w:color w:val="000000"/>
      <w:sz w:val="16"/>
      <w:szCs w:val="16"/>
      <w:u w:val="none"/>
    </w:rPr>
  </w:style>
  <w:style w:type="character" w:customStyle="1" w:styleId="20">
    <w:name w:val="font31"/>
    <w:basedOn w:val="12"/>
    <w:qFormat/>
    <w:uiPriority w:val="0"/>
    <w:rPr>
      <w:rFonts w:hint="default" w:ascii="Calibri" w:hAnsi="Calibri" w:cs="Calibri"/>
      <w:color w:val="000000"/>
      <w:sz w:val="16"/>
      <w:szCs w:val="16"/>
      <w:u w:val="none"/>
    </w:rPr>
  </w:style>
  <w:style w:type="character" w:customStyle="1" w:styleId="21">
    <w:name w:val="font112"/>
    <w:basedOn w:val="12"/>
    <w:qFormat/>
    <w:uiPriority w:val="0"/>
    <w:rPr>
      <w:rFonts w:hint="default" w:ascii="Arial Unicode MS" w:hAnsi="Arial Unicode MS" w:eastAsia="Arial Unicode MS" w:cs="Arial Unicode MS"/>
      <w:color w:val="000000"/>
      <w:sz w:val="16"/>
      <w:szCs w:val="16"/>
      <w:u w:val="none"/>
    </w:rPr>
  </w:style>
  <w:style w:type="character" w:customStyle="1" w:styleId="22">
    <w:name w:val="font101"/>
    <w:basedOn w:val="12"/>
    <w:uiPriority w:val="0"/>
    <w:rPr>
      <w:rFonts w:ascii="Calibri" w:hAnsi="Calibri" w:cs="Calibri"/>
      <w:color w:val="000000"/>
      <w:sz w:val="16"/>
      <w:szCs w:val="16"/>
      <w:u w:val="none"/>
    </w:rPr>
  </w:style>
  <w:style w:type="character" w:customStyle="1" w:styleId="23">
    <w:name w:val="font61"/>
    <w:basedOn w:val="12"/>
    <w:uiPriority w:val="0"/>
    <w:rPr>
      <w:rFonts w:ascii="Arial Unicode MS" w:hAnsi="Arial Unicode MS" w:eastAsia="Arial Unicode MS" w:cs="Arial Unicode MS"/>
      <w:color w:val="000000"/>
      <w:sz w:val="16"/>
      <w:szCs w:val="16"/>
      <w:u w:val="none"/>
    </w:rPr>
  </w:style>
  <w:style w:type="character" w:customStyle="1" w:styleId="24">
    <w:name w:val="font51"/>
    <w:basedOn w:val="12"/>
    <w:qFormat/>
    <w:uiPriority w:val="0"/>
    <w:rPr>
      <w:rFonts w:hint="default" w:ascii="Calibri" w:hAnsi="Calibri" w:cs="Calibri"/>
      <w:color w:val="000000"/>
      <w:sz w:val="16"/>
      <w:szCs w:val="16"/>
      <w:u w:val="none"/>
    </w:rPr>
  </w:style>
  <w:style w:type="character" w:customStyle="1" w:styleId="25">
    <w:name w:val="font01"/>
    <w:basedOn w:val="12"/>
    <w:uiPriority w:val="0"/>
    <w:rPr>
      <w:rFonts w:hint="default" w:ascii="Arial Unicode MS" w:hAnsi="Arial Unicode MS" w:eastAsia="Arial Unicode MS" w:cs="Arial Unicode MS"/>
      <w:color w:val="000000"/>
      <w:sz w:val="16"/>
      <w:szCs w:val="16"/>
      <w:u w:val="none"/>
    </w:rPr>
  </w:style>
  <w:style w:type="character" w:customStyle="1" w:styleId="26">
    <w:name w:val="font21"/>
    <w:basedOn w:val="12"/>
    <w:uiPriority w:val="0"/>
    <w:rPr>
      <w:rFonts w:ascii="Calibri" w:hAnsi="Calibri" w:cs="Calibri"/>
      <w:color w:val="000000"/>
      <w:sz w:val="20"/>
      <w:szCs w:val="20"/>
      <w:u w:val="none"/>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15</Pages>
  <Words>1173</Words>
  <Characters>6692</Characters>
  <Lines>55</Lines>
  <Paragraphs>15</Paragraphs>
  <TotalTime>101</TotalTime>
  <ScaleCrop>false</ScaleCrop>
  <LinksUpToDate>false</LinksUpToDate>
  <CharactersWithSpaces>7850</CharactersWithSpaces>
  <Application>WPS Office_10.1.0.7520_F1E327BC-269C-435d-A152-05C5408002CA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2020-02-04T11:46:00Z</dcterms:created>
  <dc:creator>欣欣大人</dc:creator>
  <cp:lastModifiedBy>Administrator</cp:lastModifiedBy>
  <cp:lastPrinted>2022-01-19T15:24:00Z</cp:lastPrinted>
  <dcterms:modified xsi:type="dcterms:W3CDTF">2024-05-09T09:02:23Z</dcterms:modified>
  <dc:title>附件3：</dc:title>
  <cp:revision>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2052-10.1.0.7520</vt:lpwstr>
  </property>
</Properties>
</file>