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井陉县人民法院</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为</w:t>
      </w: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井陉县人民法院</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bidi w:val="0"/>
        <w:adjustRightInd w:val="0"/>
        <w:snapToGrid w:val="0"/>
        <w:spacing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部门职能：</w:t>
      </w:r>
      <w:r>
        <w:rPr>
          <w:rFonts w:hint="eastAsia" w:ascii="仿宋_GB2312" w:hAnsi="Times New Roman" w:eastAsia="仿宋_GB2312" w:cs="仿宋_GB2312"/>
          <w:b w:val="0"/>
          <w:bCs/>
          <w:color w:val="000000"/>
          <w:kern w:val="0"/>
          <w:sz w:val="32"/>
          <w:szCs w:val="32"/>
          <w:shd w:val="clear" w:color="auto" w:fill="FFFFFF"/>
          <w:lang w:val="en-US" w:eastAsia="zh-CN" w:bidi="ar"/>
        </w:rPr>
        <w:t>依法审判法律规定由基层人民法院管辖的刑事、民事、行政等第一审案件及上级人民法院指定、同级人民法院移送的刑事、民事、行政等第一审案件；依法办理发生法律效力的民事、行政案件判决和裁定执行事项及刑事案件判决和裁定中关于财产部分的执行事项及其他法律文书的执行事项。协同上级法院及县主管部门管理全院的机构设置、人员编制工作。</w:t>
      </w:r>
    </w:p>
    <w:p>
      <w:pPr>
        <w:keepNext w:val="0"/>
        <w:keepLines w:val="0"/>
        <w:pageBreakBefore w:val="0"/>
        <w:widowControl w:val="0"/>
        <w:kinsoku/>
        <w:wordWrap/>
        <w:overflowPunct/>
        <w:topLinePunct w:val="0"/>
        <w:autoSpaceDE/>
        <w:bidi w:val="0"/>
        <w:adjustRightInd w:val="0"/>
        <w:snapToGrid w:val="0"/>
        <w:spacing w:line="560" w:lineRule="exact"/>
        <w:ind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组织机构及人员：</w:t>
      </w:r>
    </w:p>
    <w:p>
      <w:pPr>
        <w:keepNext w:val="0"/>
        <w:keepLines w:val="0"/>
        <w:pageBreakBefore w:val="0"/>
        <w:kinsoku/>
        <w:wordWrap/>
        <w:overflowPunct/>
        <w:topLinePunct w:val="0"/>
        <w:autoSpaceDE/>
        <w:bidi w:val="0"/>
        <w:spacing w:line="560" w:lineRule="exact"/>
        <w:ind w:firstLine="480" w:firstLineChars="150"/>
        <w:jc w:val="center"/>
        <w:rPr>
          <w:rFonts w:ascii="仿宋_GB2312"/>
          <w:sz w:val="32"/>
          <w:szCs w:val="32"/>
        </w:rPr>
      </w:pPr>
      <w:r>
        <w:rPr>
          <w:rFonts w:hint="eastAsia" w:ascii="仿宋_GB2312"/>
          <w:sz w:val="32"/>
          <w:szCs w:val="32"/>
        </w:rPr>
        <w:t>部门机构设置情况</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55"/>
        <w:gridCol w:w="1380"/>
        <w:gridCol w:w="1197"/>
        <w:gridCol w:w="30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29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val="0"/>
              <w:bidi w:val="0"/>
              <w:spacing w:line="560" w:lineRule="exact"/>
              <w:ind w:firstLine="480"/>
              <w:textAlignment w:val="center"/>
              <w:rPr>
                <w:rFonts w:ascii="宋体"/>
                <w:sz w:val="24"/>
              </w:rPr>
            </w:pPr>
            <w:r>
              <w:rPr>
                <w:rFonts w:ascii="宋体" w:hAnsi="宋体"/>
                <w:sz w:val="24"/>
              </w:rPr>
              <w:t xml:space="preserve">   </w:t>
            </w:r>
            <w:r>
              <w:rPr>
                <w:rFonts w:hint="eastAsia" w:ascii="宋体" w:hAnsi="宋体"/>
                <w:sz w:val="24"/>
              </w:rPr>
              <w:t>单位名称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val="0"/>
              <w:bidi w:val="0"/>
              <w:spacing w:line="560" w:lineRule="exact"/>
              <w:textAlignment w:val="center"/>
              <w:rPr>
                <w:rFonts w:ascii="宋体"/>
                <w:sz w:val="24"/>
              </w:rPr>
            </w:pPr>
            <w:r>
              <w:rPr>
                <w:rFonts w:ascii="宋体" w:hAnsi="宋体"/>
                <w:sz w:val="24"/>
              </w:rPr>
              <w:t xml:space="preserve"> </w:t>
            </w:r>
            <w:r>
              <w:rPr>
                <w:rFonts w:hint="eastAsia" w:ascii="宋体" w:hAnsi="宋体"/>
                <w:sz w:val="24"/>
              </w:rPr>
              <w:t>单位性质</w:t>
            </w:r>
          </w:p>
        </w:tc>
        <w:tc>
          <w:tcPr>
            <w:tcW w:w="11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val="0"/>
              <w:bidi w:val="0"/>
              <w:spacing w:line="560" w:lineRule="exact"/>
              <w:textAlignment w:val="center"/>
              <w:rPr>
                <w:rFonts w:ascii="宋体"/>
                <w:sz w:val="24"/>
              </w:rPr>
            </w:pPr>
            <w:r>
              <w:rPr>
                <w:rFonts w:hint="eastAsia" w:ascii="宋体" w:hAnsi="宋体"/>
                <w:sz w:val="24"/>
              </w:rPr>
              <w:t>单位规格</w:t>
            </w:r>
          </w:p>
        </w:tc>
        <w:tc>
          <w:tcPr>
            <w:tcW w:w="3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val="0"/>
              <w:bidi w:val="0"/>
              <w:spacing w:line="560" w:lineRule="exact"/>
              <w:ind w:firstLine="480"/>
              <w:textAlignment w:val="center"/>
              <w:rPr>
                <w:rFonts w:ascii="宋体"/>
                <w:sz w:val="24"/>
              </w:rPr>
            </w:pPr>
            <w:r>
              <w:rPr>
                <w:rFonts w:hint="eastAsia" w:ascii="宋体" w:hAnsi="宋体"/>
                <w:sz w:val="24"/>
              </w:rPr>
              <w:t>经费保障形式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295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val="0"/>
              <w:bidi w:val="0"/>
              <w:spacing w:line="560" w:lineRule="exact"/>
              <w:jc w:val="center"/>
              <w:textAlignment w:val="center"/>
              <w:rPr>
                <w:rFonts w:ascii="宋体"/>
                <w:szCs w:val="21"/>
              </w:rPr>
            </w:pPr>
            <w:r>
              <w:rPr>
                <w:rFonts w:hint="eastAsia" w:ascii="宋体" w:hAnsi="宋体"/>
                <w:szCs w:val="21"/>
              </w:rPr>
              <w:t>井陉县人民法院</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val="0"/>
              <w:bidi w:val="0"/>
              <w:spacing w:line="560" w:lineRule="exact"/>
              <w:jc w:val="center"/>
              <w:textAlignment w:val="center"/>
              <w:rPr>
                <w:rFonts w:ascii="宋体"/>
                <w:sz w:val="24"/>
              </w:rPr>
            </w:pPr>
            <w:r>
              <w:rPr>
                <w:rFonts w:hint="eastAsia" w:ascii="宋体" w:hAnsi="宋体"/>
                <w:sz w:val="24"/>
              </w:rPr>
              <w:t>行政</w:t>
            </w:r>
          </w:p>
        </w:tc>
        <w:tc>
          <w:tcPr>
            <w:tcW w:w="119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val="0"/>
              <w:bidi w:val="0"/>
              <w:spacing w:line="560" w:lineRule="exact"/>
              <w:jc w:val="center"/>
              <w:textAlignment w:val="center"/>
              <w:rPr>
                <w:rFonts w:ascii="宋体"/>
                <w:sz w:val="24"/>
              </w:rPr>
            </w:pPr>
            <w:r>
              <w:rPr>
                <w:rFonts w:hint="eastAsia" w:ascii="宋体" w:hAnsi="宋体"/>
                <w:sz w:val="24"/>
              </w:rPr>
              <w:t>副处级</w:t>
            </w:r>
          </w:p>
        </w:tc>
        <w:tc>
          <w:tcPr>
            <w:tcW w:w="303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val="0"/>
              <w:bidi w:val="0"/>
              <w:spacing w:line="560" w:lineRule="exact"/>
              <w:ind w:firstLine="480"/>
              <w:jc w:val="left"/>
              <w:textAlignment w:val="center"/>
              <w:rPr>
                <w:rFonts w:ascii="宋体"/>
                <w:sz w:val="24"/>
              </w:rPr>
            </w:pPr>
            <w:r>
              <w:rPr>
                <w:rFonts w:hint="eastAsia" w:ascii="宋体" w:hAnsi="宋体"/>
                <w:sz w:val="24"/>
              </w:rPr>
              <w:t>财政拨款</w:t>
            </w:r>
          </w:p>
        </w:tc>
      </w:tr>
    </w:tbl>
    <w:p>
      <w:pPr>
        <w:keepNext w:val="0"/>
        <w:keepLines w:val="0"/>
        <w:pageBreakBefore w:val="0"/>
        <w:widowControl w:val="0"/>
        <w:kinsoku/>
        <w:wordWrap/>
        <w:overflowPunct/>
        <w:topLinePunct w:val="0"/>
        <w:autoSpaceDE/>
        <w:bidi w:val="0"/>
        <w:adjustRightInd w:val="0"/>
        <w:snapToGrid w:val="0"/>
        <w:spacing w:line="560" w:lineRule="exact"/>
        <w:ind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截止2023年12月31日，我院在职干警71人，退休人员</w:t>
      </w:r>
      <w:r>
        <w:rPr>
          <w:rFonts w:hint="eastAsia" w:ascii="仿宋" w:hAnsi="仿宋" w:eastAsia="仿宋"/>
          <w:sz w:val="32"/>
          <w:szCs w:val="32"/>
          <w:highlight w:val="none"/>
          <w:lang w:val="en-US" w:eastAsia="zh-CN"/>
        </w:rPr>
        <w:t>279</w:t>
      </w:r>
      <w:r>
        <w:rPr>
          <w:rFonts w:hint="eastAsia" w:ascii="仿宋" w:hAnsi="仿宋" w:eastAsia="仿宋"/>
          <w:sz w:val="32"/>
          <w:szCs w:val="32"/>
          <w:lang w:val="en-US" w:eastAsia="zh-CN"/>
        </w:rPr>
        <w:t>人，离休1人。</w:t>
      </w:r>
    </w:p>
    <w:p>
      <w:pPr>
        <w:keepNext w:val="0"/>
        <w:keepLines w:val="0"/>
        <w:pageBreakBefore w:val="0"/>
        <w:widowControl w:val="0"/>
        <w:kinsoku/>
        <w:wordWrap/>
        <w:overflowPunct/>
        <w:topLinePunct w:val="0"/>
        <w:autoSpaceDE/>
        <w:bidi w:val="0"/>
        <w:adjustRightInd w:val="0"/>
        <w:snapToGrid w:val="0"/>
        <w:spacing w:line="560" w:lineRule="exact"/>
        <w:ind w:right="0" w:firstLine="640" w:firstLineChars="200"/>
        <w:textAlignment w:val="auto"/>
        <w:outlineLvl w:val="9"/>
        <w:rPr>
          <w:rFonts w:hint="eastAsia" w:ascii="仿宋" w:hAnsi="仿宋" w:eastAsia="仿宋"/>
          <w:sz w:val="32"/>
          <w:szCs w:val="32"/>
          <w:highlight w:val="none"/>
          <w:lang w:eastAsia="zh-CN"/>
        </w:rPr>
      </w:pPr>
      <w:r>
        <w:rPr>
          <w:rFonts w:hint="eastAsia" w:ascii="仿宋" w:hAnsi="仿宋" w:eastAsia="仿宋"/>
          <w:sz w:val="32"/>
          <w:szCs w:val="32"/>
          <w:highlight w:val="none"/>
          <w:lang w:val="en-US" w:eastAsia="zh-CN"/>
        </w:rPr>
        <w:t>国有</w:t>
      </w:r>
      <w:r>
        <w:rPr>
          <w:rFonts w:hint="eastAsia" w:ascii="仿宋" w:hAnsi="仿宋" w:eastAsia="仿宋"/>
          <w:sz w:val="32"/>
          <w:szCs w:val="32"/>
          <w:highlight w:val="none"/>
          <w:lang w:eastAsia="zh-CN"/>
        </w:rPr>
        <w:t>资产</w:t>
      </w:r>
      <w:r>
        <w:rPr>
          <w:rFonts w:hint="eastAsia" w:ascii="仿宋" w:hAnsi="仿宋" w:eastAsia="仿宋"/>
          <w:sz w:val="32"/>
          <w:szCs w:val="32"/>
          <w:highlight w:val="none"/>
          <w:lang w:val="en-US" w:eastAsia="zh-CN"/>
        </w:rPr>
        <w:t>信息：</w:t>
      </w:r>
      <w:r>
        <w:rPr>
          <w:rFonts w:hint="eastAsia" w:ascii="仿宋_GB2312" w:hAnsi="Times New Roman" w:eastAsia="仿宋_GB2312" w:cs="仿宋_GB2312"/>
          <w:b w:val="0"/>
          <w:bCs/>
          <w:color w:val="000000"/>
          <w:kern w:val="0"/>
          <w:sz w:val="32"/>
          <w:szCs w:val="32"/>
          <w:highlight w:val="none"/>
          <w:shd w:val="clear" w:color="auto" w:fill="FFFFFF"/>
          <w:lang w:val="en-US" w:eastAsia="zh-CN" w:bidi="ar"/>
        </w:rPr>
        <w:t>截止2023年年底，井陉县人民法院国有资产累计金额47834622.53元，其中土地房屋总计31748704.54元，其他固定资产12857951.99元，无形资产3227966元，单位共有车辆11辆，总计金额1758701.77元。</w:t>
      </w:r>
    </w:p>
    <w:p>
      <w:pPr>
        <w:widowControl w:val="0"/>
        <w:numPr>
          <w:ilvl w:val="0"/>
          <w:numId w:val="0"/>
        </w:numPr>
        <w:wordWrap/>
        <w:adjustRightInd w:val="0"/>
        <w:snapToGrid w:val="0"/>
        <w:spacing w:line="560" w:lineRule="exact"/>
        <w:ind w:right="0" w:rightChars="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lang w:eastAsia="zh-CN"/>
        </w:rPr>
        <w:t>）部门收支预决算情况</w:t>
      </w:r>
    </w:p>
    <w:p>
      <w:pPr>
        <w:keepNext w:val="0"/>
        <w:keepLines w:val="0"/>
        <w:pageBreakBefore w:val="0"/>
        <w:widowControl/>
        <w:numPr>
          <w:ilvl w:val="0"/>
          <w:numId w:val="0"/>
        </w:numPr>
        <w:shd w:val="clear" w:color="auto" w:fill="FFFFFF"/>
        <w:kinsoku/>
        <w:wordWrap/>
        <w:overflowPunct/>
        <w:topLinePunct w:val="0"/>
        <w:autoSpaceDE/>
        <w:bidi w:val="0"/>
        <w:spacing w:line="560" w:lineRule="exact"/>
        <w:ind w:firstLine="643"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bCs w:val="0"/>
          <w:color w:val="000000"/>
          <w:kern w:val="0"/>
          <w:sz w:val="32"/>
          <w:szCs w:val="32"/>
          <w:shd w:val="clear" w:color="auto" w:fill="FFFFFF"/>
          <w:lang w:val="en-US" w:eastAsia="zh-CN" w:bidi="ar"/>
        </w:rPr>
        <w:t>1、预算收入、支出情况</w:t>
      </w:r>
    </w:p>
    <w:p>
      <w:pPr>
        <w:pStyle w:val="2"/>
        <w:spacing w:before="111"/>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2023年度部门预算收入2566.97万元，其中：一般公共预算收入 2566.97 万元 ，基金预算收入 0万元 ，财政专户核拨收入 0 万元 ，其他来源收入 0 万元。</w:t>
      </w:r>
    </w:p>
    <w:p>
      <w:pPr>
        <w:pStyle w:val="2"/>
        <w:spacing w:before="111"/>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2023 年支出预算 2566.97 万元 ，其中基本支出 1471.97 万元 ，包括人员经费 1203.95万元和日常公用经费 268.02 万元；项目支出 1095 万元 ，主要为办案业务经费、辅助人员经费、设备购置等。</w:t>
      </w:r>
    </w:p>
    <w:p>
      <w:pPr>
        <w:keepNext w:val="0"/>
        <w:keepLines w:val="0"/>
        <w:pageBreakBefore w:val="0"/>
        <w:widowControl/>
        <w:shd w:val="clear" w:color="auto" w:fill="FFFFFF"/>
        <w:kinsoku/>
        <w:wordWrap/>
        <w:overflowPunct/>
        <w:topLinePunct w:val="0"/>
        <w:autoSpaceDE/>
        <w:bidi w:val="0"/>
        <w:spacing w:line="560" w:lineRule="exact"/>
        <w:ind w:firstLine="643" w:firstLineChars="200"/>
        <w:rPr>
          <w:rFonts w:hint="default" w:ascii="仿宋_GB2312" w:hAnsi="Times New Roman" w:eastAsia="仿宋_GB2312" w:cs="仿宋_GB2312"/>
          <w:b/>
          <w:bCs w:val="0"/>
          <w:color w:val="000000"/>
          <w:kern w:val="0"/>
          <w:sz w:val="32"/>
          <w:szCs w:val="32"/>
          <w:shd w:val="clear" w:color="auto" w:fill="FFFFFF"/>
          <w:lang w:val="en-US" w:eastAsia="zh-CN" w:bidi="ar"/>
        </w:rPr>
      </w:pPr>
      <w:r>
        <w:rPr>
          <w:rFonts w:hint="eastAsia" w:ascii="仿宋_GB2312" w:hAnsi="Times New Roman" w:eastAsia="仿宋_GB2312" w:cs="仿宋_GB2312"/>
          <w:b/>
          <w:bCs w:val="0"/>
          <w:color w:val="000000"/>
          <w:kern w:val="0"/>
          <w:sz w:val="32"/>
          <w:szCs w:val="32"/>
          <w:shd w:val="clear" w:color="auto" w:fill="FFFFFF"/>
          <w:lang w:val="en-US" w:eastAsia="zh-CN" w:bidi="ar"/>
        </w:rPr>
        <w:t>2、决算收入、支出情况</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3</w:t>
      </w:r>
      <w:r>
        <w:rPr>
          <w:rFonts w:hint="eastAsia" w:ascii="仿宋_GB2312" w:hAnsi="仿宋" w:eastAsia="仿宋_GB2312"/>
          <w:sz w:val="32"/>
          <w:szCs w:val="32"/>
          <w:highlight w:val="none"/>
        </w:rPr>
        <w:t>年</w:t>
      </w:r>
      <w:r>
        <w:rPr>
          <w:rFonts w:hint="eastAsia" w:ascii="仿宋_GB2312" w:hAnsi="仿宋" w:eastAsia="仿宋_GB2312"/>
          <w:sz w:val="32"/>
          <w:szCs w:val="32"/>
          <w:highlight w:val="none"/>
          <w:lang w:val="en-US" w:eastAsia="zh-CN"/>
        </w:rPr>
        <w:t>决</w:t>
      </w:r>
      <w:r>
        <w:rPr>
          <w:rFonts w:hint="eastAsia" w:ascii="仿宋_GB2312" w:hAnsi="仿宋" w:eastAsia="仿宋_GB2312"/>
          <w:sz w:val="32"/>
          <w:szCs w:val="32"/>
          <w:highlight w:val="none"/>
        </w:rPr>
        <w:t>算收入</w:t>
      </w:r>
      <w:r>
        <w:rPr>
          <w:rFonts w:hint="eastAsia" w:ascii="仿宋_GB2312" w:hAnsi="仿宋" w:eastAsia="仿宋_GB2312"/>
          <w:sz w:val="32"/>
          <w:szCs w:val="32"/>
          <w:highlight w:val="none"/>
          <w:lang w:val="en-US" w:eastAsia="zh-CN"/>
        </w:rPr>
        <w:t>2353.47</w:t>
      </w:r>
      <w:r>
        <w:rPr>
          <w:rFonts w:hint="eastAsia" w:ascii="仿宋_GB2312" w:hAnsi="仿宋" w:eastAsia="仿宋_GB2312"/>
          <w:sz w:val="32"/>
          <w:szCs w:val="32"/>
          <w:highlight w:val="none"/>
        </w:rPr>
        <w:t>万元</w:t>
      </w:r>
      <w:r>
        <w:rPr>
          <w:rFonts w:hint="eastAsia" w:ascii="仿宋_GB2312" w:hAnsi="仿宋" w:eastAsia="仿宋_GB2312"/>
          <w:sz w:val="32"/>
          <w:szCs w:val="32"/>
          <w:highlight w:val="none"/>
          <w:lang w:eastAsia="zh-CN"/>
        </w:rPr>
        <w:t>，</w:t>
      </w:r>
      <w:r>
        <w:rPr>
          <w:rFonts w:hint="eastAsia" w:ascii="仿宋_GB2312" w:hAnsi="仿宋" w:eastAsia="仿宋_GB2312"/>
          <w:sz w:val="32"/>
          <w:szCs w:val="32"/>
          <w:highlight w:val="none"/>
        </w:rPr>
        <w:t>本年支出</w:t>
      </w:r>
      <w:r>
        <w:rPr>
          <w:rFonts w:hint="eastAsia" w:ascii="仿宋_GB2312" w:hAnsi="仿宋" w:eastAsia="仿宋_GB2312"/>
          <w:sz w:val="32"/>
          <w:szCs w:val="32"/>
          <w:highlight w:val="none"/>
          <w:lang w:val="en-US" w:eastAsia="zh-CN"/>
        </w:rPr>
        <w:t>2353.47</w:t>
      </w:r>
      <w:r>
        <w:rPr>
          <w:rFonts w:hint="eastAsia" w:ascii="仿宋_GB2312" w:hAnsi="仿宋" w:eastAsia="仿宋_GB2312"/>
          <w:sz w:val="32"/>
          <w:szCs w:val="32"/>
          <w:highlight w:val="none"/>
        </w:rPr>
        <w:t>万元，年末结转和结余</w:t>
      </w:r>
      <w:r>
        <w:rPr>
          <w:rFonts w:hint="eastAsia" w:ascii="仿宋_GB2312" w:hAnsi="仿宋" w:eastAsia="仿宋_GB2312"/>
          <w:sz w:val="32"/>
          <w:szCs w:val="32"/>
          <w:highlight w:val="none"/>
          <w:lang w:val="en-US" w:eastAsia="zh-CN"/>
        </w:rPr>
        <w:t>0</w:t>
      </w:r>
      <w:r>
        <w:rPr>
          <w:rFonts w:hint="eastAsia" w:ascii="仿宋_GB2312" w:hAnsi="仿宋" w:eastAsia="仿宋_GB2312"/>
          <w:sz w:val="32"/>
          <w:szCs w:val="32"/>
          <w:highlight w:val="none"/>
        </w:rPr>
        <w:t>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1、</w:t>
      </w:r>
      <w:r>
        <w:rPr>
          <w:rFonts w:hint="eastAsia" w:ascii="仿宋" w:hAnsi="仿宋" w:eastAsia="仿宋" w:cs="楷体_GB2312"/>
          <w:b/>
          <w:bCs/>
          <w:sz w:val="32"/>
          <w:szCs w:val="32"/>
          <w:lang w:eastAsia="zh-CN"/>
        </w:rPr>
        <w:t>总体绩效目标</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始终围绕“执法办案”这个工作中心，狠抓办案质效，真正让人民群众在每一个司法案件中感受到公平正义。一是加强审判流程标准化建设，明确各流程节点职责要求，确保审判管理制度在各环节有效落实。推行绩效评估软件的适用，建立起以审判流程管理系统为支撑、法院案件质量评价体系为标尺的执法办案工作考评体系，全院法定期限结案率保持在95%以上，审判管理成效稳步提高。二是打造 智慧法院。不断升级办公内网、外部专网等网系功能。深化网上办案、办公以及司法大数据应用，开通网上立案、缴费、送达、质证、庭审等功能。部署电子卷宗随案同步生成、审判智能化、执行智能化等多个系统，有力推进审执能力现代化建设。三是严格落实“由审理者裁判，让裁判者负责”，进一步细化法官权力和责任清单，完善案件质量评查、办案责任倒查等制度，构建起全方位的办案监管体系。充分发挥专业法官会议效能，保证管理监督的正当化、透明化。建立超审限案件的预警管理机制，做好案件评查和长期未结、久押不决案件的清理工作，提升审判质效。</w:t>
      </w:r>
    </w:p>
    <w:p>
      <w:pPr>
        <w:keepNext w:val="0"/>
        <w:keepLines w:val="0"/>
        <w:pageBreakBefore w:val="0"/>
        <w:widowControl w:val="0"/>
        <w:kinsoku/>
        <w:wordWrap/>
        <w:overflowPunct/>
        <w:topLinePunct w:val="0"/>
        <w:autoSpaceDE/>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2、</w:t>
      </w:r>
      <w:r>
        <w:rPr>
          <w:rFonts w:hint="eastAsia" w:ascii="仿宋" w:hAnsi="仿宋" w:eastAsia="仿宋" w:cs="楷体_GB2312"/>
          <w:b/>
          <w:bCs/>
          <w:sz w:val="32"/>
          <w:szCs w:val="32"/>
          <w:lang w:eastAsia="zh-CN"/>
        </w:rPr>
        <w:t>分项绩效目标</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1、突出审判管理创新。</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绩效目标：全院法定期限结案率保持在95%以上，审判管理成效稳步提高。</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绩效指标：加强审判流程标准化建设，明确各流程节点职责要求，确保审判管理制度在各环节有效落实。</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2、着力打造智慧法院。</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绩效目标：提高网上办案能力，推进审执能力现代化建设。</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绩效指标：不断升级办公内网、外部专网等网系功能，深化网上办案、办公以及司法大数据应用。</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3、健全监督制约机制。</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绩效目标：落实“由审理者裁判，让裁判者负责”，进一步细化法官权力和责任清单，完善案件质量评查、办案责任倒查等制度，构建起全方位的办案监管体系。</w:t>
      </w:r>
    </w:p>
    <w:p>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绩效指标：保证管理监督的正当化、透明化，做好案件评查和长期未结、久押不决案件的清理工作，提升审判质效。</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kinsoku/>
        <w:wordWrap/>
        <w:overflowPunct/>
        <w:topLinePunct w:val="0"/>
        <w:autoSpaceDE/>
        <w:bidi w:val="0"/>
        <w:spacing w:after="0" w:line="56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根据绩效评价</w:t>
      </w:r>
      <w:r>
        <w:rPr>
          <w:rFonts w:hint="eastAsia" w:ascii="仿宋_GB2312" w:eastAsia="仿宋_GB2312" w:cs="DengXian-Regular"/>
          <w:sz w:val="32"/>
          <w:szCs w:val="32"/>
          <w:lang w:val="en-US" w:eastAsia="zh-CN"/>
        </w:rPr>
        <w:t>计划</w:t>
      </w:r>
      <w:r>
        <w:rPr>
          <w:rFonts w:hint="eastAsia" w:ascii="仿宋_GB2312" w:eastAsia="仿宋_GB2312" w:cs="DengXian-Regular"/>
          <w:sz w:val="32"/>
          <w:szCs w:val="32"/>
        </w:rPr>
        <w:t>和指标体系，对</w:t>
      </w:r>
      <w:r>
        <w:rPr>
          <w:rFonts w:hint="eastAsia" w:ascii="仿宋_GB2312" w:eastAsia="仿宋_GB2312" w:cs="DengXian-Regular"/>
          <w:sz w:val="32"/>
          <w:szCs w:val="32"/>
          <w:lang w:val="en-US" w:eastAsia="zh-CN"/>
        </w:rPr>
        <w:t>我院预算项目</w:t>
      </w:r>
      <w:r>
        <w:rPr>
          <w:rFonts w:hint="eastAsia" w:ascii="仿宋_GB2312" w:eastAsia="仿宋_GB2312" w:cs="DengXian-Regular"/>
          <w:sz w:val="32"/>
          <w:szCs w:val="32"/>
        </w:rPr>
        <w:t>开展评价工作，包括查看预决算报表及单位工作活动绩效目标和指标；比对预决算的调整及执行情况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根据收集的数据、资料进行核对、比较、计算，对单位整体支出进行评分。</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spacing w:line="560" w:lineRule="exact"/>
        <w:ind w:firstLine="640" w:firstLineChars="200"/>
        <w:rPr>
          <w:rFonts w:ascii="楷体" w:hAnsi="楷体" w:eastAsia="楷体" w:cs="楷体_GB2312"/>
          <w:bCs/>
          <w:sz w:val="32"/>
          <w:szCs w:val="32"/>
        </w:rPr>
      </w:pPr>
      <w:r>
        <w:rPr>
          <w:rFonts w:hint="eastAsia" w:ascii="仿宋_GB2312" w:eastAsia="仿宋_GB2312"/>
          <w:sz w:val="32"/>
          <w:szCs w:val="32"/>
        </w:rPr>
        <w:t>绩效评价工作采用单位自评价的方式开展。自评价采取数据收集汇总、指标分析、询问查证等方法，形成了自评价报告。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2023年我院</w:t>
      </w:r>
      <w:r>
        <w:rPr>
          <w:rFonts w:hint="eastAsia" w:ascii="仿宋_GB2312" w:hAnsi="仿宋_GB2312" w:eastAsia="仿宋_GB2312" w:cs="仿宋_GB2312"/>
          <w:kern w:val="0"/>
          <w:sz w:val="32"/>
          <w:szCs w:val="32"/>
        </w:rPr>
        <w:t>围绕“执法办案”这个工作中心，狠抓办案质效</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一是加强审判流程标准化建设，建立起以审判</w:t>
      </w:r>
      <w:r>
        <w:rPr>
          <w:rFonts w:hint="eastAsia" w:ascii="仿宋_GB2312" w:hAnsi="仿宋_GB2312" w:eastAsia="仿宋_GB2312" w:cs="仿宋_GB2312"/>
          <w:kern w:val="0"/>
          <w:sz w:val="32"/>
          <w:szCs w:val="32"/>
        </w:rPr>
        <w:fldChar w:fldCharType="begin"/>
      </w:r>
      <w:r>
        <w:rPr>
          <w:rFonts w:hint="eastAsia" w:ascii="仿宋_GB2312" w:hAnsi="仿宋_GB2312" w:eastAsia="仿宋_GB2312" w:cs="仿宋_GB2312"/>
          <w:kern w:val="0"/>
          <w:sz w:val="32"/>
          <w:szCs w:val="32"/>
        </w:rPr>
        <w:instrText xml:space="preserve"> HYPERLINK "https://baike.sogou.com/lemma/ShowInnerLink.htm?lemmaId=63337567&amp;ss_c=ssc.citiao.link" </w:instrText>
      </w:r>
      <w:r>
        <w:rPr>
          <w:rFonts w:hint="eastAsia" w:ascii="仿宋_GB2312" w:hAnsi="仿宋_GB2312" w:eastAsia="仿宋_GB2312" w:cs="仿宋_GB2312"/>
          <w:kern w:val="0"/>
          <w:sz w:val="32"/>
          <w:szCs w:val="32"/>
        </w:rPr>
        <w:fldChar w:fldCharType="separate"/>
      </w:r>
      <w:r>
        <w:rPr>
          <w:rFonts w:hint="eastAsia" w:ascii="仿宋_GB2312" w:hAnsi="仿宋_GB2312" w:eastAsia="仿宋_GB2312" w:cs="仿宋_GB2312"/>
          <w:kern w:val="0"/>
          <w:sz w:val="32"/>
          <w:szCs w:val="32"/>
        </w:rPr>
        <w:t>流程管理系统</w:t>
      </w:r>
      <w:r>
        <w:rPr>
          <w:rFonts w:hint="eastAsia" w:ascii="仿宋_GB2312" w:hAnsi="仿宋_GB2312" w:eastAsia="仿宋_GB2312" w:cs="仿宋_GB2312"/>
          <w:kern w:val="0"/>
          <w:sz w:val="32"/>
          <w:szCs w:val="32"/>
        </w:rPr>
        <w:fldChar w:fldCharType="end"/>
      </w:r>
      <w:r>
        <w:rPr>
          <w:rFonts w:hint="eastAsia" w:ascii="仿宋_GB2312" w:hAnsi="仿宋_GB2312" w:eastAsia="仿宋_GB2312" w:cs="仿宋_GB2312"/>
          <w:kern w:val="0"/>
          <w:sz w:val="32"/>
          <w:szCs w:val="32"/>
        </w:rPr>
        <w:t>为支撑、法院案件质量评价体系为标尺的执法办案工作考评体系，全院法定期限</w:t>
      </w:r>
      <w:r>
        <w:rPr>
          <w:rFonts w:hint="eastAsia" w:ascii="仿宋_GB2312" w:hAnsi="仿宋_GB2312" w:eastAsia="仿宋_GB2312" w:cs="仿宋_GB2312"/>
          <w:kern w:val="0"/>
          <w:sz w:val="32"/>
          <w:szCs w:val="32"/>
        </w:rPr>
        <w:fldChar w:fldCharType="begin"/>
      </w:r>
      <w:r>
        <w:rPr>
          <w:rFonts w:hint="eastAsia" w:ascii="仿宋_GB2312" w:hAnsi="仿宋_GB2312" w:eastAsia="仿宋_GB2312" w:cs="仿宋_GB2312"/>
          <w:kern w:val="0"/>
          <w:sz w:val="32"/>
          <w:szCs w:val="32"/>
        </w:rPr>
        <w:instrText xml:space="preserve"> HYPERLINK "https://baike.sogou.com/lemma/ShowInnerLink.htm?lemmaId=73108083&amp;ss_c=ssc.citiao.link" </w:instrText>
      </w:r>
      <w:r>
        <w:rPr>
          <w:rFonts w:hint="eastAsia" w:ascii="仿宋_GB2312" w:hAnsi="仿宋_GB2312" w:eastAsia="仿宋_GB2312" w:cs="仿宋_GB2312"/>
          <w:kern w:val="0"/>
          <w:sz w:val="32"/>
          <w:szCs w:val="32"/>
        </w:rPr>
        <w:fldChar w:fldCharType="separate"/>
      </w:r>
      <w:r>
        <w:rPr>
          <w:rFonts w:hint="eastAsia" w:ascii="仿宋_GB2312" w:hAnsi="仿宋_GB2312" w:eastAsia="仿宋_GB2312" w:cs="仿宋_GB2312"/>
          <w:kern w:val="0"/>
          <w:sz w:val="32"/>
          <w:szCs w:val="32"/>
        </w:rPr>
        <w:t>结案率</w:t>
      </w:r>
      <w:r>
        <w:rPr>
          <w:rFonts w:hint="eastAsia" w:ascii="仿宋_GB2312" w:hAnsi="仿宋_GB2312" w:eastAsia="仿宋_GB2312" w:cs="仿宋_GB2312"/>
          <w:kern w:val="0"/>
          <w:sz w:val="32"/>
          <w:szCs w:val="32"/>
        </w:rPr>
        <w:fldChar w:fldCharType="end"/>
      </w:r>
      <w:r>
        <w:rPr>
          <w:rFonts w:hint="eastAsia" w:ascii="仿宋_GB2312" w:hAnsi="仿宋_GB2312" w:eastAsia="仿宋_GB2312" w:cs="仿宋_GB2312"/>
          <w:kern w:val="0"/>
          <w:sz w:val="32"/>
          <w:szCs w:val="32"/>
        </w:rPr>
        <w:t>保持在9</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%以上，审判管理成效稳步提高。二是打造</w:t>
      </w:r>
      <w:r>
        <w:rPr>
          <w:rFonts w:hint="eastAsia" w:ascii="仿宋_GB2312" w:hAnsi="仿宋_GB2312" w:eastAsia="仿宋_GB2312" w:cs="仿宋_GB2312"/>
          <w:kern w:val="0"/>
          <w:sz w:val="32"/>
          <w:szCs w:val="32"/>
        </w:rPr>
        <w:fldChar w:fldCharType="begin"/>
      </w:r>
      <w:r>
        <w:rPr>
          <w:rFonts w:hint="eastAsia" w:ascii="仿宋_GB2312" w:hAnsi="仿宋_GB2312" w:eastAsia="仿宋_GB2312" w:cs="仿宋_GB2312"/>
          <w:kern w:val="0"/>
          <w:sz w:val="32"/>
          <w:szCs w:val="32"/>
        </w:rPr>
        <w:instrText xml:space="preserve"> HYPERLINK "https://baike.sogou.com/lemma/ShowInnerLink.htm?lemmaId=99654420&amp;ss_c=ssc.citiao.link" </w:instrText>
      </w:r>
      <w:r>
        <w:rPr>
          <w:rFonts w:hint="eastAsia" w:ascii="仿宋_GB2312" w:hAnsi="仿宋_GB2312" w:eastAsia="仿宋_GB2312" w:cs="仿宋_GB2312"/>
          <w:kern w:val="0"/>
          <w:sz w:val="32"/>
          <w:szCs w:val="32"/>
        </w:rPr>
        <w:fldChar w:fldCharType="separate"/>
      </w:r>
      <w:r>
        <w:rPr>
          <w:rFonts w:hint="eastAsia" w:ascii="仿宋_GB2312" w:hAnsi="仿宋_GB2312" w:eastAsia="仿宋_GB2312" w:cs="仿宋_GB2312"/>
          <w:kern w:val="0"/>
          <w:sz w:val="32"/>
          <w:szCs w:val="32"/>
        </w:rPr>
        <w:t>智慧法院</w:t>
      </w:r>
      <w:r>
        <w:rPr>
          <w:rFonts w:hint="eastAsia" w:ascii="仿宋_GB2312" w:hAnsi="仿宋_GB2312" w:eastAsia="仿宋_GB2312" w:cs="仿宋_GB2312"/>
          <w:kern w:val="0"/>
          <w:sz w:val="32"/>
          <w:szCs w:val="32"/>
        </w:rPr>
        <w:fldChar w:fldCharType="end"/>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通过对“智慧法庭”项目建设、信息化建设等项目的实施，提升了</w:t>
      </w:r>
      <w:r>
        <w:rPr>
          <w:rFonts w:hint="eastAsia" w:ascii="仿宋_GB2312" w:hAnsi="仿宋_GB2312" w:eastAsia="仿宋_GB2312" w:cs="仿宋_GB2312"/>
          <w:kern w:val="0"/>
          <w:sz w:val="32"/>
          <w:szCs w:val="32"/>
        </w:rPr>
        <w:t>办公内网、外部专网等网系功能</w:t>
      </w:r>
      <w:r>
        <w:rPr>
          <w:rFonts w:hint="eastAsia" w:ascii="仿宋_GB2312" w:hAnsi="仿宋_GB2312" w:eastAsia="仿宋_GB2312" w:cs="仿宋_GB2312"/>
          <w:kern w:val="0"/>
          <w:sz w:val="32"/>
          <w:szCs w:val="32"/>
          <w:lang w:val="en-US" w:eastAsia="zh-CN"/>
        </w:rPr>
        <w:t>并通过</w:t>
      </w:r>
      <w:r>
        <w:rPr>
          <w:rFonts w:hint="eastAsia" w:ascii="仿宋_GB2312" w:hAnsi="仿宋_GB2312" w:eastAsia="仿宋_GB2312" w:cs="仿宋_GB2312"/>
          <w:kern w:val="0"/>
          <w:sz w:val="32"/>
          <w:szCs w:val="32"/>
        </w:rPr>
        <w:t>开通网上立案、缴费、送达、质证、庭审等功能，有力推进审执能力现代化建设。三是落实</w:t>
      </w:r>
      <w:r>
        <w:rPr>
          <w:rFonts w:hint="eastAsia" w:ascii="仿宋_GB2312" w:hAnsi="仿宋_GB2312" w:eastAsia="仿宋_GB2312" w:cs="仿宋_GB2312"/>
          <w:kern w:val="0"/>
          <w:sz w:val="32"/>
          <w:szCs w:val="32"/>
          <w:lang w:eastAsia="zh-CN"/>
        </w:rPr>
        <w:t>了</w:t>
      </w:r>
      <w:r>
        <w:rPr>
          <w:rFonts w:hint="eastAsia" w:ascii="仿宋_GB2312" w:hAnsi="仿宋_GB2312" w:eastAsia="仿宋_GB2312" w:cs="仿宋_GB2312"/>
          <w:kern w:val="0"/>
          <w:sz w:val="32"/>
          <w:szCs w:val="32"/>
        </w:rPr>
        <w:t>“由审理者裁判，让裁判者负责”，进一步细化法官权力和责任清单，完善</w:t>
      </w:r>
      <w:r>
        <w:rPr>
          <w:rFonts w:hint="eastAsia" w:ascii="仿宋_GB2312" w:hAnsi="仿宋_GB2312" w:eastAsia="仿宋_GB2312" w:cs="仿宋_GB2312"/>
          <w:kern w:val="0"/>
          <w:sz w:val="32"/>
          <w:szCs w:val="32"/>
          <w:lang w:eastAsia="zh-CN"/>
        </w:rPr>
        <w:t>了</w:t>
      </w:r>
      <w:r>
        <w:rPr>
          <w:rFonts w:hint="eastAsia" w:ascii="仿宋_GB2312" w:hAnsi="仿宋_GB2312" w:eastAsia="仿宋_GB2312" w:cs="仿宋_GB2312"/>
          <w:kern w:val="0"/>
          <w:sz w:val="32"/>
          <w:szCs w:val="32"/>
        </w:rPr>
        <w:t>案件质量评查、办案责任倒查等制度，构建起全方位的办案监管体系</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建立</w:t>
      </w:r>
      <w:r>
        <w:rPr>
          <w:rFonts w:hint="eastAsia" w:ascii="仿宋_GB2312" w:hAnsi="仿宋_GB2312" w:eastAsia="仿宋_GB2312" w:cs="仿宋_GB2312"/>
          <w:kern w:val="0"/>
          <w:sz w:val="32"/>
          <w:szCs w:val="32"/>
          <w:lang w:eastAsia="zh-CN"/>
        </w:rPr>
        <w:t>了</w:t>
      </w:r>
      <w:r>
        <w:rPr>
          <w:rFonts w:hint="eastAsia" w:ascii="仿宋_GB2312" w:hAnsi="仿宋_GB2312" w:eastAsia="仿宋_GB2312" w:cs="仿宋_GB2312"/>
          <w:kern w:val="0"/>
          <w:sz w:val="32"/>
          <w:szCs w:val="32"/>
        </w:rPr>
        <w:t>超审限案件的预警管理机制，做好案件评查和长期未结、久押不决案件的清理工作，</w:t>
      </w:r>
      <w:r>
        <w:rPr>
          <w:rFonts w:hint="eastAsia" w:ascii="仿宋_GB2312" w:hAnsi="仿宋_GB2312" w:eastAsia="仿宋_GB2312" w:cs="仿宋_GB2312"/>
          <w:kern w:val="0"/>
          <w:sz w:val="32"/>
          <w:szCs w:val="32"/>
          <w:lang w:val="en-US" w:eastAsia="zh-CN"/>
        </w:rPr>
        <w:t>大大</w:t>
      </w:r>
      <w:r>
        <w:rPr>
          <w:rFonts w:hint="eastAsia" w:ascii="仿宋_GB2312" w:hAnsi="仿宋_GB2312" w:eastAsia="仿宋_GB2312" w:cs="仿宋_GB2312"/>
          <w:kern w:val="0"/>
          <w:sz w:val="32"/>
          <w:szCs w:val="32"/>
        </w:rPr>
        <w:t>提升</w:t>
      </w:r>
      <w:r>
        <w:rPr>
          <w:rFonts w:hint="eastAsia" w:ascii="仿宋_GB2312" w:hAnsi="仿宋_GB2312" w:eastAsia="仿宋_GB2312" w:cs="仿宋_GB2312"/>
          <w:kern w:val="0"/>
          <w:sz w:val="32"/>
          <w:szCs w:val="32"/>
          <w:lang w:eastAsia="zh-CN"/>
        </w:rPr>
        <w:t>了</w:t>
      </w:r>
      <w:r>
        <w:rPr>
          <w:rFonts w:hint="eastAsia" w:ascii="仿宋_GB2312" w:hAnsi="仿宋_GB2312" w:eastAsia="仿宋_GB2312" w:cs="仿宋_GB2312"/>
          <w:kern w:val="0"/>
          <w:sz w:val="32"/>
          <w:szCs w:val="32"/>
        </w:rPr>
        <w:t>审判质效。</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1</w:t>
      </w: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突出审判管理创新。</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绩效目标：全院法定期限</w:t>
      </w:r>
      <w:r>
        <w:rPr>
          <w:rFonts w:hint="eastAsia" w:ascii="仿宋_GB2312" w:hAnsi="仿宋_GB2312" w:eastAsia="仿宋_GB2312" w:cs="仿宋_GB2312"/>
          <w:color w:val="000000"/>
          <w:kern w:val="0"/>
          <w:sz w:val="32"/>
          <w:szCs w:val="32"/>
          <w:shd w:val="clear" w:color="auto" w:fill="FFFFFF"/>
          <w:lang w:bidi="ar"/>
        </w:rPr>
        <w:fldChar w:fldCharType="begin"/>
      </w:r>
      <w:r>
        <w:rPr>
          <w:rFonts w:hint="eastAsia" w:ascii="仿宋_GB2312" w:hAnsi="仿宋_GB2312" w:eastAsia="仿宋_GB2312" w:cs="仿宋_GB2312"/>
          <w:color w:val="000000"/>
          <w:kern w:val="0"/>
          <w:sz w:val="32"/>
          <w:szCs w:val="32"/>
          <w:shd w:val="clear" w:color="auto" w:fill="FFFFFF"/>
          <w:lang w:bidi="ar"/>
        </w:rPr>
        <w:instrText xml:space="preserve"> HYPERLINK "https://baike.sogou.com/lemma/ShowInnerLink.htm?lemmaId=73108083&amp;ss_c=ssc.citiao.link" </w:instrText>
      </w:r>
      <w:r>
        <w:rPr>
          <w:rFonts w:hint="eastAsia" w:ascii="仿宋_GB2312" w:hAnsi="仿宋_GB2312" w:eastAsia="仿宋_GB2312" w:cs="仿宋_GB2312"/>
          <w:color w:val="000000"/>
          <w:kern w:val="0"/>
          <w:sz w:val="32"/>
          <w:szCs w:val="32"/>
          <w:shd w:val="clear" w:color="auto" w:fill="FFFFFF"/>
          <w:lang w:bidi="ar"/>
        </w:rPr>
        <w:fldChar w:fldCharType="separate"/>
      </w:r>
      <w:r>
        <w:rPr>
          <w:rFonts w:hint="eastAsia" w:ascii="仿宋_GB2312" w:hAnsi="仿宋_GB2312" w:eastAsia="仿宋_GB2312" w:cs="仿宋_GB2312"/>
          <w:color w:val="000000"/>
          <w:kern w:val="0"/>
          <w:sz w:val="32"/>
          <w:szCs w:val="32"/>
          <w:shd w:val="clear" w:color="auto" w:fill="FFFFFF"/>
          <w:lang w:bidi="ar"/>
        </w:rPr>
        <w:t>结案率</w:t>
      </w:r>
      <w:r>
        <w:rPr>
          <w:rFonts w:hint="eastAsia" w:ascii="仿宋_GB2312" w:hAnsi="仿宋_GB2312" w:eastAsia="仿宋_GB2312" w:cs="仿宋_GB2312"/>
          <w:color w:val="000000"/>
          <w:kern w:val="0"/>
          <w:sz w:val="32"/>
          <w:szCs w:val="32"/>
          <w:shd w:val="clear" w:color="auto" w:fill="FFFFFF"/>
          <w:lang w:bidi="ar"/>
        </w:rPr>
        <w:fldChar w:fldCharType="end"/>
      </w:r>
      <w:r>
        <w:rPr>
          <w:rFonts w:hint="eastAsia" w:ascii="仿宋_GB2312" w:hAnsi="仿宋_GB2312" w:eastAsia="仿宋_GB2312" w:cs="仿宋_GB2312"/>
          <w:color w:val="000000"/>
          <w:kern w:val="0"/>
          <w:sz w:val="32"/>
          <w:szCs w:val="32"/>
          <w:shd w:val="clear" w:color="auto" w:fill="FFFFFF"/>
          <w:lang w:bidi="ar"/>
        </w:rPr>
        <w:t>保持在9</w:t>
      </w:r>
      <w:r>
        <w:rPr>
          <w:rFonts w:hint="eastAsia" w:ascii="仿宋_GB2312" w:hAnsi="仿宋_GB2312" w:eastAsia="仿宋_GB2312" w:cs="仿宋_GB2312"/>
          <w:color w:val="000000"/>
          <w:kern w:val="0"/>
          <w:sz w:val="32"/>
          <w:szCs w:val="32"/>
          <w:shd w:val="clear" w:color="auto" w:fill="FFFFFF"/>
          <w:lang w:val="en-US" w:eastAsia="zh-CN" w:bidi="ar"/>
        </w:rPr>
        <w:t>5</w:t>
      </w:r>
      <w:r>
        <w:rPr>
          <w:rFonts w:hint="eastAsia" w:ascii="仿宋_GB2312" w:hAnsi="仿宋_GB2312" w:eastAsia="仿宋_GB2312" w:cs="仿宋_GB2312"/>
          <w:color w:val="000000"/>
          <w:kern w:val="0"/>
          <w:sz w:val="32"/>
          <w:szCs w:val="32"/>
          <w:shd w:val="clear" w:color="auto" w:fill="FFFFFF"/>
          <w:lang w:bidi="ar"/>
        </w:rPr>
        <w:t>%以上，审判管理成效稳步提高。</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绩效指标：加强审判流程标准化建设，明确各流程节点职责要求，确保审判管理制度在各环节有效落实。</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bidi="ar"/>
        </w:rPr>
        <w:t>产出指标（40</w:t>
      </w:r>
      <w:r>
        <w:rPr>
          <w:rFonts w:hint="eastAsia" w:ascii="仿宋_GB2312" w:hAnsi="仿宋_GB2312" w:eastAsia="仿宋_GB2312" w:cs="仿宋_GB2312"/>
          <w:color w:val="000000"/>
          <w:kern w:val="0"/>
          <w:sz w:val="32"/>
          <w:szCs w:val="32"/>
          <w:shd w:val="clear" w:color="auto" w:fill="FFFFFF"/>
          <w:lang w:val="en-US" w:eastAsia="zh-CN" w:bidi="ar"/>
        </w:rPr>
        <w:t>分</w:t>
      </w:r>
      <w:r>
        <w:rPr>
          <w:rFonts w:hint="eastAsia" w:ascii="仿宋_GB2312" w:hAnsi="仿宋_GB2312" w:eastAsia="仿宋_GB2312" w:cs="仿宋_GB2312"/>
          <w:color w:val="000000"/>
          <w:kern w:val="0"/>
          <w:sz w:val="32"/>
          <w:szCs w:val="32"/>
          <w:shd w:val="clear" w:color="auto" w:fill="FFFFFF"/>
          <w:lang w:bidi="ar"/>
        </w:rPr>
        <w:t>）</w:t>
      </w:r>
      <w:r>
        <w:rPr>
          <w:rFonts w:hint="eastAsia" w:ascii="仿宋_GB2312" w:hAnsi="仿宋_GB2312" w:eastAsia="仿宋_GB2312" w:cs="仿宋_GB2312"/>
          <w:color w:val="000000"/>
          <w:kern w:val="0"/>
          <w:sz w:val="32"/>
          <w:szCs w:val="32"/>
          <w:shd w:val="clear" w:color="auto" w:fill="FFFFFF"/>
          <w:lang w:val="en-US" w:eastAsia="zh-CN" w:bidi="ar"/>
        </w:rPr>
        <w:t xml:space="preserve"> 一是</w:t>
      </w:r>
      <w:r>
        <w:rPr>
          <w:rFonts w:hint="eastAsia" w:ascii="仿宋_GB2312" w:hAnsi="仿宋_GB2312" w:eastAsia="仿宋_GB2312" w:cs="仿宋_GB2312"/>
          <w:color w:val="000000"/>
          <w:kern w:val="0"/>
          <w:sz w:val="32"/>
          <w:szCs w:val="32"/>
          <w:shd w:val="clear" w:color="auto" w:fill="FFFFFF"/>
          <w:lang w:bidi="ar"/>
        </w:rPr>
        <w:t>已结案件占全部案件比率</w:t>
      </w:r>
      <w:r>
        <w:rPr>
          <w:rFonts w:hint="eastAsia" w:ascii="仿宋_GB2312" w:hAnsi="仿宋_GB2312" w:eastAsia="仿宋_GB2312" w:cs="仿宋_GB2312"/>
          <w:color w:val="000000"/>
          <w:kern w:val="0"/>
          <w:sz w:val="32"/>
          <w:szCs w:val="32"/>
          <w:shd w:val="clear" w:color="auto" w:fill="FFFFFF"/>
          <w:lang w:val="en-US" w:eastAsia="zh-CN" w:bidi="ar"/>
        </w:rPr>
        <w:t>的95%以上；二是法定审限内结案率95%以上；三是在法律规定时效内完成案件办理程序达98%以上；四是办理案件经费投入占95%以上。</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效益指标（40分） 一是当年办理案件规范率占95%以上；二是年内完成的案件数量与计划完成的办案数量比例占95%以上；三是当年办理案件结案比率达95%以上。</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满意度指标（10分） 调查群众对法院办理案件满意度，调查中满意和较满意群众数量占全部调查人数比率的90%以上。</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支出合理性</w:t>
      </w:r>
      <w:r>
        <w:rPr>
          <w:rFonts w:hint="eastAsia" w:ascii="仿宋_GB2312" w:hAnsi="仿宋_GB2312" w:eastAsia="仿宋_GB2312" w:cs="仿宋_GB2312"/>
          <w:color w:val="000000"/>
          <w:kern w:val="0"/>
          <w:sz w:val="32"/>
          <w:szCs w:val="32"/>
          <w:shd w:val="clear" w:color="auto" w:fill="FFFFFF"/>
          <w:lang w:bidi="ar"/>
        </w:rPr>
        <w:t>情况分析（10分）</w:t>
      </w:r>
      <w:r>
        <w:rPr>
          <w:rFonts w:hint="eastAsia" w:ascii="仿宋_GB2312" w:hAnsi="仿宋_GB2312" w:eastAsia="仿宋_GB2312" w:cs="仿宋_GB2312"/>
          <w:color w:val="000000"/>
          <w:kern w:val="0"/>
          <w:sz w:val="32"/>
          <w:szCs w:val="32"/>
          <w:shd w:val="clear" w:color="auto" w:fill="FFFFFF"/>
          <w:lang w:val="en-US" w:eastAsia="zh-CN" w:bidi="ar"/>
        </w:rPr>
        <w:t xml:space="preserve"> </w:t>
      </w:r>
      <w:r>
        <w:rPr>
          <w:rFonts w:hint="eastAsia" w:ascii="仿宋_GB2312" w:hAnsi="仿宋_GB2312" w:eastAsia="仿宋_GB2312" w:cs="仿宋_GB2312"/>
          <w:color w:val="000000"/>
          <w:kern w:val="0"/>
          <w:sz w:val="32"/>
          <w:szCs w:val="32"/>
          <w:shd w:val="clear" w:color="auto" w:fill="FFFFFF"/>
          <w:lang w:bidi="ar"/>
        </w:rPr>
        <w:t>经评估，</w:t>
      </w:r>
      <w:r>
        <w:rPr>
          <w:rFonts w:hint="eastAsia" w:ascii="仿宋_GB2312" w:hAnsi="仿宋_GB2312" w:eastAsia="仿宋_GB2312" w:cs="仿宋_GB2312"/>
          <w:color w:val="000000"/>
          <w:kern w:val="0"/>
          <w:sz w:val="32"/>
          <w:szCs w:val="32"/>
          <w:shd w:val="clear" w:color="auto" w:fill="FFFFFF"/>
          <w:lang w:eastAsia="zh-CN" w:bidi="ar"/>
        </w:rPr>
        <w:t>全局整体支出的每项</w:t>
      </w:r>
      <w:r>
        <w:rPr>
          <w:rFonts w:hint="eastAsia" w:ascii="仿宋_GB2312" w:hAnsi="仿宋_GB2312" w:eastAsia="仿宋_GB2312" w:cs="仿宋_GB2312"/>
          <w:color w:val="000000"/>
          <w:kern w:val="0"/>
          <w:sz w:val="32"/>
          <w:szCs w:val="32"/>
          <w:shd w:val="clear" w:color="auto" w:fill="FFFFFF"/>
          <w:lang w:bidi="ar"/>
        </w:rPr>
        <w:t>依据</w:t>
      </w:r>
      <w:r>
        <w:rPr>
          <w:rFonts w:hint="eastAsia" w:ascii="仿宋_GB2312" w:hAnsi="仿宋_GB2312" w:eastAsia="仿宋_GB2312" w:cs="仿宋_GB2312"/>
          <w:color w:val="000000"/>
          <w:kern w:val="0"/>
          <w:sz w:val="32"/>
          <w:szCs w:val="32"/>
          <w:shd w:val="clear" w:color="auto" w:fill="FFFFFF"/>
          <w:lang w:eastAsia="zh-CN" w:bidi="ar"/>
        </w:rPr>
        <w:t>充分、</w:t>
      </w:r>
      <w:r>
        <w:rPr>
          <w:rFonts w:hint="eastAsia" w:ascii="仿宋_GB2312" w:hAnsi="仿宋_GB2312" w:eastAsia="仿宋_GB2312" w:cs="仿宋_GB2312"/>
          <w:color w:val="000000"/>
          <w:kern w:val="0"/>
          <w:sz w:val="32"/>
          <w:szCs w:val="32"/>
          <w:shd w:val="clear" w:color="auto" w:fill="FFFFFF"/>
          <w:lang w:bidi="ar"/>
        </w:rPr>
        <w:t>合理。</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2</w:t>
      </w: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着力打造智慧法院。</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绩效目标：提高网上办案能力，推进审执能力现代化建设。</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绩效指标：不断升级办公内网、外部专网等网系功能，深化网上办案、办公以及司法</w:t>
      </w:r>
      <w:r>
        <w:rPr>
          <w:rFonts w:hint="eastAsia" w:ascii="仿宋_GB2312" w:hAnsi="仿宋_GB2312" w:eastAsia="仿宋_GB2312" w:cs="仿宋_GB2312"/>
          <w:color w:val="000000"/>
          <w:kern w:val="0"/>
          <w:sz w:val="32"/>
          <w:szCs w:val="32"/>
          <w:shd w:val="clear" w:color="auto" w:fill="FFFFFF"/>
          <w:lang w:bidi="ar"/>
        </w:rPr>
        <w:fldChar w:fldCharType="begin"/>
      </w:r>
      <w:r>
        <w:rPr>
          <w:rFonts w:hint="eastAsia" w:ascii="仿宋_GB2312" w:hAnsi="仿宋_GB2312" w:eastAsia="仿宋_GB2312" w:cs="仿宋_GB2312"/>
          <w:color w:val="000000"/>
          <w:kern w:val="0"/>
          <w:sz w:val="32"/>
          <w:szCs w:val="32"/>
          <w:shd w:val="clear" w:color="auto" w:fill="FFFFFF"/>
          <w:lang w:bidi="ar"/>
        </w:rPr>
        <w:instrText xml:space="preserve"> HYPERLINK "https://baike.sogou.com/lemma/ShowInnerLink.htm?lemmaId=183364656&amp;ss_c=ssc.citiao.link" </w:instrText>
      </w:r>
      <w:r>
        <w:rPr>
          <w:rFonts w:hint="eastAsia" w:ascii="仿宋_GB2312" w:hAnsi="仿宋_GB2312" w:eastAsia="仿宋_GB2312" w:cs="仿宋_GB2312"/>
          <w:color w:val="000000"/>
          <w:kern w:val="0"/>
          <w:sz w:val="32"/>
          <w:szCs w:val="32"/>
          <w:shd w:val="clear" w:color="auto" w:fill="FFFFFF"/>
          <w:lang w:bidi="ar"/>
        </w:rPr>
        <w:fldChar w:fldCharType="separate"/>
      </w:r>
      <w:r>
        <w:rPr>
          <w:rFonts w:hint="eastAsia" w:ascii="仿宋_GB2312" w:hAnsi="仿宋_GB2312" w:eastAsia="仿宋_GB2312" w:cs="仿宋_GB2312"/>
          <w:color w:val="000000"/>
          <w:kern w:val="0"/>
          <w:sz w:val="32"/>
          <w:szCs w:val="32"/>
          <w:shd w:val="clear" w:color="auto" w:fill="FFFFFF"/>
          <w:lang w:bidi="ar"/>
        </w:rPr>
        <w:t>大数据应用</w:t>
      </w:r>
      <w:r>
        <w:rPr>
          <w:rFonts w:hint="eastAsia" w:ascii="仿宋_GB2312" w:hAnsi="仿宋_GB2312" w:eastAsia="仿宋_GB2312" w:cs="仿宋_GB2312"/>
          <w:color w:val="000000"/>
          <w:kern w:val="0"/>
          <w:sz w:val="32"/>
          <w:szCs w:val="32"/>
          <w:shd w:val="clear" w:color="auto" w:fill="FFFFFF"/>
          <w:lang w:bidi="ar"/>
        </w:rPr>
        <w:fldChar w:fldCharType="end"/>
      </w:r>
      <w:r>
        <w:rPr>
          <w:rFonts w:hint="eastAsia" w:ascii="仿宋_GB2312" w:hAnsi="仿宋_GB2312" w:eastAsia="仿宋_GB2312" w:cs="仿宋_GB2312"/>
          <w:color w:val="000000"/>
          <w:kern w:val="0"/>
          <w:sz w:val="32"/>
          <w:szCs w:val="32"/>
          <w:shd w:val="clear" w:color="auto" w:fill="FFFFFF"/>
          <w:lang w:bidi="ar"/>
        </w:rPr>
        <w:t>。</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bidi="ar"/>
        </w:rPr>
        <w:t>产出指标（40</w:t>
      </w:r>
      <w:r>
        <w:rPr>
          <w:rFonts w:hint="eastAsia" w:ascii="仿宋_GB2312" w:hAnsi="仿宋_GB2312" w:eastAsia="仿宋_GB2312" w:cs="仿宋_GB2312"/>
          <w:color w:val="000000"/>
          <w:kern w:val="0"/>
          <w:sz w:val="32"/>
          <w:szCs w:val="32"/>
          <w:shd w:val="clear" w:color="auto" w:fill="FFFFFF"/>
          <w:lang w:val="en-US" w:eastAsia="zh-CN" w:bidi="ar"/>
        </w:rPr>
        <w:t>分</w:t>
      </w:r>
      <w:r>
        <w:rPr>
          <w:rFonts w:hint="eastAsia" w:ascii="仿宋_GB2312" w:hAnsi="仿宋_GB2312" w:eastAsia="仿宋_GB2312" w:cs="仿宋_GB2312"/>
          <w:color w:val="000000"/>
          <w:kern w:val="0"/>
          <w:sz w:val="32"/>
          <w:szCs w:val="32"/>
          <w:shd w:val="clear" w:color="auto" w:fill="FFFFFF"/>
          <w:lang w:bidi="ar"/>
        </w:rPr>
        <w:t>）</w:t>
      </w:r>
      <w:r>
        <w:rPr>
          <w:rFonts w:hint="eastAsia" w:ascii="仿宋_GB2312" w:hAnsi="仿宋_GB2312" w:eastAsia="仿宋_GB2312" w:cs="仿宋_GB2312"/>
          <w:color w:val="000000"/>
          <w:kern w:val="0"/>
          <w:sz w:val="32"/>
          <w:szCs w:val="32"/>
          <w:shd w:val="clear" w:color="auto" w:fill="FFFFFF"/>
          <w:lang w:val="en-US" w:eastAsia="zh-CN" w:bidi="ar"/>
        </w:rPr>
        <w:t xml:space="preserve"> 一是</w:t>
      </w:r>
      <w:r>
        <w:rPr>
          <w:rFonts w:hint="eastAsia" w:ascii="仿宋_GB2312" w:hAnsi="仿宋_GB2312" w:eastAsia="仿宋_GB2312" w:cs="仿宋_GB2312"/>
          <w:color w:val="000000"/>
          <w:kern w:val="0"/>
          <w:sz w:val="32"/>
          <w:szCs w:val="32"/>
          <w:shd w:val="clear" w:color="auto" w:fill="FFFFFF"/>
          <w:lang w:bidi="ar"/>
        </w:rPr>
        <w:t>已结案件占全部案件比率</w:t>
      </w:r>
      <w:r>
        <w:rPr>
          <w:rFonts w:hint="eastAsia" w:ascii="仿宋_GB2312" w:hAnsi="仿宋_GB2312" w:eastAsia="仿宋_GB2312" w:cs="仿宋_GB2312"/>
          <w:color w:val="000000"/>
          <w:kern w:val="0"/>
          <w:sz w:val="32"/>
          <w:szCs w:val="32"/>
          <w:shd w:val="clear" w:color="auto" w:fill="FFFFFF"/>
          <w:lang w:val="en-US" w:eastAsia="zh-CN" w:bidi="ar"/>
        </w:rPr>
        <w:t>的95%以上；二是法定审限内结案率95%以上；三是在法律规定时效内完成案件办理程序达95%以上；四是办理案件经费投入占95%以上。</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效益指标（40分） 一是当年办理案件规范率占95%以上；二是年内完成的案件数量与计划完成的办案数量比例占95%以上；三是当年办理案件结案比率达95%以上。</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满意度指标（10分） 调查群众对法院办理案件满意度，调查中满意和较满意群众数量占全部调查人数比率的90%以上。</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支出合理性</w:t>
      </w:r>
      <w:r>
        <w:rPr>
          <w:rFonts w:hint="eastAsia" w:ascii="仿宋_GB2312" w:hAnsi="仿宋_GB2312" w:eastAsia="仿宋_GB2312" w:cs="仿宋_GB2312"/>
          <w:color w:val="000000"/>
          <w:kern w:val="0"/>
          <w:sz w:val="32"/>
          <w:szCs w:val="32"/>
          <w:shd w:val="clear" w:color="auto" w:fill="FFFFFF"/>
          <w:lang w:bidi="ar"/>
        </w:rPr>
        <w:t>情况分析（10分）</w:t>
      </w:r>
      <w:r>
        <w:rPr>
          <w:rFonts w:hint="eastAsia" w:ascii="仿宋_GB2312" w:hAnsi="仿宋_GB2312" w:eastAsia="仿宋_GB2312" w:cs="仿宋_GB2312"/>
          <w:color w:val="000000"/>
          <w:kern w:val="0"/>
          <w:sz w:val="32"/>
          <w:szCs w:val="32"/>
          <w:shd w:val="clear" w:color="auto" w:fill="FFFFFF"/>
          <w:lang w:val="en-US" w:eastAsia="zh-CN" w:bidi="ar"/>
        </w:rPr>
        <w:t xml:space="preserve"> </w:t>
      </w:r>
      <w:r>
        <w:rPr>
          <w:rFonts w:hint="eastAsia" w:ascii="仿宋_GB2312" w:hAnsi="仿宋_GB2312" w:eastAsia="仿宋_GB2312" w:cs="仿宋_GB2312"/>
          <w:color w:val="000000"/>
          <w:kern w:val="0"/>
          <w:sz w:val="32"/>
          <w:szCs w:val="32"/>
          <w:shd w:val="clear" w:color="auto" w:fill="FFFFFF"/>
          <w:lang w:bidi="ar"/>
        </w:rPr>
        <w:t>经评估，</w:t>
      </w:r>
      <w:r>
        <w:rPr>
          <w:rFonts w:hint="eastAsia" w:ascii="仿宋_GB2312" w:hAnsi="仿宋_GB2312" w:eastAsia="仿宋_GB2312" w:cs="仿宋_GB2312"/>
          <w:color w:val="000000"/>
          <w:kern w:val="0"/>
          <w:sz w:val="32"/>
          <w:szCs w:val="32"/>
          <w:shd w:val="clear" w:color="auto" w:fill="FFFFFF"/>
          <w:lang w:eastAsia="zh-CN" w:bidi="ar"/>
        </w:rPr>
        <w:t>全局整体支出的每项</w:t>
      </w:r>
      <w:r>
        <w:rPr>
          <w:rFonts w:hint="eastAsia" w:ascii="仿宋_GB2312" w:hAnsi="仿宋_GB2312" w:eastAsia="仿宋_GB2312" w:cs="仿宋_GB2312"/>
          <w:color w:val="000000"/>
          <w:kern w:val="0"/>
          <w:sz w:val="32"/>
          <w:szCs w:val="32"/>
          <w:shd w:val="clear" w:color="auto" w:fill="FFFFFF"/>
          <w:lang w:bidi="ar"/>
        </w:rPr>
        <w:t>依据</w:t>
      </w:r>
      <w:r>
        <w:rPr>
          <w:rFonts w:hint="eastAsia" w:ascii="仿宋_GB2312" w:hAnsi="仿宋_GB2312" w:eastAsia="仿宋_GB2312" w:cs="仿宋_GB2312"/>
          <w:color w:val="000000"/>
          <w:kern w:val="0"/>
          <w:sz w:val="32"/>
          <w:szCs w:val="32"/>
          <w:shd w:val="clear" w:color="auto" w:fill="FFFFFF"/>
          <w:lang w:eastAsia="zh-CN" w:bidi="ar"/>
        </w:rPr>
        <w:t>充分、</w:t>
      </w:r>
      <w:r>
        <w:rPr>
          <w:rFonts w:hint="eastAsia" w:ascii="仿宋_GB2312" w:hAnsi="仿宋_GB2312" w:eastAsia="仿宋_GB2312" w:cs="仿宋_GB2312"/>
          <w:color w:val="000000"/>
          <w:kern w:val="0"/>
          <w:sz w:val="32"/>
          <w:szCs w:val="32"/>
          <w:shd w:val="clear" w:color="auto" w:fill="FFFFFF"/>
          <w:lang w:bidi="ar"/>
        </w:rPr>
        <w:t>合理。</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3</w:t>
      </w: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健全监督制约机制。</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绩效目标：落实“由审理者裁判，让裁判者负责”，进一步细化法官权力和责任清单，完善案件质量评查、办案责任倒查等制度，构建起全方位的办案监管体系。</w:t>
      </w:r>
    </w:p>
    <w:p>
      <w:pPr>
        <w:keepNext w:val="0"/>
        <w:keepLines w:val="0"/>
        <w:pageBreakBefore w:val="0"/>
        <w:widowControl w:val="0"/>
        <w:kinsoku/>
        <w:wordWrap/>
        <w:overflowPunct/>
        <w:topLinePunct w:val="0"/>
        <w:autoSpaceDE/>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绩效指标：保证管理监督的正当化、透明化，做好案件评查和长期未结、久押不决案件的清理工作，提升审判质效。</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bidi="ar"/>
        </w:rPr>
        <w:t>产出指标（40</w:t>
      </w:r>
      <w:r>
        <w:rPr>
          <w:rFonts w:hint="eastAsia" w:ascii="仿宋_GB2312" w:hAnsi="仿宋_GB2312" w:eastAsia="仿宋_GB2312" w:cs="仿宋_GB2312"/>
          <w:color w:val="000000"/>
          <w:kern w:val="0"/>
          <w:sz w:val="32"/>
          <w:szCs w:val="32"/>
          <w:shd w:val="clear" w:color="auto" w:fill="FFFFFF"/>
          <w:lang w:val="en-US" w:eastAsia="zh-CN" w:bidi="ar"/>
        </w:rPr>
        <w:t>分</w:t>
      </w:r>
      <w:r>
        <w:rPr>
          <w:rFonts w:hint="eastAsia" w:ascii="仿宋_GB2312" w:hAnsi="仿宋_GB2312" w:eastAsia="仿宋_GB2312" w:cs="仿宋_GB2312"/>
          <w:color w:val="000000"/>
          <w:kern w:val="0"/>
          <w:sz w:val="32"/>
          <w:szCs w:val="32"/>
          <w:shd w:val="clear" w:color="auto" w:fill="FFFFFF"/>
          <w:lang w:bidi="ar"/>
        </w:rPr>
        <w:t>）</w:t>
      </w:r>
      <w:r>
        <w:rPr>
          <w:rFonts w:hint="eastAsia" w:ascii="仿宋_GB2312" w:hAnsi="仿宋_GB2312" w:eastAsia="仿宋_GB2312" w:cs="仿宋_GB2312"/>
          <w:color w:val="000000"/>
          <w:kern w:val="0"/>
          <w:sz w:val="32"/>
          <w:szCs w:val="32"/>
          <w:shd w:val="clear" w:color="auto" w:fill="FFFFFF"/>
          <w:lang w:val="en-US" w:eastAsia="zh-CN" w:bidi="ar"/>
        </w:rPr>
        <w:t xml:space="preserve"> 一是</w:t>
      </w:r>
      <w:r>
        <w:rPr>
          <w:rFonts w:hint="eastAsia" w:ascii="仿宋_GB2312" w:hAnsi="仿宋_GB2312" w:eastAsia="仿宋_GB2312" w:cs="仿宋_GB2312"/>
          <w:color w:val="000000"/>
          <w:kern w:val="0"/>
          <w:sz w:val="32"/>
          <w:szCs w:val="32"/>
          <w:shd w:val="clear" w:color="auto" w:fill="FFFFFF"/>
          <w:lang w:bidi="ar"/>
        </w:rPr>
        <w:t>已结案件占全部案件比率</w:t>
      </w:r>
      <w:r>
        <w:rPr>
          <w:rFonts w:hint="eastAsia" w:ascii="仿宋_GB2312" w:hAnsi="仿宋_GB2312" w:eastAsia="仿宋_GB2312" w:cs="仿宋_GB2312"/>
          <w:color w:val="000000"/>
          <w:kern w:val="0"/>
          <w:sz w:val="32"/>
          <w:szCs w:val="32"/>
          <w:shd w:val="clear" w:color="auto" w:fill="FFFFFF"/>
          <w:lang w:val="en-US" w:eastAsia="zh-CN" w:bidi="ar"/>
        </w:rPr>
        <w:t>的95%以上；二是法定审限内结案率98%以上；三是在法律规定时效内完成案件办理程序达98%以上；四是办理案件经费投入占95%以上。</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效益指标（40分） 一是当年办理案件规范率占95%以上；二是年内完成的案件数量与计划完成的办案数量比例占95%以上；三是当年办理案件结案比率达95%以上。</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满意度指标（10分） 调查群众对法院办理案件满意度，调查中满意和较满意群众数量占全部调查人数比率的90%以上。</w:t>
      </w:r>
    </w:p>
    <w:p>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支出合理性</w:t>
      </w:r>
      <w:r>
        <w:rPr>
          <w:rFonts w:hint="eastAsia" w:ascii="仿宋_GB2312" w:hAnsi="仿宋_GB2312" w:eastAsia="仿宋_GB2312" w:cs="仿宋_GB2312"/>
          <w:color w:val="000000"/>
          <w:kern w:val="0"/>
          <w:sz w:val="32"/>
          <w:szCs w:val="32"/>
          <w:shd w:val="clear" w:color="auto" w:fill="FFFFFF"/>
          <w:lang w:bidi="ar"/>
        </w:rPr>
        <w:t>情况分析（10分）</w:t>
      </w:r>
      <w:r>
        <w:rPr>
          <w:rFonts w:hint="eastAsia" w:ascii="仿宋_GB2312" w:hAnsi="仿宋_GB2312" w:eastAsia="仿宋_GB2312" w:cs="仿宋_GB2312"/>
          <w:color w:val="000000"/>
          <w:kern w:val="0"/>
          <w:sz w:val="32"/>
          <w:szCs w:val="32"/>
          <w:shd w:val="clear" w:color="auto" w:fill="FFFFFF"/>
          <w:lang w:val="en-US" w:eastAsia="zh-CN" w:bidi="ar"/>
        </w:rPr>
        <w:t xml:space="preserve"> </w:t>
      </w:r>
      <w:r>
        <w:rPr>
          <w:rFonts w:hint="eastAsia" w:ascii="仿宋_GB2312" w:hAnsi="仿宋_GB2312" w:eastAsia="仿宋_GB2312" w:cs="仿宋_GB2312"/>
          <w:color w:val="000000"/>
          <w:kern w:val="0"/>
          <w:sz w:val="32"/>
          <w:szCs w:val="32"/>
          <w:shd w:val="clear" w:color="auto" w:fill="FFFFFF"/>
          <w:lang w:bidi="ar"/>
        </w:rPr>
        <w:t>经评估，</w:t>
      </w:r>
      <w:r>
        <w:rPr>
          <w:rFonts w:hint="eastAsia" w:ascii="仿宋_GB2312" w:hAnsi="仿宋_GB2312" w:eastAsia="仿宋_GB2312" w:cs="仿宋_GB2312"/>
          <w:color w:val="000000"/>
          <w:kern w:val="0"/>
          <w:sz w:val="32"/>
          <w:szCs w:val="32"/>
          <w:shd w:val="clear" w:color="auto" w:fill="FFFFFF"/>
          <w:lang w:eastAsia="zh-CN" w:bidi="ar"/>
        </w:rPr>
        <w:t>全局整体支出的每项</w:t>
      </w:r>
      <w:r>
        <w:rPr>
          <w:rFonts w:hint="eastAsia" w:ascii="仿宋_GB2312" w:hAnsi="仿宋_GB2312" w:eastAsia="仿宋_GB2312" w:cs="仿宋_GB2312"/>
          <w:color w:val="000000"/>
          <w:kern w:val="0"/>
          <w:sz w:val="32"/>
          <w:szCs w:val="32"/>
          <w:shd w:val="clear" w:color="auto" w:fill="FFFFFF"/>
          <w:lang w:bidi="ar"/>
        </w:rPr>
        <w:t>依据</w:t>
      </w:r>
      <w:r>
        <w:rPr>
          <w:rFonts w:hint="eastAsia" w:ascii="仿宋_GB2312" w:hAnsi="仿宋_GB2312" w:eastAsia="仿宋_GB2312" w:cs="仿宋_GB2312"/>
          <w:color w:val="000000"/>
          <w:kern w:val="0"/>
          <w:sz w:val="32"/>
          <w:szCs w:val="32"/>
          <w:shd w:val="clear" w:color="auto" w:fill="FFFFFF"/>
          <w:lang w:eastAsia="zh-CN" w:bidi="ar"/>
        </w:rPr>
        <w:t>充分、</w:t>
      </w:r>
      <w:r>
        <w:rPr>
          <w:rFonts w:hint="eastAsia" w:ascii="仿宋_GB2312" w:hAnsi="仿宋_GB2312" w:eastAsia="仿宋_GB2312" w:cs="仿宋_GB2312"/>
          <w:color w:val="000000"/>
          <w:kern w:val="0"/>
          <w:sz w:val="32"/>
          <w:szCs w:val="32"/>
          <w:shd w:val="clear" w:color="auto" w:fill="FFFFFF"/>
          <w:lang w:bidi="ar"/>
        </w:rPr>
        <w:t>合理。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23</w:t>
      </w:r>
      <w:r>
        <w:rPr>
          <w:rFonts w:hint="eastAsia" w:ascii="仿宋_GB2312" w:eastAsia="仿宋_GB2312"/>
          <w:sz w:val="32"/>
          <w:szCs w:val="32"/>
        </w:rPr>
        <w:t>年度，</w:t>
      </w:r>
      <w:r>
        <w:rPr>
          <w:rFonts w:hint="eastAsia" w:ascii="仿宋_GB2312" w:eastAsia="仿宋_GB2312"/>
          <w:sz w:val="32"/>
          <w:szCs w:val="32"/>
          <w:lang w:eastAsia="zh-CN"/>
        </w:rPr>
        <w:t>我</w:t>
      </w:r>
      <w:r>
        <w:rPr>
          <w:rFonts w:hint="eastAsia" w:ascii="仿宋_GB2312" w:eastAsia="仿宋_GB2312"/>
          <w:sz w:val="32"/>
          <w:szCs w:val="32"/>
          <w:lang w:val="en-US" w:eastAsia="zh-CN"/>
        </w:rPr>
        <w:t>院</w:t>
      </w:r>
      <w:r>
        <w:rPr>
          <w:rFonts w:hint="eastAsia" w:ascii="仿宋_GB2312" w:eastAsia="仿宋_GB2312"/>
          <w:sz w:val="32"/>
          <w:szCs w:val="32"/>
          <w:lang w:eastAsia="zh-CN"/>
        </w:rPr>
        <w:t>的各项</w:t>
      </w:r>
      <w:r>
        <w:rPr>
          <w:rFonts w:hint="eastAsia" w:ascii="仿宋_GB2312" w:eastAsia="仿宋_GB2312"/>
          <w:sz w:val="32"/>
          <w:szCs w:val="32"/>
        </w:rPr>
        <w:t>经费</w:t>
      </w:r>
      <w:r>
        <w:rPr>
          <w:rFonts w:hint="eastAsia" w:ascii="仿宋_GB2312" w:hAnsi="宋体" w:eastAsia="仿宋_GB2312" w:cs="宋体"/>
          <w:color w:val="000000"/>
          <w:sz w:val="32"/>
          <w:szCs w:val="32"/>
        </w:rPr>
        <w:t>投入</w:t>
      </w:r>
      <w:r>
        <w:rPr>
          <w:rFonts w:hint="eastAsia" w:ascii="仿宋_GB2312" w:eastAsia="仿宋_GB2312"/>
          <w:sz w:val="32"/>
          <w:szCs w:val="32"/>
          <w:lang w:eastAsia="zh-CN"/>
        </w:rPr>
        <w:t>支出</w:t>
      </w:r>
      <w:r>
        <w:rPr>
          <w:rFonts w:hint="eastAsia" w:ascii="仿宋_GB2312" w:hAnsi="宋体" w:eastAsia="仿宋_GB2312" w:cs="宋体"/>
          <w:color w:val="000000"/>
          <w:sz w:val="32"/>
          <w:szCs w:val="32"/>
        </w:rPr>
        <w:t>合理，资金落实到位，使用规范透明，监督及时有效，</w:t>
      </w:r>
      <w:r>
        <w:rPr>
          <w:rFonts w:hint="eastAsia" w:ascii="仿宋_GB2312" w:hAnsi="仿宋_GB2312" w:eastAsia="仿宋_GB2312" w:cs="仿宋_GB2312"/>
          <w:kern w:val="0"/>
          <w:sz w:val="32"/>
          <w:szCs w:val="32"/>
          <w:u w:val="none"/>
          <w:shd w:val="clear" w:color="auto" w:fill="FFFFFF"/>
          <w:lang w:val="en-US" w:eastAsia="zh-CN" w:bidi="ar"/>
        </w:rPr>
        <w:t>扎实做好各项审执工作。</w:t>
      </w:r>
      <w:r>
        <w:rPr>
          <w:rFonts w:hint="eastAsia" w:ascii="仿宋_GB2312" w:eastAsia="仿宋_GB2312"/>
          <w:sz w:val="32"/>
          <w:szCs w:val="32"/>
        </w:rPr>
        <w:t>总体来看，</w:t>
      </w:r>
      <w:r>
        <w:rPr>
          <w:rFonts w:hint="eastAsia" w:ascii="仿宋_GB2312" w:eastAsia="仿宋_GB2312"/>
          <w:sz w:val="32"/>
          <w:szCs w:val="32"/>
          <w:lang w:eastAsia="zh-CN"/>
        </w:rPr>
        <w:t>我</w:t>
      </w:r>
      <w:r>
        <w:rPr>
          <w:rFonts w:hint="eastAsia" w:ascii="仿宋_GB2312" w:eastAsia="仿宋_GB2312"/>
          <w:sz w:val="32"/>
          <w:szCs w:val="32"/>
          <w:lang w:val="en-US" w:eastAsia="zh-CN"/>
        </w:rPr>
        <w:t>院</w:t>
      </w:r>
      <w:r>
        <w:rPr>
          <w:rFonts w:hint="eastAsia" w:ascii="仿宋_GB2312" w:eastAsia="仿宋_GB2312"/>
          <w:sz w:val="32"/>
          <w:szCs w:val="32"/>
          <w:lang w:eastAsia="zh-CN"/>
        </w:rPr>
        <w:t>整体支出</w:t>
      </w:r>
      <w:r>
        <w:rPr>
          <w:rFonts w:hint="eastAsia" w:ascii="仿宋_GB2312" w:eastAsia="仿宋_GB2312"/>
          <w:sz w:val="32"/>
          <w:szCs w:val="32"/>
        </w:rPr>
        <w:t>完成情况好，取得了良好的社会效益，绩效评价总</w:t>
      </w:r>
      <w:r>
        <w:rPr>
          <w:rFonts w:hint="eastAsia" w:ascii="仿宋_GB2312" w:eastAsia="仿宋_GB2312"/>
          <w:sz w:val="32"/>
          <w:szCs w:val="32"/>
          <w:highlight w:val="none"/>
        </w:rPr>
        <w:t>体得分为</w:t>
      </w:r>
      <w:r>
        <w:rPr>
          <w:rFonts w:hint="eastAsia" w:ascii="仿宋_GB2312" w:eastAsia="仿宋_GB2312"/>
          <w:sz w:val="32"/>
          <w:szCs w:val="32"/>
          <w:highlight w:val="none"/>
          <w:lang w:val="en-US" w:eastAsia="zh-CN"/>
        </w:rPr>
        <w:t>98</w:t>
      </w:r>
      <w:r>
        <w:rPr>
          <w:rFonts w:hint="eastAsia" w:ascii="仿宋_GB2312" w:eastAsia="仿宋_GB2312"/>
          <w:sz w:val="32"/>
          <w:szCs w:val="32"/>
          <w:highlight w:val="none"/>
        </w:rPr>
        <w:t>分</w:t>
      </w:r>
      <w:r>
        <w:rPr>
          <w:rFonts w:hint="eastAsia" w:ascii="仿宋_GB2312" w:eastAsia="仿宋_GB2312"/>
          <w:sz w:val="32"/>
          <w:szCs w:val="32"/>
        </w:rPr>
        <w:t>，自评为</w:t>
      </w:r>
      <w:r>
        <w:rPr>
          <w:rFonts w:hint="eastAsia" w:ascii="仿宋_GB2312" w:eastAsia="仿宋_GB2312"/>
          <w:sz w:val="32"/>
          <w:szCs w:val="32"/>
          <w:highlight w:val="none"/>
        </w:rPr>
        <w:t>优秀等</w:t>
      </w:r>
      <w:r>
        <w:rPr>
          <w:rFonts w:hint="eastAsia" w:ascii="仿宋_GB2312" w:eastAsia="仿宋_GB2312"/>
          <w:sz w:val="32"/>
          <w:szCs w:val="32"/>
        </w:rPr>
        <w:t>次。</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rPr>
        <w:t>（一）存在的主要问题</w:t>
      </w:r>
      <w:r>
        <w:rPr>
          <w:rFonts w:hint="eastAsia" w:ascii="楷体" w:hAnsi="楷体" w:eastAsia="楷体"/>
          <w:bCs/>
          <w:sz w:val="32"/>
          <w:szCs w:val="32"/>
          <w:lang w:eastAsia="zh-CN"/>
        </w:rPr>
        <w:t>：</w:t>
      </w:r>
      <w:r>
        <w:rPr>
          <w:rFonts w:hint="eastAsia" w:ascii="楷体" w:hAnsi="楷体" w:eastAsia="楷体"/>
          <w:bCs/>
          <w:sz w:val="32"/>
          <w:szCs w:val="32"/>
          <w:lang w:val="en-US" w:eastAsia="zh-CN"/>
        </w:rPr>
        <w:t>无</w:t>
      </w:r>
    </w:p>
    <w:p>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rPr>
        <w:t>（二）针对问题提出具体的改进措施或建议</w:t>
      </w:r>
      <w:r>
        <w:rPr>
          <w:rFonts w:hint="eastAsia" w:ascii="楷体" w:hAnsi="楷体" w:eastAsia="楷体"/>
          <w:bCs/>
          <w:sz w:val="32"/>
          <w:szCs w:val="32"/>
          <w:lang w:eastAsia="zh-CN"/>
        </w:rPr>
        <w:t>：</w:t>
      </w:r>
      <w:r>
        <w:rPr>
          <w:rFonts w:hint="eastAsia" w:ascii="楷体" w:hAnsi="楷体" w:eastAsia="楷体"/>
          <w:bCs/>
          <w:sz w:val="32"/>
          <w:szCs w:val="32"/>
          <w:lang w:val="en-US" w:eastAsia="zh-CN"/>
        </w:rPr>
        <w:t>无</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0" w:type="auto"/>
        <w:tblInd w:w="124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843"/>
        <w:gridCol w:w="1134"/>
        <w:gridCol w:w="18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1" w:hRule="atLeast"/>
        </w:trPr>
        <w:tc>
          <w:tcPr>
            <w:tcW w:w="1843" w:type="dxa"/>
          </w:tcPr>
          <w:p>
            <w:pPr>
              <w:spacing w:line="560" w:lineRule="exact"/>
              <w:rPr>
                <w:rFonts w:ascii="仿宋" w:hAnsi="仿宋" w:eastAsia="仿宋"/>
                <w:sz w:val="24"/>
              </w:rPr>
            </w:pPr>
            <w:r>
              <w:rPr>
                <w:rFonts w:hint="eastAsia" w:ascii="仿宋" w:hAnsi="仿宋" w:eastAsia="仿宋"/>
                <w:sz w:val="24"/>
              </w:rPr>
              <w:t>工作部门</w:t>
            </w:r>
          </w:p>
        </w:tc>
        <w:tc>
          <w:tcPr>
            <w:tcW w:w="1134" w:type="dxa"/>
          </w:tcPr>
          <w:p>
            <w:pPr>
              <w:spacing w:line="560" w:lineRule="exact"/>
              <w:rPr>
                <w:rFonts w:ascii="仿宋" w:hAnsi="仿宋" w:eastAsia="仿宋"/>
                <w:sz w:val="24"/>
              </w:rPr>
            </w:pPr>
            <w:r>
              <w:rPr>
                <w:rFonts w:hint="eastAsia" w:ascii="仿宋" w:hAnsi="仿宋" w:eastAsia="仿宋"/>
                <w:sz w:val="24"/>
              </w:rPr>
              <w:t>姓名</w:t>
            </w:r>
          </w:p>
        </w:tc>
        <w:tc>
          <w:tcPr>
            <w:tcW w:w="1843" w:type="dxa"/>
          </w:tcPr>
          <w:p>
            <w:pPr>
              <w:spacing w:line="560" w:lineRule="exact"/>
              <w:rPr>
                <w:rFonts w:ascii="仿宋" w:hAnsi="仿宋" w:eastAsia="仿宋"/>
                <w:sz w:val="24"/>
              </w:rPr>
            </w:pPr>
            <w:r>
              <w:rPr>
                <w:rFonts w:hint="eastAsia" w:ascii="仿宋" w:hAnsi="仿宋" w:eastAsia="仿宋"/>
                <w:sz w:val="24"/>
              </w:rPr>
              <w:t>职务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843" w:type="dxa"/>
          </w:tcPr>
          <w:p>
            <w:pPr>
              <w:spacing w:line="560" w:lineRule="exact"/>
              <w:rPr>
                <w:rFonts w:ascii="仿宋" w:hAnsi="仿宋" w:eastAsia="仿宋"/>
                <w:sz w:val="24"/>
              </w:rPr>
            </w:pPr>
            <w:r>
              <w:rPr>
                <w:rFonts w:hint="eastAsia" w:ascii="仿宋" w:hAnsi="仿宋" w:eastAsia="仿宋"/>
                <w:sz w:val="24"/>
              </w:rPr>
              <w:t>评价小组组长</w:t>
            </w:r>
          </w:p>
        </w:tc>
        <w:tc>
          <w:tcPr>
            <w:tcW w:w="1134" w:type="dxa"/>
          </w:tcPr>
          <w:p>
            <w:pPr>
              <w:spacing w:line="560" w:lineRule="exact"/>
              <w:rPr>
                <w:rFonts w:hint="eastAsia" w:ascii="仿宋" w:hAnsi="仿宋" w:eastAsia="仿宋"/>
                <w:sz w:val="24"/>
                <w:lang w:eastAsia="zh-CN"/>
              </w:rPr>
            </w:pPr>
            <w:r>
              <w:rPr>
                <w:rFonts w:hint="eastAsia" w:ascii="仿宋" w:hAnsi="仿宋" w:eastAsia="仿宋"/>
                <w:sz w:val="24"/>
                <w:lang w:val="en-US" w:eastAsia="zh-CN"/>
              </w:rPr>
              <w:t>陈风庭</w:t>
            </w:r>
          </w:p>
        </w:tc>
        <w:tc>
          <w:tcPr>
            <w:tcW w:w="1843" w:type="dxa"/>
          </w:tcPr>
          <w:p>
            <w:pPr>
              <w:spacing w:line="560" w:lineRule="exact"/>
              <w:rPr>
                <w:rFonts w:hint="eastAsia" w:ascii="仿宋" w:hAnsi="仿宋" w:eastAsia="仿宋"/>
                <w:sz w:val="24"/>
                <w:lang w:val="en-US" w:eastAsia="zh-CN"/>
              </w:rPr>
            </w:pPr>
            <w:r>
              <w:rPr>
                <w:rFonts w:hint="eastAsia" w:ascii="仿宋" w:hAnsi="仿宋" w:eastAsia="仿宋"/>
                <w:sz w:val="24"/>
              </w:rPr>
              <w:t>副</w:t>
            </w:r>
            <w:r>
              <w:rPr>
                <w:rFonts w:hint="eastAsia" w:ascii="仿宋" w:hAnsi="仿宋" w:eastAsia="仿宋"/>
                <w:sz w:val="24"/>
                <w:lang w:val="en-US" w:eastAsia="zh-CN"/>
              </w:rPr>
              <w:t>院长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7" w:hRule="atLeast"/>
        </w:trPr>
        <w:tc>
          <w:tcPr>
            <w:tcW w:w="1843" w:type="dxa"/>
          </w:tcPr>
          <w:p>
            <w:pPr>
              <w:spacing w:line="560" w:lineRule="exact"/>
              <w:rPr>
                <w:rFonts w:ascii="仿宋" w:hAnsi="仿宋" w:eastAsia="仿宋"/>
                <w:sz w:val="24"/>
              </w:rPr>
            </w:pPr>
            <w:r>
              <w:rPr>
                <w:rFonts w:hint="eastAsia" w:ascii="仿宋" w:hAnsi="仿宋" w:eastAsia="仿宋"/>
                <w:sz w:val="24"/>
              </w:rPr>
              <w:t>办公室</w:t>
            </w:r>
          </w:p>
        </w:tc>
        <w:tc>
          <w:tcPr>
            <w:tcW w:w="1134" w:type="dxa"/>
          </w:tcPr>
          <w:p>
            <w:pPr>
              <w:spacing w:line="560" w:lineRule="exact"/>
              <w:rPr>
                <w:rFonts w:hint="eastAsia" w:ascii="仿宋" w:hAnsi="仿宋" w:eastAsia="仿宋"/>
                <w:sz w:val="24"/>
                <w:lang w:val="en-US" w:eastAsia="zh-CN"/>
              </w:rPr>
            </w:pPr>
            <w:r>
              <w:rPr>
                <w:rFonts w:hint="eastAsia" w:ascii="仿宋" w:hAnsi="仿宋" w:eastAsia="仿宋"/>
                <w:sz w:val="24"/>
                <w:lang w:val="en-US" w:eastAsia="zh-CN"/>
              </w:rPr>
              <w:t>高菊平</w:t>
            </w:r>
          </w:p>
        </w:tc>
        <w:tc>
          <w:tcPr>
            <w:tcW w:w="1843" w:type="dxa"/>
          </w:tcPr>
          <w:p>
            <w:pPr>
              <w:spacing w:line="560" w:lineRule="exact"/>
              <w:rPr>
                <w:rFonts w:ascii="仿宋" w:hAnsi="仿宋" w:eastAsia="仿宋"/>
                <w:sz w:val="24"/>
              </w:rPr>
            </w:pPr>
            <w:r>
              <w:rPr>
                <w:rFonts w:hint="eastAsia" w:ascii="仿宋" w:hAnsi="仿宋" w:eastAsia="仿宋"/>
                <w:sz w:val="24"/>
              </w:rPr>
              <w:t>办公室主任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1843" w:type="dxa"/>
          </w:tcPr>
          <w:p>
            <w:pPr>
              <w:spacing w:line="560" w:lineRule="exact"/>
              <w:rPr>
                <w:rFonts w:ascii="仿宋" w:hAnsi="仿宋" w:eastAsia="仿宋"/>
                <w:sz w:val="24"/>
              </w:rPr>
            </w:pPr>
            <w:r>
              <w:rPr>
                <w:rFonts w:hint="eastAsia" w:ascii="仿宋" w:hAnsi="仿宋" w:eastAsia="仿宋"/>
                <w:sz w:val="24"/>
              </w:rPr>
              <w:t>办公室</w:t>
            </w:r>
          </w:p>
        </w:tc>
        <w:tc>
          <w:tcPr>
            <w:tcW w:w="1134" w:type="dxa"/>
          </w:tcPr>
          <w:p>
            <w:pPr>
              <w:spacing w:line="560" w:lineRule="exact"/>
              <w:rPr>
                <w:rFonts w:hint="eastAsia" w:ascii="仿宋" w:hAnsi="仿宋" w:eastAsia="仿宋"/>
                <w:sz w:val="24"/>
                <w:lang w:eastAsia="zh-CN"/>
              </w:rPr>
            </w:pPr>
            <w:r>
              <w:rPr>
                <w:rFonts w:hint="eastAsia" w:ascii="仿宋" w:hAnsi="仿宋" w:eastAsia="仿宋"/>
                <w:sz w:val="24"/>
                <w:lang w:val="en-US" w:eastAsia="zh-CN"/>
              </w:rPr>
              <w:t>刘岳</w:t>
            </w:r>
          </w:p>
        </w:tc>
        <w:tc>
          <w:tcPr>
            <w:tcW w:w="1843" w:type="dxa"/>
          </w:tcPr>
          <w:p>
            <w:pPr>
              <w:spacing w:line="560" w:lineRule="exact"/>
              <w:rPr>
                <w:rFonts w:ascii="仿宋" w:hAnsi="仿宋" w:eastAsia="仿宋"/>
                <w:sz w:val="24"/>
              </w:rPr>
            </w:pPr>
            <w:r>
              <w:rPr>
                <w:rFonts w:hint="eastAsia" w:ascii="仿宋" w:hAnsi="仿宋" w:eastAsia="仿宋"/>
                <w:sz w:val="24"/>
              </w:rPr>
              <w:t>干警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1843" w:type="dxa"/>
          </w:tcPr>
          <w:p>
            <w:pPr>
              <w:spacing w:line="560" w:lineRule="exact"/>
              <w:rPr>
                <w:rFonts w:ascii="仿宋" w:hAnsi="仿宋" w:eastAsia="仿宋"/>
                <w:sz w:val="24"/>
              </w:rPr>
            </w:pPr>
            <w:r>
              <w:rPr>
                <w:rFonts w:hint="eastAsia" w:ascii="仿宋" w:hAnsi="仿宋" w:eastAsia="仿宋"/>
                <w:sz w:val="24"/>
              </w:rPr>
              <w:t>办公室</w:t>
            </w:r>
          </w:p>
        </w:tc>
        <w:tc>
          <w:tcPr>
            <w:tcW w:w="1134" w:type="dxa"/>
          </w:tcPr>
          <w:p>
            <w:pPr>
              <w:spacing w:line="560" w:lineRule="exact"/>
              <w:rPr>
                <w:rFonts w:hint="eastAsia" w:ascii="仿宋" w:hAnsi="仿宋" w:eastAsia="仿宋"/>
                <w:sz w:val="24"/>
                <w:lang w:eastAsia="zh-CN"/>
              </w:rPr>
            </w:pPr>
            <w:r>
              <w:rPr>
                <w:rFonts w:hint="eastAsia" w:ascii="仿宋" w:hAnsi="仿宋" w:eastAsia="仿宋"/>
                <w:sz w:val="24"/>
                <w:lang w:val="en-US" w:eastAsia="zh-CN"/>
              </w:rPr>
              <w:t>许莉</w:t>
            </w:r>
          </w:p>
        </w:tc>
        <w:tc>
          <w:tcPr>
            <w:tcW w:w="1843" w:type="dxa"/>
          </w:tcPr>
          <w:p>
            <w:pPr>
              <w:spacing w:line="560" w:lineRule="exact"/>
              <w:rPr>
                <w:rFonts w:ascii="仿宋" w:hAnsi="仿宋" w:eastAsia="仿宋"/>
                <w:sz w:val="24"/>
              </w:rPr>
            </w:pPr>
            <w:r>
              <w:rPr>
                <w:rFonts w:hint="eastAsia" w:ascii="仿宋" w:hAnsi="仿宋" w:eastAsia="仿宋"/>
                <w:sz w:val="24"/>
              </w:rPr>
              <w:t>书记员</w:t>
            </w:r>
          </w:p>
        </w:tc>
      </w:tr>
    </w:tbl>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val="en-US" w:eastAsia="zh-CN"/>
        </w:rPr>
      </w:pPr>
      <w:bookmarkStart w:id="0" w:name="_GoBack"/>
      <w:bookmarkEnd w:id="0"/>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val="en-US" w:eastAsia="zh-CN"/>
        </w:rPr>
      </w:pP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val="en-US" w:eastAsia="zh-CN"/>
        </w:rPr>
      </w:pP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val="en-US" w:eastAsia="zh-CN"/>
        </w:rPr>
      </w:pPr>
    </w:p>
    <w:p>
      <w:pPr>
        <w:keepNext w:val="0"/>
        <w:keepLines w:val="0"/>
        <w:pageBreakBefore w:val="0"/>
        <w:kinsoku/>
        <w:wordWrap/>
        <w:overflowPunct/>
        <w:topLinePunct w:val="0"/>
        <w:autoSpaceDE/>
        <w:autoSpaceDN/>
        <w:bidi w:val="0"/>
        <w:spacing w:line="560" w:lineRule="exact"/>
        <w:ind w:firstLine="640" w:firstLineChars="200"/>
        <w:jc w:val="right"/>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2024年4月16日</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jZjNjRlN2NjNDg0NmE1OTYwNDhkY2UwMzlmMmIwMmU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4E13707"/>
    <w:rsid w:val="07956271"/>
    <w:rsid w:val="09721397"/>
    <w:rsid w:val="0BB63BED"/>
    <w:rsid w:val="0EB97A43"/>
    <w:rsid w:val="0EBD2122"/>
    <w:rsid w:val="0F214EAE"/>
    <w:rsid w:val="11B71E6A"/>
    <w:rsid w:val="1AAF0063"/>
    <w:rsid w:val="1BE140DE"/>
    <w:rsid w:val="248C197D"/>
    <w:rsid w:val="252959AF"/>
    <w:rsid w:val="277A6671"/>
    <w:rsid w:val="28053F3F"/>
    <w:rsid w:val="292D35B7"/>
    <w:rsid w:val="312B7F98"/>
    <w:rsid w:val="32EC4B55"/>
    <w:rsid w:val="33EB6CFF"/>
    <w:rsid w:val="35A12947"/>
    <w:rsid w:val="37387040"/>
    <w:rsid w:val="3B625C0A"/>
    <w:rsid w:val="3CEE1963"/>
    <w:rsid w:val="436B78D3"/>
    <w:rsid w:val="4C9C27FE"/>
    <w:rsid w:val="512260B4"/>
    <w:rsid w:val="52BD6ACB"/>
    <w:rsid w:val="55537534"/>
    <w:rsid w:val="561A74F1"/>
    <w:rsid w:val="597244E8"/>
    <w:rsid w:val="5B1B5E1D"/>
    <w:rsid w:val="5EB71C30"/>
    <w:rsid w:val="66AF0CE5"/>
    <w:rsid w:val="6AC537CF"/>
    <w:rsid w:val="6DF974FA"/>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autoRedefine/>
    <w:semiHidden/>
    <w:qFormat/>
    <w:uiPriority w:val="0"/>
    <w:rPr>
      <w:rFonts w:ascii="微软雅黑" w:hAnsi="微软雅黑" w:eastAsia="微软雅黑" w:cs="微软雅黑"/>
      <w:sz w:val="28"/>
      <w:szCs w:val="28"/>
      <w:lang w:val="en-US" w:eastAsia="en-US" w:bidi="ar-SA"/>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0</TotalTime>
  <ScaleCrop>false</ScaleCrop>
  <LinksUpToDate>false</LinksUpToDate>
  <CharactersWithSpaces>669</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灵魂有香气</cp:lastModifiedBy>
  <cp:lastPrinted>2024-03-06T07:40:00Z</cp:lastPrinted>
  <dcterms:modified xsi:type="dcterms:W3CDTF">2024-05-14T07:11:30Z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96934721B1514D3FBAA28020338CE855_12</vt:lpwstr>
  </property>
</Properties>
</file>