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</w:p>
    <w:p>
      <w:pPr>
        <w:spacing w:line="560" w:lineRule="exact"/>
        <w:jc w:val="center"/>
        <w:rPr>
          <w:rFonts w:hint="default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石家庄市鹿泉区人民检察院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石家庄市鹿泉区人民检察院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、依法向区人民代表大会及其常务委员会提出议案。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、贯彻落实检察工作方针、总体规划，研究制定检察工作计划并组织实施。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、依照法律规定对直接受理的刑事案件行使侦查权。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、负责对管辖的各类刑事案件依法审查批准逮捕、决定逮捕、提起公诉。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、负责应由本院承办的刑事、民事、行政诉讼活动及刑事、民事、行政判决和裁定等生效法律文书执行的法律监督工作。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7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、负责应由本院承办的提起公益诉讼工作。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、依法受理核准追诉案件，审查是否上报。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9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、负责应由本院承办的对看守所、社区矫正等执法活动的法律监督工作。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10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、受理向本院的控告申诉。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11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、组织检察工作中法律政策具体应用问题的研究；组织开展检察理论研究工作。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12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、负责检察人员思想政治教育和业务培训工作；按照权限管理检察官和其他工作人员。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13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、负责本院检务督察工作。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default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14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、负责本院检务保障以及检察技术、信息化建设工作。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default" w:ascii="仿宋_GB2312" w:eastAsia="仿宋_GB2312" w:cs="仿宋_GB2312"/>
          <w:kern w:val="0"/>
          <w:sz w:val="32"/>
          <w:szCs w:val="32"/>
          <w:lang w:val="en-US" w:eastAsia="zh-CN" w:bidi="ar-SA"/>
        </w:rPr>
        <w:t>15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 w:bidi="ar-SA"/>
        </w:rPr>
        <w:t>、</w:t>
      </w:r>
      <w:r>
        <w:rPr>
          <w:rFonts w:hint="eastAsia" w:ascii="仿宋_GB2312" w:hAnsi="Calibri" w:eastAsia="仿宋_GB2312" w:cs="仿宋_GB2312"/>
          <w:kern w:val="0"/>
          <w:sz w:val="32"/>
          <w:szCs w:val="32"/>
          <w:lang w:val="en-US" w:eastAsia="zh-CN" w:bidi="ar-SA"/>
        </w:rPr>
        <w:t>完成其他应当由本院负责的工作。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楷体" w:hAnsi="楷体" w:eastAsia="楷体" w:cs="楷体_GB2312"/>
          <w:bCs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2023</w:t>
      </w:r>
      <w:r>
        <w:rPr>
          <w:rFonts w:hint="eastAsia" w:ascii="仿宋_GB2312" w:eastAsia="仿宋_GB2312"/>
          <w:color w:val="auto"/>
          <w:sz w:val="32"/>
          <w:szCs w:val="32"/>
        </w:rPr>
        <w:t>年财政批复部门收支预算为</w:t>
      </w:r>
      <w:r>
        <w:rPr>
          <w:rFonts w:hint="default" w:ascii="仿宋_GB2312" w:hAnsi="Times New Roman" w:eastAsia="仿宋_GB2312" w:cs="仿宋_GB2312"/>
          <w:color w:val="auto"/>
          <w:sz w:val="32"/>
          <w:szCs w:val="32"/>
          <w:lang w:val="en-US" w:eastAsia="zh-CN"/>
        </w:rPr>
        <w:t>1851.91</w:t>
      </w:r>
      <w:r>
        <w:rPr>
          <w:rFonts w:hint="eastAsia" w:ascii="仿宋_GB2312" w:eastAsia="仿宋_GB2312"/>
          <w:color w:val="auto"/>
          <w:sz w:val="32"/>
          <w:szCs w:val="32"/>
        </w:rPr>
        <w:t>万元。其中：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其中：基本支出</w:t>
      </w:r>
      <w:r>
        <w:rPr>
          <w:rFonts w:hint="default" w:ascii="仿宋" w:hAnsi="仿宋" w:eastAsia="仿宋"/>
          <w:color w:val="auto"/>
          <w:kern w:val="0"/>
          <w:sz w:val="32"/>
          <w:szCs w:val="32"/>
          <w:lang w:val="en-US" w:eastAsia="zh-CN"/>
        </w:rPr>
        <w:t>1228.72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万元，占</w:t>
      </w:r>
      <w:r>
        <w:rPr>
          <w:rFonts w:hint="default" w:ascii="仿宋" w:hAnsi="仿宋" w:eastAsia="仿宋"/>
          <w:color w:val="auto"/>
          <w:kern w:val="0"/>
          <w:sz w:val="32"/>
          <w:szCs w:val="32"/>
          <w:lang w:val="en-US" w:eastAsia="zh-CN"/>
        </w:rPr>
        <w:t>66.35</w:t>
      </w:r>
      <w:r>
        <w:rPr>
          <w:rFonts w:hint="eastAsia" w:ascii="仿宋" w:hAnsi="仿宋" w:eastAsia="仿宋"/>
          <w:color w:val="auto"/>
          <w:kern w:val="0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；项目支出</w:t>
      </w:r>
      <w:r>
        <w:rPr>
          <w:rFonts w:hint="default" w:ascii="仿宋" w:hAnsi="仿宋" w:eastAsia="仿宋"/>
          <w:color w:val="auto"/>
          <w:kern w:val="0"/>
          <w:sz w:val="32"/>
          <w:szCs w:val="32"/>
          <w:lang w:val="en-US" w:eastAsia="zh-CN"/>
        </w:rPr>
        <w:t>623.19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万元，占</w:t>
      </w:r>
      <w:r>
        <w:rPr>
          <w:rFonts w:hint="default" w:ascii="仿宋" w:hAnsi="仿宋" w:eastAsia="仿宋"/>
          <w:color w:val="auto"/>
          <w:kern w:val="0"/>
          <w:sz w:val="32"/>
          <w:szCs w:val="32"/>
          <w:lang w:val="en-US" w:eastAsia="zh-CN"/>
        </w:rPr>
        <w:t>33.65</w:t>
      </w:r>
      <w:r>
        <w:rPr>
          <w:rFonts w:hint="eastAsia" w:ascii="仿宋" w:hAnsi="仿宋" w:eastAsia="仿宋"/>
          <w:color w:val="auto"/>
          <w:kern w:val="0"/>
          <w:sz w:val="32"/>
          <w:szCs w:val="32"/>
        </w:rPr>
        <w:t>%</w:t>
      </w:r>
      <w:r>
        <w:rPr>
          <w:rFonts w:hint="eastAsia" w:ascii="仿宋_GB2312" w:eastAsia="仿宋_GB2312"/>
          <w:color w:val="auto"/>
          <w:sz w:val="32"/>
          <w:szCs w:val="32"/>
        </w:rPr>
        <w:t>基本支出中：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人员经费</w:t>
      </w:r>
      <w:r>
        <w:rPr>
          <w:rFonts w:ascii="仿宋_GB2312" w:hAnsi="Times New Roman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" w:hAnsi="仿宋" w:eastAsia="仿宋"/>
          <w:color w:val="auto"/>
          <w:kern w:val="0"/>
          <w:sz w:val="32"/>
          <w:szCs w:val="32"/>
          <w:lang w:val="en-US" w:eastAsia="zh-CN"/>
        </w:rPr>
        <w:t>1099.98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万元，主要包括基本工资、津贴补贴、奖金、机关事业单位基本养老保险缴费、职业年金缴费、职工基本医疗保险缴费、住房公积金、其他社会保障缴费、退休费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公用经费</w:t>
      </w:r>
      <w:r>
        <w:rPr>
          <w:rFonts w:hint="default" w:ascii="仿宋" w:hAnsi="仿宋" w:eastAsia="仿宋"/>
          <w:color w:val="auto"/>
          <w:kern w:val="0"/>
          <w:sz w:val="32"/>
          <w:szCs w:val="32"/>
          <w:lang w:val="en-US" w:eastAsia="zh-CN"/>
        </w:rPr>
        <w:t>128.74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万元，主要包括办公费、邮电费、委托业务费、工会经费、福利费、公务用车运行维护费、其他交通费用、其他商品和服务支出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一是进一步服务好经济社会发展。充分发挥检察职能作用，将检察工作和服务鹿泉工作大局相结合，主动担责、认真履责、扎实尽责，凝聚社会共识与合力，为鹿泉经济高质量发展贡献检察智慧和检察力量。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二是积极参与扫黑除恶专项斗争。充分发挥批捕、起诉作用，进一步完善涉嫌职务犯罪案件线索发现、移送机制，深挖彻查、坚决打击黑恶势力的“关系网”和“保护伞”。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三是全力维护社会和谐稳定。坚决依法打击严重暴力犯罪、多发性侵财犯罪和利用网络实施的犯罪，积极推进刑事和解、量刑建议等改革，健全检察环节社会矛盾排查化解、执法办案风险评估等机制，健全涉检信访工作长效机制，配合有关部门加强社区矫正人员帮教管理，积极参与社区矫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根据</w:t>
      </w:r>
      <w:r>
        <w:rPr>
          <w:rFonts w:hint="eastAsia" w:ascii="仿宋" w:hAnsi="仿宋" w:eastAsia="仿宋"/>
          <w:sz w:val="32"/>
          <w:szCs w:val="32"/>
        </w:rPr>
        <w:t>市委市政府《关于全面落实预算绩效管理的实施意见》（石发﹝2019﹞8号）文件精神，遵循“科学性、规范性、客观性和公正性”的原则，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我院成立了以主管检察长、副检察长、办公室、财务人员组成的预算项目绩效运行监控小组，</w:t>
      </w:r>
      <w:r>
        <w:rPr>
          <w:rFonts w:hint="eastAsia" w:ascii="仿宋_GB2312" w:eastAsia="仿宋_GB2312"/>
          <w:sz w:val="32"/>
          <w:szCs w:val="32"/>
        </w:rPr>
        <w:t>对自评工作进行研究和部署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定期对绩效监控情况进行收集、汇总、整理、分析。在绩效监控过程中，对于项目进行较慢、出现绩效目标偏差、发现存在问题的及时进行整改，调整绩效目标，扎实推进绩效监控工作有序开展，提高财政资金使用效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充分发挥检察职能作用，积极参与扫黑除恶专项斗争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充分发挥批捕、起诉作用，进一步完善涉嫌职务犯罪案件线索发现、移送机制，深挖彻查、坚决打击黑恶势力的“关系网”和“保护伞”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积极推进刑事和解、量刑建议等改革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、检察监督</w:t>
      </w:r>
    </w:p>
    <w:p>
      <w:pPr>
        <w:pStyle w:val="6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绩效目标：对管辖的各类刑事案件依法审查批准逮捕、决定逮捕、提起公诉；对承办的刑事、民事、行政诉讼案件及刑事、民事、行政判决和裁定等生效法律文书进行法律监督工作；批捕与公诉案件受理后在法定实限内办结案件。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绩效指标：对各项执法业务工作保障率为100%；及时保障各项执法业务的办公需要，维持单位正常运转。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、检察事务管理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绩效目标：将办公楼占地补偿费拨付到贺庄、三街村委会；完成安档案数字化扫描工作；完成公开听证室建设工作；按时完成书记员工资发放及社保缴费工作；按时完成劳务派遣工资发放及社保缴费工作；。</w:t>
      </w:r>
    </w:p>
    <w:p>
      <w:pPr>
        <w:pStyle w:val="7"/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绩效指标：占地补偿费实际拨付比例不低于90%，按签订的承诺书进行拨款；按照有关文件要求完成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间公开听证室建设，并购置相应专用设备；每月按时发放书记员与劳务派遣工资，按时缴纳社会保险；完成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2018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年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-2022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年业务档案数字化扫描工作。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、控告和刑事申诉检察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绩效目标：根据《赔偿决定书》依法办理达到国家赔偿条件的国家赔偿案件，对申请人进行经济赔偿，及时足额发放到案件请求人，保障国家赔偿案件的请求人依法获得国家赔偿权利。</w:t>
      </w:r>
    </w:p>
    <w:p>
      <w:pPr>
        <w:pStyle w:val="7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-SA"/>
        </w:rPr>
        <w:t>绩效指标：享受国家赔偿案件申请人数占达到赔偿标准申请人总数的100%；应当赔偿的案件结案后足额发放赔偿金数量；赔偿费按时发放到案件请求人。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根据项目执行情况和项目绩效情况，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办公楼占地补偿项目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综合绩效评分为96分，优秀。2、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档案数字化扫描项目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综合绩效评分为100分，优秀。3、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公开听证室建设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综合绩效评分为100分，优秀。4、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书记员经费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综合绩效评分为100分，优秀。5、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劳务派遣经费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综合绩效评分为100分，优秀。6、执法业务经费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</w:t>
      </w:r>
      <w:r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分，优秀。7、大要案准备资金补助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综合绩效评分为100分，优秀。8、2023年扫黑除恶资金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为涉密项目。9、2023年司法救助资金项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为涉密项目。10、国家赔偿经费项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综合绩效评分为0分，较差。原因为2023年我院未办理国家赔偿案件。11、政法机关2023年中央政法纪检监察转移支付资金（装备费）项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为涉密项目。12、政法机关2023年中央政法纪检监察转移支付资金（办案业务费）项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为涉密项目。13、提前下达2023年中央政法纪检监察转移支付资金（装备费）项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为涉密项目。14、提前下达2023年中央政法纪检监察转移支付资金（业务费）项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为涉密项目。15、提前下达2023年省级基层公检法司转移支付资金（装备费）项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为涉密项目。16、提前下达2023年省级基层公检法司转移支付资金（业务费）项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目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为涉密项目。17、专项项目综合绩效评分为0分，较差。原因为2023年我院未发生专项项目经费支出。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  <w:lang w:val="en-US" w:eastAsia="zh-CN"/>
        </w:rPr>
        <w:t>通过整体支出绩效自评发现存在的主要问题有制度不够完善，支出进度较慢。</w:t>
      </w:r>
    </w:p>
    <w:p>
      <w:pPr>
        <w:numPr>
          <w:ilvl w:val="0"/>
          <w:numId w:val="2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、完善制度建设。将事前评估、目标管理、运行监控、绩效评价、结果应用等各项改革措施，有效融入预算管理的全过程。建立统筹协调、分工协作、密切配合、合力推进的工作机制，围绕年度总体绩效目标和分项绩效目标，明确责任主体，实施进度要求，确保如期完成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2、加强支出管理。强化财政预算执行刚性，编细编实预算，对预算的事前、事中、事后进行全过程控制，进一步提高财政资金使用效益。加强支出结构优化，通过加快履行政府采购手续、尽快启动项目、及时支付资金、细化代编预算等多种举措，确保按照时间节点完成支出任务。</w:t>
      </w:r>
    </w:p>
    <w:p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3、加强绩效运行监控。按要求开展绩效运行监控，依据确定的绩效目标，采取项目跟踪、数据核查和汇总分析等方式，动态了解和掌握项目绩效目标实现程度、资金支出进度和项目实施进度，对评价中发现的问题及时整改，确保绩效目标按期保质完成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组长：王玉录</w:t>
      </w:r>
      <w:r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检察长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副组长：赵辰红</w:t>
      </w:r>
      <w:r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副检察长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组员：</w:t>
      </w:r>
      <w:r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陈建东</w:t>
      </w:r>
      <w:r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办公室主任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曹泽</w:t>
      </w:r>
      <w:r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会计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hmNjAzMWJlZjFkMmQwODUwMTJkYzE2ODFiYmFmYT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1D628BE"/>
    <w:rsid w:val="02106AB0"/>
    <w:rsid w:val="02A66010"/>
    <w:rsid w:val="02B43A28"/>
    <w:rsid w:val="046F331E"/>
    <w:rsid w:val="04714A49"/>
    <w:rsid w:val="05377B18"/>
    <w:rsid w:val="06E93094"/>
    <w:rsid w:val="07956271"/>
    <w:rsid w:val="08CD1D67"/>
    <w:rsid w:val="09721397"/>
    <w:rsid w:val="0ADA2C6B"/>
    <w:rsid w:val="0B7218AA"/>
    <w:rsid w:val="0BB63BED"/>
    <w:rsid w:val="0D215336"/>
    <w:rsid w:val="0EB97A43"/>
    <w:rsid w:val="0EBD2122"/>
    <w:rsid w:val="0F214EAE"/>
    <w:rsid w:val="11B71E6A"/>
    <w:rsid w:val="12A04F4F"/>
    <w:rsid w:val="136C3083"/>
    <w:rsid w:val="156C2EC6"/>
    <w:rsid w:val="16DE1BA1"/>
    <w:rsid w:val="19C05ED6"/>
    <w:rsid w:val="1AAF0063"/>
    <w:rsid w:val="1BE140DE"/>
    <w:rsid w:val="1C073948"/>
    <w:rsid w:val="1C3A1F70"/>
    <w:rsid w:val="1CFC5477"/>
    <w:rsid w:val="1DF12B02"/>
    <w:rsid w:val="1E081BFA"/>
    <w:rsid w:val="1E0C1A86"/>
    <w:rsid w:val="1FB37559"/>
    <w:rsid w:val="204F1D62"/>
    <w:rsid w:val="219C2D85"/>
    <w:rsid w:val="21B26104"/>
    <w:rsid w:val="248C197D"/>
    <w:rsid w:val="252959AF"/>
    <w:rsid w:val="26435EC5"/>
    <w:rsid w:val="26E74AA2"/>
    <w:rsid w:val="277A6671"/>
    <w:rsid w:val="292D35B7"/>
    <w:rsid w:val="2EFF202A"/>
    <w:rsid w:val="2FE57FED"/>
    <w:rsid w:val="30C85944"/>
    <w:rsid w:val="31D9592F"/>
    <w:rsid w:val="33E800AC"/>
    <w:rsid w:val="33EB6CFF"/>
    <w:rsid w:val="34E632AE"/>
    <w:rsid w:val="35A12947"/>
    <w:rsid w:val="37387040"/>
    <w:rsid w:val="375241BA"/>
    <w:rsid w:val="37B31582"/>
    <w:rsid w:val="39BF18AF"/>
    <w:rsid w:val="3B625C0A"/>
    <w:rsid w:val="3C065C14"/>
    <w:rsid w:val="3C616649"/>
    <w:rsid w:val="3C9C5ED7"/>
    <w:rsid w:val="3CCF6C16"/>
    <w:rsid w:val="3CEE1963"/>
    <w:rsid w:val="3D037D04"/>
    <w:rsid w:val="3D2A34E3"/>
    <w:rsid w:val="3E067AAC"/>
    <w:rsid w:val="3E171CB9"/>
    <w:rsid w:val="3F147E8F"/>
    <w:rsid w:val="3F2F3033"/>
    <w:rsid w:val="3F33424C"/>
    <w:rsid w:val="41764F49"/>
    <w:rsid w:val="423D5A66"/>
    <w:rsid w:val="435E5C94"/>
    <w:rsid w:val="436B78D3"/>
    <w:rsid w:val="43AF4742"/>
    <w:rsid w:val="48027B6D"/>
    <w:rsid w:val="49563D32"/>
    <w:rsid w:val="4B0435C5"/>
    <w:rsid w:val="4B920BD1"/>
    <w:rsid w:val="4C9C27FE"/>
    <w:rsid w:val="4DB36B9F"/>
    <w:rsid w:val="4DB90697"/>
    <w:rsid w:val="4E6C395B"/>
    <w:rsid w:val="4EA7748B"/>
    <w:rsid w:val="4EE02F15"/>
    <w:rsid w:val="512260B4"/>
    <w:rsid w:val="52BD6ACB"/>
    <w:rsid w:val="536A5F90"/>
    <w:rsid w:val="55537534"/>
    <w:rsid w:val="561A74F1"/>
    <w:rsid w:val="597244E8"/>
    <w:rsid w:val="5C712EAE"/>
    <w:rsid w:val="5CF74D38"/>
    <w:rsid w:val="5D9C58DF"/>
    <w:rsid w:val="5DCB3B94"/>
    <w:rsid w:val="5E767EDE"/>
    <w:rsid w:val="5EB71C30"/>
    <w:rsid w:val="60B13450"/>
    <w:rsid w:val="624A3B5C"/>
    <w:rsid w:val="6315416A"/>
    <w:rsid w:val="633F11E7"/>
    <w:rsid w:val="64915A72"/>
    <w:rsid w:val="6502071E"/>
    <w:rsid w:val="66AF0CE5"/>
    <w:rsid w:val="6AC537CF"/>
    <w:rsid w:val="6D8141AA"/>
    <w:rsid w:val="6DF44478"/>
    <w:rsid w:val="6E5B14A6"/>
    <w:rsid w:val="6E667102"/>
    <w:rsid w:val="701B6B38"/>
    <w:rsid w:val="705A7D5E"/>
    <w:rsid w:val="70C25205"/>
    <w:rsid w:val="711B255E"/>
    <w:rsid w:val="7185070D"/>
    <w:rsid w:val="71862786"/>
    <w:rsid w:val="72A66B8C"/>
    <w:rsid w:val="72CF3F4C"/>
    <w:rsid w:val="72DF5BFA"/>
    <w:rsid w:val="75C06485"/>
    <w:rsid w:val="75F63191"/>
    <w:rsid w:val="783855F6"/>
    <w:rsid w:val="7B5447D1"/>
    <w:rsid w:val="7BB51E06"/>
    <w:rsid w:val="7C2F7BF3"/>
    <w:rsid w:val="7C387F7C"/>
    <w:rsid w:val="7C7E46D6"/>
    <w:rsid w:val="7D9D76F5"/>
    <w:rsid w:val="7E0D1B22"/>
    <w:rsid w:val="7EB97C47"/>
    <w:rsid w:val="7FA70901"/>
    <w:rsid w:val="7FE83423"/>
    <w:rsid w:val="7FEE1B7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0</TotalTime>
  <ScaleCrop>false</ScaleCrop>
  <LinksUpToDate>false</LinksUpToDate>
  <CharactersWithSpaces>669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</cp:lastModifiedBy>
  <cp:lastPrinted>2024-03-06T07:40:00Z</cp:lastPrinted>
  <dcterms:modified xsi:type="dcterms:W3CDTF">2024-05-14T08:02:43Z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96934721B1514D3FBAA28020338CE855_12</vt:lpwstr>
  </property>
</Properties>
</file>