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石家庄市裕华区人民法院</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石家庄市裕华区人民法院</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一、部门基本情况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部门职能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深入贯彻习近平新时代中国特色社会主义思想，深入贯彻党的路线方针政策和决策部署，坚持党对法院工作的绝对领导，坚决维护习近平总书记的核心地位，坚决维护党中央权威和集中统一领导。</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依法审判法律规定由裕华区人民法院管辖的刑事、民事、行政等第一审案件。</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w:t>
      </w:r>
      <w:r>
        <w:rPr>
          <w:rFonts w:hint="eastAsia" w:ascii="仿宋" w:hAnsi="仿宋" w:eastAsia="仿宋"/>
          <w:sz w:val="32"/>
          <w:szCs w:val="32"/>
        </w:rPr>
        <w:t>依法审判上级人民法院指定、同级人民法院移送的刑事、民事、行政等第一审案件。</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w:t>
      </w:r>
      <w:r>
        <w:rPr>
          <w:rFonts w:hint="eastAsia" w:ascii="仿宋" w:hAnsi="仿宋" w:eastAsia="仿宋"/>
          <w:sz w:val="32"/>
          <w:szCs w:val="32"/>
        </w:rPr>
        <w:t>审查和受理各类申诉案件，审判各类再审案件，处理来信来访。</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5</w:t>
      </w:r>
      <w:r>
        <w:rPr>
          <w:rFonts w:hint="eastAsia" w:ascii="仿宋" w:hAnsi="仿宋" w:eastAsia="仿宋"/>
          <w:sz w:val="32"/>
          <w:szCs w:val="32"/>
          <w:lang w:eastAsia="zh-CN"/>
        </w:rPr>
        <w:t>）</w:t>
      </w:r>
      <w:r>
        <w:rPr>
          <w:rFonts w:hint="eastAsia" w:ascii="仿宋" w:hAnsi="仿宋" w:eastAsia="仿宋"/>
          <w:sz w:val="32"/>
          <w:szCs w:val="32"/>
        </w:rPr>
        <w:t>依法办理发生法律效力的民事、行政案件判决和裁定执行事项及刑事案件判决和裁定中关于财产部分的执行事项；办理法律规定由基层人民法院执行的其他法律文书的执行事项。</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6</w:t>
      </w:r>
      <w:r>
        <w:rPr>
          <w:rFonts w:hint="eastAsia" w:ascii="仿宋" w:hAnsi="仿宋" w:eastAsia="仿宋"/>
          <w:sz w:val="32"/>
          <w:szCs w:val="32"/>
          <w:lang w:eastAsia="zh-CN"/>
        </w:rPr>
        <w:t>）</w:t>
      </w:r>
      <w:r>
        <w:rPr>
          <w:rFonts w:hint="eastAsia" w:ascii="仿宋" w:hAnsi="仿宋" w:eastAsia="仿宋"/>
          <w:sz w:val="32"/>
          <w:szCs w:val="32"/>
        </w:rPr>
        <w:t>负责审判工作的调查研究，总结审判工作经验</w:t>
      </w:r>
      <w:r>
        <w:rPr>
          <w:rFonts w:hint="eastAsia" w:ascii="仿宋" w:hAnsi="仿宋" w:eastAsia="仿宋"/>
          <w:sz w:val="32"/>
          <w:szCs w:val="32"/>
          <w:lang w:eastAsia="zh-CN"/>
        </w:rPr>
        <w:t>。</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7</w:t>
      </w:r>
      <w:r>
        <w:rPr>
          <w:rFonts w:hint="eastAsia" w:ascii="仿宋" w:hAnsi="仿宋" w:eastAsia="仿宋"/>
          <w:sz w:val="32"/>
          <w:szCs w:val="32"/>
          <w:lang w:eastAsia="zh-CN"/>
        </w:rPr>
        <w:t>）</w:t>
      </w:r>
      <w:r>
        <w:rPr>
          <w:rFonts w:hint="eastAsia" w:ascii="仿宋" w:hAnsi="仿宋" w:eastAsia="仿宋"/>
          <w:sz w:val="32"/>
          <w:szCs w:val="32"/>
        </w:rPr>
        <w:t>负责干警思想政治教育和业务培训工作；按照权限管理法官和其他工作人员</w:t>
      </w:r>
      <w:r>
        <w:rPr>
          <w:rFonts w:hint="eastAsia" w:ascii="仿宋" w:hAnsi="仿宋" w:eastAsia="仿宋"/>
          <w:sz w:val="32"/>
          <w:szCs w:val="32"/>
          <w:lang w:eastAsia="zh-CN"/>
        </w:rPr>
        <w:t>。</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8</w:t>
      </w:r>
      <w:r>
        <w:rPr>
          <w:rFonts w:hint="eastAsia" w:ascii="仿宋" w:hAnsi="仿宋" w:eastAsia="仿宋"/>
          <w:sz w:val="32"/>
          <w:szCs w:val="32"/>
          <w:lang w:eastAsia="zh-CN"/>
        </w:rPr>
        <w:t>）</w:t>
      </w:r>
      <w:r>
        <w:rPr>
          <w:rFonts w:hint="eastAsia" w:ascii="仿宋" w:hAnsi="仿宋" w:eastAsia="仿宋"/>
          <w:sz w:val="32"/>
          <w:szCs w:val="32"/>
        </w:rPr>
        <w:t>管理有关经费及物资装备</w:t>
      </w:r>
      <w:r>
        <w:rPr>
          <w:rFonts w:hint="eastAsia" w:ascii="仿宋" w:hAnsi="仿宋" w:eastAsia="仿宋"/>
          <w:sz w:val="32"/>
          <w:szCs w:val="32"/>
          <w:lang w:eastAsia="zh-CN"/>
        </w:rPr>
        <w:t>。</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9</w:t>
      </w:r>
      <w:r>
        <w:rPr>
          <w:rFonts w:hint="eastAsia" w:ascii="仿宋" w:hAnsi="仿宋" w:eastAsia="仿宋"/>
          <w:sz w:val="32"/>
          <w:szCs w:val="32"/>
          <w:lang w:eastAsia="zh-CN"/>
        </w:rPr>
        <w:t>）</w:t>
      </w:r>
      <w:r>
        <w:rPr>
          <w:rFonts w:hint="eastAsia" w:ascii="仿宋" w:hAnsi="仿宋" w:eastAsia="仿宋"/>
          <w:sz w:val="32"/>
          <w:szCs w:val="32"/>
        </w:rPr>
        <w:t>负责司法技术鉴定、通讯、计算机等技术管理工作</w:t>
      </w:r>
      <w:r>
        <w:rPr>
          <w:rFonts w:hint="eastAsia" w:ascii="仿宋" w:hAnsi="仿宋" w:eastAsia="仿宋"/>
          <w:sz w:val="32"/>
          <w:szCs w:val="32"/>
          <w:lang w:eastAsia="zh-CN"/>
        </w:rPr>
        <w:t>。</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10</w:t>
      </w:r>
      <w:r>
        <w:rPr>
          <w:rFonts w:hint="eastAsia" w:ascii="仿宋" w:hAnsi="仿宋" w:eastAsia="仿宋"/>
          <w:sz w:val="32"/>
          <w:szCs w:val="32"/>
          <w:lang w:eastAsia="zh-CN"/>
        </w:rPr>
        <w:t>）</w:t>
      </w:r>
      <w:r>
        <w:rPr>
          <w:rFonts w:hint="eastAsia" w:ascii="仿宋" w:hAnsi="仿宋" w:eastAsia="仿宋"/>
          <w:sz w:val="32"/>
          <w:szCs w:val="32"/>
        </w:rPr>
        <w:t>负责审判工作中的法制宣传，教育公民忠于祖国，自觉遵守宪法、法律和社会公德。</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11</w:t>
      </w:r>
      <w:r>
        <w:rPr>
          <w:rFonts w:hint="eastAsia" w:ascii="仿宋" w:hAnsi="仿宋" w:eastAsia="仿宋"/>
          <w:sz w:val="32"/>
          <w:szCs w:val="32"/>
          <w:lang w:eastAsia="zh-CN"/>
        </w:rPr>
        <w:t>）</w:t>
      </w:r>
      <w:r>
        <w:rPr>
          <w:rFonts w:hint="eastAsia" w:ascii="仿宋" w:hAnsi="仿宋" w:eastAsia="仿宋"/>
          <w:sz w:val="32"/>
          <w:szCs w:val="32"/>
        </w:rPr>
        <w:t>完成其他由裕华区人民法院负责的工作。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w:t>
      </w:r>
      <w:r>
        <w:rPr>
          <w:rFonts w:hint="eastAsia" w:ascii="仿宋" w:hAnsi="仿宋" w:eastAsia="仿宋"/>
          <w:sz w:val="32"/>
          <w:szCs w:val="32"/>
        </w:rPr>
        <w:t>组织机构及人员</w:t>
      </w:r>
      <w:r>
        <w:rPr>
          <w:rFonts w:hint="eastAsia" w:ascii="仿宋" w:hAnsi="仿宋" w:eastAsia="仿宋"/>
          <w:sz w:val="32"/>
          <w:szCs w:val="32"/>
          <w:lang w:val="en-US" w:eastAsia="zh-CN"/>
        </w:rPr>
        <w:t>情况</w:t>
      </w:r>
    </w:p>
    <w:p>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石家庄市裕华区人民法院纳入2023年度本部门预算汇编范围的独立核算单位共1个，经费形式为市级财政拨款。石家庄市裕华区人民法院编制81人，实有在职人员75人，退休人员43人，聘用制书记员32人。我院现有庭室11个，员额法官34人。</w:t>
      </w:r>
    </w:p>
    <w:p>
      <w:pPr>
        <w:numPr>
          <w:ilvl w:val="0"/>
          <w:numId w:val="1"/>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资产情况</w:t>
      </w:r>
    </w:p>
    <w:tbl>
      <w:tblPr>
        <w:tblStyle w:val="4"/>
        <w:tblW w:w="89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46"/>
        <w:gridCol w:w="2489"/>
        <w:gridCol w:w="31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5" w:hRule="exact"/>
          <w:tblHeader/>
          <w:jc w:val="center"/>
        </w:trPr>
        <w:tc>
          <w:tcPr>
            <w:tcW w:w="3346" w:type="dxa"/>
            <w:vAlign w:val="center"/>
          </w:tcPr>
          <w:p>
            <w:pPr>
              <w:pStyle w:val="10"/>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项   目</w:t>
            </w:r>
          </w:p>
        </w:tc>
        <w:tc>
          <w:tcPr>
            <w:tcW w:w="2489" w:type="dxa"/>
            <w:vAlign w:val="center"/>
          </w:tcPr>
          <w:p>
            <w:pPr>
              <w:pStyle w:val="10"/>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数量</w:t>
            </w:r>
          </w:p>
        </w:tc>
        <w:tc>
          <w:tcPr>
            <w:tcW w:w="3123" w:type="dxa"/>
            <w:vAlign w:val="center"/>
          </w:tcPr>
          <w:p>
            <w:pPr>
              <w:pStyle w:val="10"/>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exact"/>
          <w:jc w:val="center"/>
        </w:trPr>
        <w:tc>
          <w:tcPr>
            <w:tcW w:w="3346" w:type="dxa"/>
            <w:vAlign w:val="center"/>
          </w:tcPr>
          <w:p>
            <w:pPr>
              <w:pStyle w:val="11"/>
              <w:ind w:firstLine="0" w:firstLineChars="0"/>
              <w:outlineLvl w:val="9"/>
              <w:rPr>
                <w:rFonts w:hint="eastAsia" w:ascii="仿宋" w:hAnsi="仿宋" w:eastAsia="仿宋" w:cs="黑体"/>
                <w:b w:val="0"/>
                <w:kern w:val="2"/>
                <w:sz w:val="24"/>
                <w:szCs w:val="24"/>
                <w:lang w:val="en-US" w:eastAsia="uk-UA" w:bidi="ar-SA"/>
              </w:rPr>
            </w:pPr>
            <w:r>
              <w:rPr>
                <w:rFonts w:hint="eastAsia" w:ascii="仿宋" w:hAnsi="仿宋" w:eastAsia="仿宋" w:cs="黑体"/>
                <w:b w:val="0"/>
                <w:kern w:val="2"/>
                <w:sz w:val="24"/>
                <w:szCs w:val="24"/>
                <w:lang w:val="en-US" w:eastAsia="zh-CN" w:bidi="ar-SA"/>
              </w:rPr>
              <w:t>资产总额</w:t>
            </w:r>
          </w:p>
        </w:tc>
        <w:tc>
          <w:tcPr>
            <w:tcW w:w="2489" w:type="dxa"/>
            <w:vAlign w:val="center"/>
          </w:tcPr>
          <w:p>
            <w:pPr>
              <w:pStyle w:val="11"/>
              <w:ind w:firstLine="0" w:firstLineChars="0"/>
              <w:outlineLvl w:val="9"/>
              <w:rPr>
                <w:rFonts w:hint="eastAsia" w:ascii="仿宋" w:hAnsi="仿宋" w:eastAsia="仿宋" w:cs="黑体"/>
                <w:b w:val="0"/>
                <w:kern w:val="2"/>
                <w:sz w:val="24"/>
                <w:szCs w:val="24"/>
                <w:lang w:val="en-US" w:eastAsia="uk-UA" w:bidi="ar-SA"/>
              </w:rPr>
            </w:pPr>
          </w:p>
        </w:tc>
        <w:tc>
          <w:tcPr>
            <w:tcW w:w="3123" w:type="dxa"/>
            <w:vAlign w:val="center"/>
          </w:tcPr>
          <w:p>
            <w:pPr>
              <w:pStyle w:val="11"/>
              <w:ind w:firstLine="0" w:firstLineChars="0"/>
              <w:outlineLvl w:val="9"/>
              <w:rPr>
                <w:rFonts w:hint="default"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2663.87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exact"/>
          <w:jc w:val="center"/>
        </w:trPr>
        <w:tc>
          <w:tcPr>
            <w:tcW w:w="3346" w:type="dxa"/>
            <w:vAlign w:val="center"/>
          </w:tcPr>
          <w:p>
            <w:pPr>
              <w:pStyle w:val="11"/>
              <w:ind w:firstLine="0" w:firstLineChars="0"/>
              <w:jc w:val="left"/>
              <w:outlineLvl w:val="9"/>
              <w:rPr>
                <w:rFonts w:hint="eastAsia" w:ascii="仿宋" w:hAnsi="仿宋" w:eastAsia="仿宋" w:cs="黑体"/>
                <w:b w:val="0"/>
                <w:kern w:val="2"/>
                <w:sz w:val="24"/>
                <w:szCs w:val="24"/>
                <w:lang w:val="en-US" w:eastAsia="uk-UA" w:bidi="ar-SA"/>
              </w:rPr>
            </w:pPr>
            <w:r>
              <w:rPr>
                <w:rFonts w:hint="eastAsia" w:ascii="仿宋" w:hAnsi="仿宋" w:eastAsia="仿宋" w:cs="黑体"/>
                <w:b w:val="0"/>
                <w:kern w:val="2"/>
                <w:sz w:val="24"/>
                <w:szCs w:val="24"/>
                <w:lang w:val="en-US" w:eastAsia="zh-CN" w:bidi="ar-SA"/>
              </w:rPr>
              <w:t>1、房屋（平方米）</w:t>
            </w:r>
          </w:p>
        </w:tc>
        <w:tc>
          <w:tcPr>
            <w:tcW w:w="2489" w:type="dxa"/>
            <w:vAlign w:val="center"/>
          </w:tcPr>
          <w:p>
            <w:pPr>
              <w:pStyle w:val="11"/>
              <w:ind w:firstLine="0" w:firstLineChars="0"/>
              <w:outlineLvl w:val="9"/>
              <w:rPr>
                <w:rFonts w:hint="default"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2327</w:t>
            </w:r>
          </w:p>
        </w:tc>
        <w:tc>
          <w:tcPr>
            <w:tcW w:w="3123" w:type="dxa"/>
            <w:vAlign w:val="center"/>
          </w:tcPr>
          <w:p>
            <w:pPr>
              <w:pStyle w:val="11"/>
              <w:ind w:firstLine="0" w:firstLineChars="0"/>
              <w:outlineLvl w:val="9"/>
              <w:rPr>
                <w:rFonts w:hint="default"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140.20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exact"/>
          <w:jc w:val="center"/>
        </w:trPr>
        <w:tc>
          <w:tcPr>
            <w:tcW w:w="3346" w:type="dxa"/>
            <w:vAlign w:val="center"/>
          </w:tcPr>
          <w:p>
            <w:pPr>
              <w:pStyle w:val="11"/>
              <w:ind w:firstLine="480" w:firstLineChars="200"/>
              <w:jc w:val="both"/>
              <w:outlineLvl w:val="9"/>
              <w:rPr>
                <w:rFonts w:hint="eastAsia" w:ascii="仿宋" w:hAnsi="仿宋" w:eastAsia="仿宋" w:cs="黑体"/>
                <w:b w:val="0"/>
                <w:kern w:val="2"/>
                <w:sz w:val="24"/>
                <w:szCs w:val="24"/>
                <w:lang w:val="en-US" w:eastAsia="uk-UA" w:bidi="ar-SA"/>
              </w:rPr>
            </w:pPr>
            <w:r>
              <w:rPr>
                <w:rFonts w:hint="eastAsia" w:ascii="仿宋" w:hAnsi="仿宋" w:eastAsia="仿宋" w:cs="黑体"/>
                <w:b w:val="0"/>
                <w:kern w:val="2"/>
                <w:sz w:val="24"/>
                <w:szCs w:val="24"/>
                <w:lang w:val="en-US" w:eastAsia="zh-CN" w:bidi="ar-SA"/>
              </w:rPr>
              <w:t>其中：办公用房（平方米）</w:t>
            </w:r>
          </w:p>
        </w:tc>
        <w:tc>
          <w:tcPr>
            <w:tcW w:w="2489" w:type="dxa"/>
            <w:vAlign w:val="center"/>
          </w:tcPr>
          <w:p>
            <w:pPr>
              <w:pStyle w:val="11"/>
              <w:ind w:firstLine="0" w:firstLineChars="0"/>
              <w:outlineLvl w:val="9"/>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1335</w:t>
            </w:r>
          </w:p>
        </w:tc>
        <w:tc>
          <w:tcPr>
            <w:tcW w:w="3123" w:type="dxa"/>
            <w:vAlign w:val="center"/>
          </w:tcPr>
          <w:p>
            <w:pPr>
              <w:pStyle w:val="11"/>
              <w:ind w:firstLine="0" w:firstLineChars="0"/>
              <w:outlineLvl w:val="9"/>
              <w:rPr>
                <w:rFonts w:hint="default"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140.20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5" w:hRule="exact"/>
          <w:jc w:val="center"/>
        </w:trPr>
        <w:tc>
          <w:tcPr>
            <w:tcW w:w="3346" w:type="dxa"/>
            <w:vAlign w:val="center"/>
          </w:tcPr>
          <w:p>
            <w:pPr>
              <w:pStyle w:val="11"/>
              <w:ind w:firstLine="0" w:firstLineChars="0"/>
              <w:jc w:val="left"/>
              <w:outlineLvl w:val="9"/>
              <w:rPr>
                <w:rFonts w:hint="eastAsia" w:ascii="仿宋" w:hAnsi="仿宋" w:eastAsia="仿宋" w:cs="黑体"/>
                <w:b w:val="0"/>
                <w:kern w:val="2"/>
                <w:sz w:val="24"/>
                <w:szCs w:val="24"/>
                <w:lang w:val="en-US" w:eastAsia="uk-UA" w:bidi="ar-SA"/>
              </w:rPr>
            </w:pPr>
            <w:r>
              <w:rPr>
                <w:rFonts w:hint="eastAsia" w:ascii="仿宋" w:hAnsi="仿宋" w:eastAsia="仿宋" w:cs="黑体"/>
                <w:b w:val="0"/>
                <w:kern w:val="2"/>
                <w:sz w:val="24"/>
                <w:szCs w:val="24"/>
                <w:lang w:val="en-US" w:eastAsia="zh-CN" w:bidi="ar-SA"/>
              </w:rPr>
              <w:t>2、车辆（台、辆）</w:t>
            </w:r>
          </w:p>
        </w:tc>
        <w:tc>
          <w:tcPr>
            <w:tcW w:w="2489" w:type="dxa"/>
            <w:vAlign w:val="center"/>
          </w:tcPr>
          <w:p>
            <w:pPr>
              <w:pStyle w:val="11"/>
              <w:ind w:firstLine="0" w:firstLineChars="0"/>
              <w:outlineLvl w:val="9"/>
              <w:rPr>
                <w:rFonts w:hint="default"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19</w:t>
            </w:r>
          </w:p>
        </w:tc>
        <w:tc>
          <w:tcPr>
            <w:tcW w:w="3123" w:type="dxa"/>
            <w:vAlign w:val="center"/>
          </w:tcPr>
          <w:p>
            <w:pPr>
              <w:pStyle w:val="11"/>
              <w:ind w:firstLine="0" w:firstLineChars="0"/>
              <w:outlineLvl w:val="9"/>
              <w:rPr>
                <w:rFonts w:hint="default"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242.71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exact"/>
          <w:jc w:val="center"/>
        </w:trPr>
        <w:tc>
          <w:tcPr>
            <w:tcW w:w="3346" w:type="dxa"/>
            <w:vAlign w:val="center"/>
          </w:tcPr>
          <w:p>
            <w:pPr>
              <w:pStyle w:val="11"/>
              <w:ind w:firstLine="0" w:firstLineChars="0"/>
              <w:jc w:val="left"/>
              <w:outlineLvl w:val="9"/>
              <w:rPr>
                <w:rFonts w:hint="eastAsia" w:ascii="仿宋" w:hAnsi="仿宋" w:eastAsia="仿宋" w:cs="黑体"/>
                <w:b w:val="0"/>
                <w:kern w:val="2"/>
                <w:sz w:val="24"/>
                <w:szCs w:val="24"/>
                <w:lang w:val="en-US" w:eastAsia="uk-UA" w:bidi="ar-SA"/>
              </w:rPr>
            </w:pPr>
            <w:r>
              <w:rPr>
                <w:rFonts w:hint="eastAsia" w:ascii="仿宋" w:hAnsi="仿宋" w:eastAsia="仿宋" w:cs="黑体"/>
                <w:b w:val="0"/>
                <w:kern w:val="2"/>
                <w:sz w:val="24"/>
                <w:szCs w:val="24"/>
                <w:lang w:val="en-US" w:eastAsia="zh-CN" w:bidi="ar-SA"/>
              </w:rPr>
              <w:t>3、单价在20万元以上的设备</w:t>
            </w:r>
          </w:p>
        </w:tc>
        <w:tc>
          <w:tcPr>
            <w:tcW w:w="2489" w:type="dxa"/>
            <w:vAlign w:val="center"/>
          </w:tcPr>
          <w:p>
            <w:pPr>
              <w:pStyle w:val="11"/>
              <w:ind w:firstLine="0" w:firstLineChars="0"/>
              <w:outlineLvl w:val="9"/>
              <w:rPr>
                <w:rFonts w:hint="eastAsia" w:ascii="仿宋" w:hAnsi="仿宋" w:eastAsia="仿宋" w:cs="黑体"/>
                <w:b w:val="0"/>
                <w:kern w:val="2"/>
                <w:sz w:val="24"/>
                <w:szCs w:val="24"/>
                <w:lang w:val="en-US" w:eastAsia="uk-UA" w:bidi="ar-SA"/>
              </w:rPr>
            </w:pPr>
          </w:p>
        </w:tc>
        <w:tc>
          <w:tcPr>
            <w:tcW w:w="3123" w:type="dxa"/>
            <w:vAlign w:val="center"/>
          </w:tcPr>
          <w:p>
            <w:pPr>
              <w:pStyle w:val="11"/>
              <w:ind w:firstLine="0" w:firstLineChars="0"/>
              <w:outlineLvl w:val="9"/>
              <w:rPr>
                <w:rFonts w:hint="eastAsia" w:ascii="仿宋" w:hAnsi="仿宋" w:eastAsia="仿宋" w:cs="黑体"/>
                <w:b w:val="0"/>
                <w:kern w:val="2"/>
                <w:sz w:val="24"/>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exact"/>
          <w:jc w:val="center"/>
        </w:trPr>
        <w:tc>
          <w:tcPr>
            <w:tcW w:w="3346" w:type="dxa"/>
            <w:vAlign w:val="center"/>
          </w:tcPr>
          <w:p>
            <w:pPr>
              <w:pStyle w:val="11"/>
              <w:ind w:firstLine="0" w:firstLineChars="0"/>
              <w:jc w:val="left"/>
              <w:outlineLvl w:val="9"/>
              <w:rPr>
                <w:rFonts w:hint="eastAsia" w:ascii="仿宋" w:hAnsi="仿宋" w:eastAsia="仿宋" w:cs="黑体"/>
                <w:b w:val="0"/>
                <w:kern w:val="2"/>
                <w:sz w:val="24"/>
                <w:szCs w:val="24"/>
                <w:lang w:val="en-US" w:eastAsia="uk-UA" w:bidi="ar-SA"/>
              </w:rPr>
            </w:pPr>
            <w:r>
              <w:rPr>
                <w:rFonts w:hint="eastAsia" w:ascii="仿宋" w:hAnsi="仿宋" w:eastAsia="仿宋" w:cs="黑体"/>
                <w:b w:val="0"/>
                <w:kern w:val="2"/>
                <w:sz w:val="24"/>
                <w:szCs w:val="24"/>
                <w:lang w:val="en-US" w:eastAsia="zh-CN" w:bidi="ar-SA"/>
              </w:rPr>
              <w:t>4、其他固定资产</w:t>
            </w:r>
          </w:p>
        </w:tc>
        <w:tc>
          <w:tcPr>
            <w:tcW w:w="2489" w:type="dxa"/>
            <w:vAlign w:val="center"/>
          </w:tcPr>
          <w:p>
            <w:pPr>
              <w:pStyle w:val="11"/>
              <w:ind w:firstLine="0" w:firstLineChars="0"/>
              <w:outlineLvl w:val="9"/>
              <w:rPr>
                <w:rFonts w:hint="eastAsia" w:ascii="仿宋" w:hAnsi="仿宋" w:eastAsia="仿宋" w:cs="黑体"/>
                <w:b w:val="0"/>
                <w:kern w:val="2"/>
                <w:sz w:val="24"/>
                <w:szCs w:val="24"/>
                <w:lang w:val="en-US" w:eastAsia="uk-UA" w:bidi="ar-SA"/>
              </w:rPr>
            </w:pPr>
          </w:p>
        </w:tc>
        <w:tc>
          <w:tcPr>
            <w:tcW w:w="3123" w:type="dxa"/>
            <w:vAlign w:val="center"/>
          </w:tcPr>
          <w:p>
            <w:pPr>
              <w:pStyle w:val="11"/>
              <w:ind w:firstLine="0" w:firstLineChars="0"/>
              <w:outlineLvl w:val="9"/>
              <w:rPr>
                <w:rFonts w:hint="default"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2280.96</w:t>
            </w:r>
          </w:p>
        </w:tc>
      </w:tr>
    </w:tbl>
    <w:p>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kern w:val="2"/>
          <w:sz w:val="32"/>
          <w:szCs w:val="32"/>
          <w:lang w:val="en-US" w:eastAsia="zh-CN" w:bidi="ar-SA"/>
        </w:rPr>
        <w:t>（二）</w:t>
      </w:r>
      <w:r>
        <w:rPr>
          <w:rFonts w:hint="eastAsia" w:ascii="楷体" w:hAnsi="楷体" w:eastAsia="楷体" w:cs="楷体_GB2312"/>
          <w:bCs/>
          <w:sz w:val="32"/>
          <w:szCs w:val="32"/>
        </w:rPr>
        <w:t>部门收支预决算情况</w:t>
      </w:r>
    </w:p>
    <w:p>
      <w:pPr>
        <w:adjustRightInd w:val="0"/>
        <w:snapToGrid w:val="0"/>
        <w:spacing w:line="560" w:lineRule="exact"/>
        <w:ind w:firstLine="640" w:firstLineChars="200"/>
        <w:rPr>
          <w:rFonts w:hint="default" w:ascii="楷体" w:hAnsi="楷体" w:eastAsia="楷体" w:cs="楷体_GB2312"/>
          <w:bCs/>
          <w:sz w:val="32"/>
          <w:szCs w:val="32"/>
          <w:lang w:val="en-US"/>
        </w:rPr>
      </w:pPr>
      <w:r>
        <w:rPr>
          <w:rFonts w:hint="eastAsia" w:ascii="仿宋" w:hAnsi="仿宋" w:eastAsia="仿宋"/>
          <w:sz w:val="32"/>
          <w:szCs w:val="32"/>
          <w:lang w:val="en-US" w:eastAsia="zh-CN"/>
        </w:rPr>
        <w:t>我院2023年预算收入决算数为3875.19万元，决算支出数为3875.19万元。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1、总体绩效目标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全面贯彻党的十九大和省委九届各次全会精神，坚持以习近平新时代中国特色社会主义思想为引领，深入学习贯彻党的十九大精神，以习近平新时代中国特色社会主义思想</w:t>
      </w:r>
      <w:bookmarkStart w:id="0" w:name="_GoBack"/>
      <w:bookmarkEnd w:id="0"/>
      <w:r>
        <w:rPr>
          <w:rFonts w:hint="eastAsia" w:ascii="仿宋" w:hAnsi="仿宋" w:eastAsia="仿宋"/>
          <w:sz w:val="32"/>
          <w:szCs w:val="32"/>
          <w:lang w:val="en-US" w:eastAsia="zh-CN"/>
        </w:rPr>
        <w:t>为指导，努力践行司法为民、公正司法，主动把法院工作融入全区经济社会发展大局，忠实履行宪法法律赋予的职责建设经济强省美丽河北提供坚强有力的司法保障。</w:t>
      </w:r>
    </w:p>
    <w:p>
      <w:pPr>
        <w:numPr>
          <w:ilvl w:val="0"/>
          <w:numId w:val="0"/>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cs="黑体"/>
          <w:kern w:val="2"/>
          <w:sz w:val="32"/>
          <w:szCs w:val="32"/>
          <w:lang w:val="en-US" w:eastAsia="zh-CN" w:bidi="ar-SA"/>
        </w:rPr>
        <w:t>2、</w:t>
      </w:r>
      <w:r>
        <w:rPr>
          <w:rFonts w:hint="eastAsia" w:ascii="仿宋" w:hAnsi="仿宋" w:eastAsia="仿宋"/>
          <w:sz w:val="32"/>
          <w:szCs w:val="32"/>
          <w:lang w:val="en-US" w:eastAsia="zh-CN"/>
        </w:rPr>
        <w:t>分项绩效目标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（1）依法惩治刑事犯罪，深入开展扫黑除恶专项斗争，监督行政机关依法行政，促进社会和谐，维护国家政治安全和社会稳定。</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（2）向执行难全面宣战，“基本解决执行难”取得实质进展。</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（3）深化网络司法拍卖机制，财产处置公开透明。</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（4）完善审判质效评估体系，促进审判质效提升，健全司法权力运行机制，提升司法公信力。</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（5）加强司法技术辅助工作，为案件审判提供技术支撑，提高办案质量。</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（6）切实加强队伍建设，法院队伍整体面貌焕然一新。</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（7）不断完善司法救助，切实保护民生，让人民群众感受到司法以人为本，享受到司法人文关怀。</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（8）坚持司法为民，更加有力地服务人民群众。</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（9）不断提高队伍素质和执法能力，推进信息公开，提升审判质效，改进司法工作作风，树立法院良好形象。</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（10）坚持主动作为，坚定不移推进司法改革。</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 w:hAnsi="楷体" w:eastAsia="楷体" w:cs="楷体_GB2312"/>
          <w:sz w:val="32"/>
          <w:szCs w:val="32"/>
        </w:rPr>
      </w:pP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根据《石家庄市市级部门项目绩效自评管理办法》（石财绩〔2020〕5号），我院初步收集</w:t>
      </w:r>
      <w:r>
        <w:rPr>
          <w:rFonts w:hint="eastAsia" w:ascii="仿宋" w:hAnsi="仿宋" w:eastAsia="仿宋"/>
          <w:sz w:val="32"/>
          <w:szCs w:val="32"/>
          <w:lang w:val="en-US" w:eastAsia="zh-CN"/>
        </w:rPr>
        <w:t>项目涉及的</w:t>
      </w:r>
      <w:r>
        <w:rPr>
          <w:rFonts w:hint="eastAsia" w:ascii="仿宋" w:hAnsi="仿宋" w:eastAsia="仿宋"/>
          <w:sz w:val="32"/>
          <w:szCs w:val="32"/>
        </w:rPr>
        <w:t>相关资料，学习有关制度文件，组织制定了工作计划，成立绩效评价工作小组，并对全年项目资金的使用情况进行了解，研究商定评价工作内容，制定绩效评价工作方案。</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1.评价方法</w:t>
      </w:r>
    </w:p>
    <w:p>
      <w:pPr>
        <w:snapToGrid w:val="0"/>
        <w:spacing w:line="560" w:lineRule="exact"/>
        <w:ind w:firstLine="640" w:firstLineChars="200"/>
        <w:rPr>
          <w:rFonts w:ascii="仿宋" w:hAnsi="仿宋" w:eastAsia="仿宋" w:cs="仿宋"/>
          <w:sz w:val="32"/>
          <w:szCs w:val="32"/>
        </w:rPr>
      </w:pPr>
      <w:r>
        <w:rPr>
          <w:rFonts w:hint="eastAsia" w:ascii="仿宋_GB2312" w:hAnsi="仿宋" w:eastAsia="仿宋_GB2312" w:cs="仿宋"/>
          <w:sz w:val="32"/>
          <w:szCs w:val="32"/>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（1）前期准备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根据《石家庄市市级部门项目绩效自评管理办法》（石财绩〔2020〕5号），</w:t>
      </w:r>
      <w:r>
        <w:rPr>
          <w:rFonts w:hint="eastAsia" w:ascii="仿宋" w:hAnsi="仿宋" w:eastAsia="仿宋"/>
          <w:sz w:val="32"/>
          <w:szCs w:val="32"/>
          <w:lang w:val="en-US" w:eastAsia="zh-CN"/>
        </w:rPr>
        <w:t>我院高度重视，迅速安排部署，</w:t>
      </w:r>
      <w:r>
        <w:rPr>
          <w:rFonts w:hint="eastAsia" w:ascii="仿宋" w:hAnsi="仿宋" w:eastAsia="仿宋"/>
          <w:sz w:val="32"/>
          <w:szCs w:val="32"/>
        </w:rPr>
        <w:t>组织召开专题会议，</w:t>
      </w:r>
      <w:r>
        <w:rPr>
          <w:rFonts w:hint="eastAsia" w:ascii="仿宋" w:hAnsi="仿宋" w:eastAsia="仿宋"/>
          <w:sz w:val="32"/>
          <w:szCs w:val="32"/>
          <w:lang w:val="en-US" w:eastAsia="zh-CN"/>
        </w:rPr>
        <w:t>成立评价工作小组，</w:t>
      </w:r>
      <w:r>
        <w:rPr>
          <w:rFonts w:hint="eastAsia" w:ascii="仿宋" w:hAnsi="仿宋" w:eastAsia="仿宋"/>
          <w:sz w:val="32"/>
          <w:szCs w:val="32"/>
        </w:rPr>
        <w:t>明确</w:t>
      </w:r>
      <w:r>
        <w:rPr>
          <w:rFonts w:hint="eastAsia" w:ascii="仿宋" w:hAnsi="仿宋" w:eastAsia="仿宋"/>
          <w:sz w:val="32"/>
          <w:szCs w:val="32"/>
          <w:lang w:val="en-US" w:eastAsia="zh-CN"/>
        </w:rPr>
        <w:t>以</w:t>
      </w:r>
      <w:r>
        <w:rPr>
          <w:rFonts w:hint="eastAsia" w:ascii="仿宋" w:hAnsi="仿宋" w:eastAsia="仿宋"/>
          <w:sz w:val="32"/>
          <w:szCs w:val="32"/>
        </w:rPr>
        <w:t>办公室</w:t>
      </w:r>
      <w:r>
        <w:rPr>
          <w:rFonts w:hint="eastAsia" w:ascii="仿宋" w:hAnsi="仿宋" w:eastAsia="仿宋"/>
          <w:sz w:val="32"/>
          <w:szCs w:val="32"/>
          <w:lang w:val="en-US" w:eastAsia="zh-CN"/>
        </w:rPr>
        <w:t>作为</w:t>
      </w:r>
      <w:r>
        <w:rPr>
          <w:rFonts w:hint="eastAsia" w:ascii="仿宋" w:hAnsi="仿宋" w:eastAsia="仿宋"/>
          <w:sz w:val="32"/>
          <w:szCs w:val="32"/>
        </w:rPr>
        <w:t>绩效评价工作牵头部门</w:t>
      </w:r>
      <w:r>
        <w:rPr>
          <w:rFonts w:hint="eastAsia" w:ascii="仿宋" w:hAnsi="仿宋" w:eastAsia="仿宋"/>
          <w:sz w:val="32"/>
          <w:szCs w:val="32"/>
          <w:lang w:eastAsia="zh-CN"/>
        </w:rPr>
        <w:t>，</w:t>
      </w:r>
      <w:r>
        <w:rPr>
          <w:rFonts w:hint="eastAsia" w:ascii="仿宋" w:hAnsi="仿宋" w:eastAsia="仿宋"/>
          <w:sz w:val="32"/>
          <w:szCs w:val="32"/>
          <w:lang w:val="en-US" w:eastAsia="zh-CN"/>
        </w:rPr>
        <w:t>多部门参与配合，</w:t>
      </w:r>
      <w:r>
        <w:rPr>
          <w:rFonts w:hint="eastAsia" w:ascii="仿宋" w:hAnsi="仿宋" w:eastAsia="仿宋"/>
          <w:sz w:val="32"/>
          <w:szCs w:val="32"/>
        </w:rPr>
        <w:t>相关业务科室具体负责绩效评价，</w:t>
      </w:r>
      <w:r>
        <w:rPr>
          <w:rFonts w:hint="eastAsia" w:ascii="仿宋" w:hAnsi="仿宋" w:eastAsia="仿宋"/>
          <w:sz w:val="32"/>
          <w:szCs w:val="32"/>
          <w:lang w:val="en-US" w:eastAsia="zh-CN"/>
        </w:rPr>
        <w:t>学习了解绩效自评操作管理办法，</w:t>
      </w:r>
      <w:r>
        <w:rPr>
          <w:rFonts w:hint="eastAsia" w:ascii="仿宋" w:hAnsi="仿宋" w:eastAsia="仿宋"/>
          <w:sz w:val="32"/>
          <w:szCs w:val="32"/>
        </w:rPr>
        <w:t>并及时按照绩效评价相关要求，</w:t>
      </w:r>
      <w:r>
        <w:rPr>
          <w:rFonts w:hint="eastAsia" w:ascii="仿宋" w:hAnsi="仿宋" w:eastAsia="仿宋"/>
          <w:sz w:val="32"/>
          <w:szCs w:val="32"/>
          <w:lang w:val="en-US" w:eastAsia="zh-CN"/>
        </w:rPr>
        <w:t>制定</w:t>
      </w:r>
      <w:r>
        <w:rPr>
          <w:rFonts w:hint="eastAsia" w:ascii="仿宋" w:hAnsi="仿宋" w:eastAsia="仿宋"/>
          <w:sz w:val="32"/>
          <w:szCs w:val="32"/>
        </w:rPr>
        <w:t>绩效管理办法和绩效评价工作方案等</w:t>
      </w:r>
      <w:r>
        <w:rPr>
          <w:rFonts w:hint="eastAsia" w:ascii="仿宋" w:hAnsi="仿宋" w:eastAsia="仿宋"/>
          <w:sz w:val="32"/>
          <w:szCs w:val="32"/>
          <w:lang w:eastAsia="zh-CN"/>
        </w:rPr>
        <w:t>，</w:t>
      </w:r>
      <w:r>
        <w:rPr>
          <w:rFonts w:hint="eastAsia" w:ascii="仿宋" w:hAnsi="仿宋" w:eastAsia="仿宋"/>
          <w:sz w:val="32"/>
          <w:szCs w:val="32"/>
        </w:rPr>
        <w:t>便于开展后续评价工作。</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（2）组织实施</w:t>
      </w:r>
    </w:p>
    <w:p>
      <w:pPr>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rPr>
        <w:t>相关业务科室对各科室涉及的项目进行自评，办公室结合业务科室提交的自评情况，采集相关数据、查阅财务资料、收集与本项目支出相关的财务凭证单据、系统统计数据、核查资金适用情况和相关资料，完成数据整理、汇总工作</w:t>
      </w:r>
      <w:r>
        <w:rPr>
          <w:rFonts w:hint="eastAsia" w:ascii="仿宋" w:hAnsi="仿宋" w:eastAsia="仿宋"/>
          <w:sz w:val="32"/>
          <w:szCs w:val="32"/>
          <w:lang w:eastAsia="zh-CN"/>
        </w:rPr>
        <w:t>，</w:t>
      </w:r>
      <w:r>
        <w:rPr>
          <w:rFonts w:hint="eastAsia" w:ascii="仿宋" w:hAnsi="仿宋" w:eastAsia="仿宋"/>
          <w:sz w:val="32"/>
          <w:szCs w:val="32"/>
        </w:rPr>
        <w:t>在整个评价工作过程中</w:t>
      </w:r>
      <w:r>
        <w:rPr>
          <w:rFonts w:hint="eastAsia" w:ascii="仿宋" w:hAnsi="仿宋" w:eastAsia="仿宋"/>
          <w:sz w:val="32"/>
          <w:szCs w:val="32"/>
          <w:lang w:val="en-US" w:eastAsia="zh-CN"/>
        </w:rPr>
        <w:t>与</w:t>
      </w:r>
      <w:r>
        <w:rPr>
          <w:rFonts w:hint="eastAsia" w:ascii="仿宋" w:hAnsi="仿宋" w:eastAsia="仿宋"/>
          <w:sz w:val="32"/>
          <w:szCs w:val="32"/>
        </w:rPr>
        <w:t>相关业务科室进行反复沟通，根据业务科室提交的自评质量进行汇总分析，形成评价结论。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pPr>
        <w:numPr>
          <w:ilvl w:val="0"/>
          <w:numId w:val="0"/>
        </w:numPr>
        <w:spacing w:line="560" w:lineRule="exact"/>
        <w:ind w:firstLine="640" w:firstLineChars="200"/>
        <w:rPr>
          <w:rFonts w:ascii="楷体" w:hAnsi="楷体" w:eastAsia="楷体" w:cs="楷体_GB2312"/>
          <w:bCs/>
          <w:sz w:val="32"/>
          <w:szCs w:val="32"/>
        </w:rPr>
      </w:pPr>
      <w:r>
        <w:rPr>
          <w:rFonts w:ascii="楷体" w:hAnsi="楷体" w:eastAsia="楷体" w:cs="楷体_GB2312"/>
          <w:bCs/>
          <w:kern w:val="2"/>
          <w:sz w:val="32"/>
          <w:szCs w:val="32"/>
          <w:lang w:val="en-US" w:eastAsia="zh-CN" w:bidi="ar-SA"/>
        </w:rPr>
        <w:t>（一）</w:t>
      </w:r>
      <w:r>
        <w:rPr>
          <w:rFonts w:hint="eastAsia" w:ascii="楷体" w:hAnsi="楷体" w:eastAsia="楷体" w:cs="楷体_GB2312"/>
          <w:bCs/>
          <w:sz w:val="32"/>
          <w:szCs w:val="32"/>
        </w:rPr>
        <w:t>总体绩效目标实现情况</w:t>
      </w:r>
    </w:p>
    <w:p>
      <w:pPr>
        <w:spacing w:line="560" w:lineRule="exact"/>
        <w:ind w:firstLine="800" w:firstLineChars="250"/>
        <w:rPr>
          <w:rFonts w:ascii="仿宋" w:hAnsi="仿宋" w:eastAsia="仿宋"/>
          <w:sz w:val="32"/>
          <w:szCs w:val="32"/>
        </w:rPr>
      </w:pPr>
      <w:r>
        <w:rPr>
          <w:rFonts w:hint="eastAsia" w:ascii="仿宋" w:hAnsi="仿宋" w:eastAsia="仿宋"/>
          <w:sz w:val="32"/>
          <w:szCs w:val="32"/>
          <w:lang w:val="en-US" w:eastAsia="zh-CN"/>
        </w:rPr>
        <w:t>2023年石家庄市裕华区人民法院</w:t>
      </w:r>
      <w:r>
        <w:rPr>
          <w:rFonts w:hint="eastAsia" w:ascii="仿宋" w:hAnsi="仿宋" w:eastAsia="仿宋"/>
          <w:sz w:val="32"/>
          <w:szCs w:val="32"/>
        </w:rPr>
        <w:t>坚持以习近平新时代中国特色社会主义思想为引领，努力践行司法为民、公正司法，主动把法院工作融入全区经济社会发展大局，忠实履行宪法法律赋予的职责建设经济强省美丽河北提供坚强有力的司法保障。。</w:t>
      </w:r>
    </w:p>
    <w:p>
      <w:pPr>
        <w:numPr>
          <w:ilvl w:val="0"/>
          <w:numId w:val="0"/>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kern w:val="2"/>
          <w:sz w:val="32"/>
          <w:szCs w:val="32"/>
          <w:lang w:val="en-US" w:eastAsia="zh-CN" w:bidi="ar-SA"/>
        </w:rPr>
        <w:t>（二）</w:t>
      </w:r>
      <w:r>
        <w:rPr>
          <w:rFonts w:hint="eastAsia" w:ascii="楷体" w:hAnsi="楷体" w:eastAsia="楷体" w:cs="楷体_GB2312"/>
          <w:bCs/>
          <w:sz w:val="32"/>
          <w:szCs w:val="32"/>
        </w:rPr>
        <w:t>分项绩效目标实现情况及指标分析</w:t>
      </w:r>
    </w:p>
    <w:p>
      <w:pPr>
        <w:spacing w:line="560" w:lineRule="exact"/>
        <w:ind w:firstLine="800" w:firstLineChars="250"/>
        <w:rPr>
          <w:rFonts w:hint="default" w:ascii="仿宋" w:hAnsi="仿宋" w:eastAsia="仿宋"/>
          <w:sz w:val="32"/>
          <w:szCs w:val="32"/>
          <w:lang w:val="en-US" w:eastAsia="zh-CN"/>
        </w:rPr>
      </w:pPr>
      <w:r>
        <w:rPr>
          <w:rFonts w:hint="eastAsia" w:ascii="仿宋" w:hAnsi="仿宋" w:eastAsia="仿宋"/>
          <w:sz w:val="32"/>
          <w:szCs w:val="32"/>
          <w:lang w:val="en-US" w:eastAsia="zh-CN"/>
        </w:rPr>
        <w:t>本次纳入绩效评价的预算项目共22个，各项目绩效目标、一级绩效目标（从产出、预算执行率、效益、满意度）、二级绩效指标及评价标准从项目库中提取，由相关科室在项目预算编制时制定，并在此基础上进项完善和细化，形成石家庄市裕华区人民法院2023年预算项目绩效自评表。具体参见绩效自评表。</w:t>
      </w:r>
    </w:p>
    <w:p>
      <w:pPr>
        <w:spacing w:line="560" w:lineRule="exact"/>
        <w:ind w:firstLine="800" w:firstLineChars="25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黑体" w:hAnsi="黑体" w:eastAsia="黑体"/>
          <w:sz w:val="32"/>
          <w:szCs w:val="32"/>
        </w:rPr>
      </w:pPr>
      <w:r>
        <w:rPr>
          <w:rFonts w:hint="eastAsia" w:ascii="仿宋" w:hAnsi="仿宋" w:eastAsia="仿宋"/>
          <w:sz w:val="32"/>
          <w:szCs w:val="32"/>
          <w:lang w:val="en-US" w:eastAsia="zh-CN"/>
        </w:rPr>
        <w:t>2023年我院积极履职，通过加强预算收支管理，不断梳理内部管理流程，建立健全内部管理制度，部门整体支出管理水平得到提升。经自评，22个项目自评得分大部分在90分以上，2023年我院较好的完成了年度工作目标，综合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1、预算执行率整体在较合理区间，但仍需进一步加强。</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2、绩效指标不够科学，有待进一步完善。</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加强预算编制管理，进一步细化预算编制工作，做好项目资金明细支出规划，严格按照预算编制的相关制度和要求，坚持科学规范、保障重点原则，合理进行预算分解，细化资金支出，注重资金使用效益，提高预算编制的合理性、针对性和可控性。</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合理安排资金支出，加强资金使用管理，严格依据预算安排和经费管理各项规定开支，切实做到支出有计划、支出有依据、支出有审批；尽可能保持均衡支出进度，以确保单位工作正常开展，完善预算管理与预算执行，进一步规范资金的管理和使用，提高资金使用效率。</w:t>
      </w:r>
    </w:p>
    <w:p>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val="en-US" w:eastAsia="zh-CN"/>
        </w:rPr>
        <w:t>3、进一步明确绩效目标设置要求，在编制项目资金绩效时，更加明确、细化量化、合理可行，建立科学合理的绩效指标框架，健全绩效指标和规范体系，采取科学合理的评价指标和评价规范，便于对工作有效指导、过程的有效控制，和对结果的有效评价。</w:t>
      </w:r>
    </w:p>
    <w:tbl>
      <w:tblPr>
        <w:tblStyle w:val="5"/>
        <w:tblpPr w:leftFromText="180" w:rightFromText="180" w:vertAnchor="text" w:horzAnchor="page" w:tblpXSpec="center" w:tblpY="886"/>
        <w:tblOverlap w:val="never"/>
        <w:tblW w:w="66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847"/>
        <w:gridCol w:w="37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jc w:val="center"/>
        </w:trPr>
        <w:tc>
          <w:tcPr>
            <w:tcW w:w="28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姓名</w:t>
            </w:r>
          </w:p>
        </w:tc>
        <w:tc>
          <w:tcPr>
            <w:tcW w:w="379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职务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9" w:hRule="atLeast"/>
          <w:jc w:val="center"/>
        </w:trPr>
        <w:tc>
          <w:tcPr>
            <w:tcW w:w="28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张延廷</w:t>
            </w:r>
          </w:p>
        </w:tc>
        <w:tc>
          <w:tcPr>
            <w:tcW w:w="379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办公室主任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9" w:hRule="atLeast"/>
          <w:jc w:val="center"/>
        </w:trPr>
        <w:tc>
          <w:tcPr>
            <w:tcW w:w="28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王东风</w:t>
            </w:r>
          </w:p>
        </w:tc>
        <w:tc>
          <w:tcPr>
            <w:tcW w:w="379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办公室副主任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jc w:val="center"/>
        </w:trPr>
        <w:tc>
          <w:tcPr>
            <w:tcW w:w="28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张雅琦</w:t>
            </w:r>
          </w:p>
        </w:tc>
        <w:tc>
          <w:tcPr>
            <w:tcW w:w="379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财务室会计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jc w:val="center"/>
        </w:trPr>
        <w:tc>
          <w:tcPr>
            <w:tcW w:w="28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贺丹</w:t>
            </w:r>
          </w:p>
        </w:tc>
        <w:tc>
          <w:tcPr>
            <w:tcW w:w="379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财务室会计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jc w:val="center"/>
        </w:trPr>
        <w:tc>
          <w:tcPr>
            <w:tcW w:w="284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郭婧</w:t>
            </w:r>
          </w:p>
        </w:tc>
        <w:tc>
          <w:tcPr>
            <w:tcW w:w="3792"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财务室出纳</w:t>
            </w:r>
          </w:p>
        </w:tc>
      </w:tr>
    </w:tbl>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w:t>
      </w:r>
    </w:p>
    <w:p>
      <w:pPr>
        <w:spacing w:line="560" w:lineRule="exact"/>
        <w:ind w:firstLine="640" w:firstLineChars="200"/>
        <w:jc w:val="right"/>
        <w:rPr>
          <w:rFonts w:hint="eastAsia" w:ascii="仿宋" w:hAnsi="仿宋" w:eastAsia="仿宋"/>
          <w:sz w:val="32"/>
          <w:szCs w:val="32"/>
          <w:lang w:val="en-US" w:eastAsia="zh-CN"/>
        </w:rPr>
      </w:pPr>
    </w:p>
    <w:p>
      <w:pPr>
        <w:spacing w:line="560" w:lineRule="exact"/>
        <w:ind w:firstLine="640" w:firstLineChars="200"/>
        <w:jc w:val="right"/>
        <w:rPr>
          <w:rFonts w:hint="eastAsia" w:ascii="仿宋" w:hAnsi="仿宋" w:eastAsia="仿宋"/>
          <w:sz w:val="32"/>
          <w:szCs w:val="32"/>
          <w:lang w:val="en-US" w:eastAsia="zh-CN"/>
        </w:rPr>
      </w:pPr>
    </w:p>
    <w:p>
      <w:pPr>
        <w:spacing w:line="560" w:lineRule="exact"/>
        <w:ind w:firstLine="640" w:firstLineChars="200"/>
        <w:jc w:val="right"/>
        <w:rPr>
          <w:rFonts w:hint="eastAsia" w:ascii="仿宋" w:hAnsi="仿宋" w:eastAsia="仿宋"/>
          <w:sz w:val="32"/>
          <w:szCs w:val="32"/>
          <w:lang w:val="en-US" w:eastAsia="zh-CN"/>
        </w:rPr>
      </w:pPr>
    </w:p>
    <w:p>
      <w:pPr>
        <w:spacing w:line="560" w:lineRule="exact"/>
        <w:ind w:firstLine="640" w:firstLineChars="200"/>
        <w:jc w:val="right"/>
        <w:rPr>
          <w:rFonts w:hint="eastAsia" w:ascii="仿宋" w:hAnsi="仿宋" w:eastAsia="仿宋"/>
          <w:sz w:val="32"/>
          <w:szCs w:val="32"/>
          <w:lang w:val="en-US" w:eastAsia="zh-CN"/>
        </w:rPr>
      </w:pPr>
    </w:p>
    <w:p>
      <w:pPr>
        <w:spacing w:line="560" w:lineRule="exact"/>
        <w:ind w:firstLine="640" w:firstLineChars="200"/>
        <w:jc w:val="right"/>
        <w:rPr>
          <w:rFonts w:hint="eastAsia" w:ascii="仿宋" w:hAnsi="仿宋" w:eastAsia="仿宋"/>
          <w:sz w:val="32"/>
          <w:szCs w:val="32"/>
          <w:lang w:val="en-US" w:eastAsia="zh-CN"/>
        </w:rPr>
      </w:pPr>
    </w:p>
    <w:p>
      <w:pPr>
        <w:spacing w:line="560" w:lineRule="exact"/>
        <w:ind w:firstLine="640" w:firstLineChars="200"/>
        <w:jc w:val="right"/>
        <w:rPr>
          <w:rFonts w:hint="eastAsia" w:ascii="仿宋" w:hAnsi="仿宋" w:eastAsia="仿宋"/>
          <w:sz w:val="32"/>
          <w:szCs w:val="32"/>
          <w:lang w:val="en-US" w:eastAsia="zh-CN"/>
        </w:rPr>
      </w:pPr>
    </w:p>
    <w:p>
      <w:pPr>
        <w:spacing w:line="560" w:lineRule="exact"/>
        <w:ind w:firstLine="640" w:firstLineChars="200"/>
        <w:jc w:val="right"/>
        <w:rPr>
          <w:rFonts w:hint="eastAsia" w:ascii="仿宋" w:hAnsi="仿宋" w:eastAsia="仿宋"/>
          <w:sz w:val="32"/>
          <w:szCs w:val="32"/>
          <w:lang w:val="en-US" w:eastAsia="zh-CN"/>
        </w:rPr>
      </w:pPr>
      <w:r>
        <w:rPr>
          <w:rFonts w:hint="eastAsia" w:ascii="仿宋" w:hAnsi="仿宋" w:eastAsia="仿宋"/>
          <w:sz w:val="32"/>
          <w:szCs w:val="32"/>
          <w:lang w:val="en-US" w:eastAsia="zh-CN"/>
        </w:rPr>
        <w:t>石家庄市裕华区人民法院</w:t>
      </w:r>
    </w:p>
    <w:p>
      <w:pPr>
        <w:spacing w:line="560" w:lineRule="exact"/>
        <w:ind w:firstLine="640" w:firstLineChars="200"/>
        <w:jc w:val="center"/>
        <w:rPr>
          <w:rFonts w:hint="default" w:ascii="仿宋" w:hAnsi="仿宋" w:eastAsia="仿宋"/>
          <w:lang w:val="en-US" w:eastAsia="zh-CN"/>
        </w:rPr>
      </w:pPr>
      <w:r>
        <w:rPr>
          <w:rFonts w:hint="eastAsia" w:ascii="仿宋" w:hAnsi="仿宋" w:eastAsia="仿宋"/>
          <w:sz w:val="32"/>
          <w:szCs w:val="32"/>
          <w:lang w:val="en-US" w:eastAsia="zh-CN"/>
        </w:rPr>
        <w:t xml:space="preserve">                             2024年4月18日</w:t>
      </w:r>
    </w:p>
    <w:sectPr>
      <w:footerReference r:id="rId3" w:type="default"/>
      <w:pgSz w:w="11906" w:h="16838"/>
      <w:pgMar w:top="1440" w:right="1474" w:bottom="1440" w:left="1587" w:header="851" w:footer="992" w:gutter="0"/>
      <w:pgBorders>
        <w:top w:val="none" w:sz="0" w:space="0"/>
        <w:left w:val="none" w:sz="0" w:space="0"/>
        <w:bottom w:val="none" w:sz="0" w:space="0"/>
        <w:right w:val="none" w:sz="0" w:space="0"/>
      </w:pgBorders>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A0430E0"/>
    <w:multiLevelType w:val="singleLevel"/>
    <w:tmpl w:val="0A0430E0"/>
    <w:lvl w:ilvl="0" w:tentative="0">
      <w:start w:val="3"/>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1OWZjMDhiYWIxOWYwMWE5ZjljMzIwYTZkZWNjN2MifQ=="/>
    <w:docVar w:name="KSO_WPS_MARK_KEY" w:val="bd787ad0-79e7-4521-b76b-2b8355b7e51f"/>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3A74C28"/>
    <w:rsid w:val="046F331E"/>
    <w:rsid w:val="07956271"/>
    <w:rsid w:val="09721397"/>
    <w:rsid w:val="0BB63BED"/>
    <w:rsid w:val="0DE01021"/>
    <w:rsid w:val="0EB97A43"/>
    <w:rsid w:val="0EBD2122"/>
    <w:rsid w:val="0F214EAE"/>
    <w:rsid w:val="116A526D"/>
    <w:rsid w:val="11B71E6A"/>
    <w:rsid w:val="12F13EFA"/>
    <w:rsid w:val="16576D99"/>
    <w:rsid w:val="17847DA8"/>
    <w:rsid w:val="1998637E"/>
    <w:rsid w:val="1AA802D5"/>
    <w:rsid w:val="1AAF0063"/>
    <w:rsid w:val="1BE140DE"/>
    <w:rsid w:val="215D225D"/>
    <w:rsid w:val="24102336"/>
    <w:rsid w:val="248C197D"/>
    <w:rsid w:val="252959AF"/>
    <w:rsid w:val="277A6671"/>
    <w:rsid w:val="28F638E7"/>
    <w:rsid w:val="292D35B7"/>
    <w:rsid w:val="2E5612A3"/>
    <w:rsid w:val="31CA749A"/>
    <w:rsid w:val="33EB6CFF"/>
    <w:rsid w:val="35A12947"/>
    <w:rsid w:val="37387040"/>
    <w:rsid w:val="3B625C0A"/>
    <w:rsid w:val="3CEE1963"/>
    <w:rsid w:val="3ED955F9"/>
    <w:rsid w:val="436B78D3"/>
    <w:rsid w:val="4C9C27FE"/>
    <w:rsid w:val="4E020FC1"/>
    <w:rsid w:val="4E886911"/>
    <w:rsid w:val="502B57C2"/>
    <w:rsid w:val="503F29AA"/>
    <w:rsid w:val="508942AC"/>
    <w:rsid w:val="512260B4"/>
    <w:rsid w:val="52BD6ACB"/>
    <w:rsid w:val="52F83A10"/>
    <w:rsid w:val="55537534"/>
    <w:rsid w:val="561A74F1"/>
    <w:rsid w:val="597244E8"/>
    <w:rsid w:val="5C923422"/>
    <w:rsid w:val="5EB71C30"/>
    <w:rsid w:val="60696529"/>
    <w:rsid w:val="64ED03C4"/>
    <w:rsid w:val="66822C7A"/>
    <w:rsid w:val="66AF0CE5"/>
    <w:rsid w:val="6ABC1112"/>
    <w:rsid w:val="6AC537CF"/>
    <w:rsid w:val="6E5B14A6"/>
    <w:rsid w:val="711B255E"/>
    <w:rsid w:val="71E949C9"/>
    <w:rsid w:val="75804C86"/>
    <w:rsid w:val="7B875F24"/>
    <w:rsid w:val="7BB51E06"/>
    <w:rsid w:val="7C387F7C"/>
    <w:rsid w:val="7F9B30DD"/>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100</Words>
  <Characters>570</Characters>
  <Lines>4</Lines>
  <Paragraphs>1</Paragraphs>
  <TotalTime>15</TotalTime>
  <ScaleCrop>false</ScaleCrop>
  <LinksUpToDate>false</LinksUpToDate>
  <CharactersWithSpaces>669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ASUS</cp:lastModifiedBy>
  <cp:lastPrinted>2024-03-06T07:40:00Z</cp:lastPrinted>
  <dcterms:modified xsi:type="dcterms:W3CDTF">2024-09-10T09:14:07Z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6B1ED860E2C6406D817628220566121B_13</vt:lpwstr>
  </property>
</Properties>
</file>