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rPr>
        <w:t>井陉县人民检察院</w:t>
      </w:r>
    </w:p>
    <w:p>
      <w:pPr>
        <w:spacing w:line="560" w:lineRule="exact"/>
        <w:jc w:val="center"/>
        <w:rPr>
          <w:rFonts w:ascii="宋体" w:hAnsi="宋体" w:cs="宋体"/>
          <w:b/>
          <w:bCs/>
          <w:sz w:val="44"/>
          <w:szCs w:val="44"/>
        </w:rPr>
      </w:pPr>
      <w:r>
        <w:rPr>
          <w:rFonts w:hint="eastAsia" w:ascii="宋体" w:hAnsi="宋体" w:cs="宋体"/>
          <w:b/>
          <w:bCs/>
          <w:sz w:val="44"/>
          <w:szCs w:val="44"/>
        </w:rPr>
        <w:t>2023年度整体支出绩效自评报告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井陉县人民检察院2023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spacing w:line="520" w:lineRule="exact"/>
        <w:ind w:firstLine="480" w:firstLineChars="150"/>
        <w:rPr>
          <w:rFonts w:ascii="仿宋" w:hAnsi="仿宋" w:eastAsia="仿宋" w:cs="仿宋_GB2312"/>
          <w:sz w:val="32"/>
          <w:szCs w:val="32"/>
        </w:rPr>
      </w:pPr>
      <w:r>
        <w:rPr>
          <w:rFonts w:hint="eastAsia" w:ascii="仿宋" w:hAnsi="仿宋" w:eastAsia="仿宋" w:cs="仿宋_GB2312"/>
          <w:sz w:val="32"/>
          <w:szCs w:val="32"/>
        </w:rPr>
        <w:t>部门职责:</w:t>
      </w:r>
    </w:p>
    <w:p>
      <w:pPr>
        <w:ind w:firstLine="640" w:firstLineChars="200"/>
        <w:rPr>
          <w:rFonts w:ascii="仿宋" w:hAnsi="仿宋" w:eastAsia="仿宋"/>
          <w:sz w:val="32"/>
          <w:szCs w:val="32"/>
        </w:rPr>
      </w:pPr>
      <w:r>
        <w:rPr>
          <w:rFonts w:hint="eastAsia" w:ascii="仿宋" w:hAnsi="仿宋" w:eastAsia="仿宋"/>
          <w:sz w:val="32"/>
          <w:szCs w:val="32"/>
        </w:rPr>
        <w:t>1、深入贯彻习近平新时代中国特色社会主义思想，深入贯彻党的路线方针和决策部署，坚持党对检察工作的绝对领导，坚决维护习近平总书记的核心地位，坚决维护党中央权威和集中统一领导。</w:t>
      </w:r>
    </w:p>
    <w:p>
      <w:pPr>
        <w:ind w:firstLine="480" w:firstLineChars="150"/>
        <w:rPr>
          <w:rFonts w:ascii="仿宋" w:hAnsi="仿宋" w:eastAsia="仿宋"/>
          <w:sz w:val="32"/>
          <w:szCs w:val="32"/>
        </w:rPr>
      </w:pPr>
      <w:r>
        <w:rPr>
          <w:rFonts w:hint="eastAsia" w:ascii="仿宋" w:hAnsi="仿宋" w:eastAsia="仿宋"/>
          <w:sz w:val="32"/>
          <w:szCs w:val="32"/>
        </w:rPr>
        <w:t>2、依法向县人民代表大会及其常务委员会提出议案。</w:t>
      </w:r>
    </w:p>
    <w:p>
      <w:pPr>
        <w:ind w:firstLine="480" w:firstLineChars="150"/>
        <w:rPr>
          <w:rFonts w:ascii="仿宋" w:hAnsi="仿宋" w:eastAsia="仿宋"/>
          <w:sz w:val="32"/>
          <w:szCs w:val="32"/>
        </w:rPr>
      </w:pPr>
      <w:r>
        <w:rPr>
          <w:rFonts w:hint="eastAsia" w:ascii="仿宋" w:hAnsi="仿宋" w:eastAsia="仿宋"/>
          <w:sz w:val="32"/>
          <w:szCs w:val="32"/>
        </w:rPr>
        <w:t>3、贯彻落实检察工作方针、总体规划，研究制定检察工作计划并组织实施。</w:t>
      </w:r>
    </w:p>
    <w:p>
      <w:pPr>
        <w:ind w:firstLine="480" w:firstLineChars="150"/>
        <w:rPr>
          <w:rFonts w:ascii="仿宋" w:hAnsi="仿宋" w:eastAsia="仿宋"/>
          <w:sz w:val="32"/>
          <w:szCs w:val="32"/>
        </w:rPr>
      </w:pPr>
      <w:r>
        <w:rPr>
          <w:rFonts w:hint="eastAsia" w:ascii="仿宋" w:hAnsi="仿宋" w:eastAsia="仿宋"/>
          <w:sz w:val="32"/>
          <w:szCs w:val="32"/>
        </w:rPr>
        <w:t>4、依照法律规定对直接受理的刑事案件行使侦查权。</w:t>
      </w:r>
    </w:p>
    <w:p>
      <w:pPr>
        <w:ind w:firstLine="480" w:firstLineChars="150"/>
        <w:rPr>
          <w:rFonts w:ascii="仿宋" w:hAnsi="仿宋" w:eastAsia="仿宋"/>
          <w:sz w:val="32"/>
          <w:szCs w:val="32"/>
        </w:rPr>
      </w:pPr>
      <w:r>
        <w:rPr>
          <w:rFonts w:hint="eastAsia" w:ascii="仿宋" w:hAnsi="仿宋" w:eastAsia="仿宋"/>
          <w:sz w:val="32"/>
          <w:szCs w:val="32"/>
        </w:rPr>
        <w:t>5、负责对辖区的各类刑事案件依法审查批准逮捕、决定逮捕、提起公诉。</w:t>
      </w:r>
    </w:p>
    <w:p>
      <w:pPr>
        <w:ind w:firstLine="480" w:firstLineChars="150"/>
        <w:rPr>
          <w:rFonts w:ascii="仿宋" w:hAnsi="仿宋" w:eastAsia="仿宋"/>
          <w:sz w:val="32"/>
          <w:szCs w:val="32"/>
        </w:rPr>
      </w:pPr>
      <w:r>
        <w:rPr>
          <w:rFonts w:hint="eastAsia" w:ascii="仿宋" w:hAnsi="仿宋" w:eastAsia="仿宋"/>
          <w:sz w:val="32"/>
          <w:szCs w:val="32"/>
        </w:rPr>
        <w:t>6、负责应由本院承办的刑事、民事、行政诉讼活动及刑事、民事、行政判决和裁定等生效法律文书执行的法律监督工作。</w:t>
      </w:r>
    </w:p>
    <w:p>
      <w:pPr>
        <w:ind w:firstLine="480" w:firstLineChars="150"/>
        <w:rPr>
          <w:rFonts w:ascii="仿宋" w:hAnsi="仿宋" w:eastAsia="仿宋"/>
          <w:sz w:val="32"/>
          <w:szCs w:val="32"/>
        </w:rPr>
      </w:pPr>
      <w:r>
        <w:rPr>
          <w:rFonts w:hint="eastAsia" w:ascii="仿宋" w:hAnsi="仿宋" w:eastAsia="仿宋"/>
          <w:sz w:val="32"/>
          <w:szCs w:val="32"/>
        </w:rPr>
        <w:t>7、负责应由本院承办的提起公益诉讼工作。</w:t>
      </w:r>
    </w:p>
    <w:p>
      <w:pPr>
        <w:ind w:firstLine="480" w:firstLineChars="150"/>
        <w:rPr>
          <w:rFonts w:ascii="仿宋" w:hAnsi="仿宋" w:eastAsia="仿宋"/>
          <w:sz w:val="32"/>
          <w:szCs w:val="32"/>
        </w:rPr>
      </w:pPr>
      <w:r>
        <w:rPr>
          <w:rFonts w:hint="eastAsia" w:ascii="仿宋" w:hAnsi="仿宋" w:eastAsia="仿宋"/>
          <w:sz w:val="32"/>
          <w:szCs w:val="32"/>
        </w:rPr>
        <w:t>8、依法受理核准追诉案件，审查是否上报。</w:t>
      </w:r>
    </w:p>
    <w:p>
      <w:pPr>
        <w:ind w:firstLine="480" w:firstLineChars="150"/>
        <w:rPr>
          <w:rFonts w:ascii="仿宋" w:hAnsi="仿宋" w:eastAsia="仿宋"/>
          <w:sz w:val="32"/>
          <w:szCs w:val="32"/>
        </w:rPr>
      </w:pPr>
      <w:r>
        <w:rPr>
          <w:rFonts w:hint="eastAsia" w:ascii="仿宋" w:hAnsi="仿宋" w:eastAsia="仿宋"/>
          <w:sz w:val="32"/>
          <w:szCs w:val="32"/>
        </w:rPr>
        <w:t>9、负责应由本院承办的对看守所、社区矫正等执法活动的法律监督工作。</w:t>
      </w:r>
    </w:p>
    <w:p>
      <w:pPr>
        <w:ind w:firstLine="480" w:firstLineChars="150"/>
        <w:rPr>
          <w:rFonts w:ascii="仿宋" w:hAnsi="仿宋" w:eastAsia="仿宋"/>
          <w:sz w:val="32"/>
          <w:szCs w:val="32"/>
        </w:rPr>
      </w:pPr>
      <w:r>
        <w:rPr>
          <w:rFonts w:hint="eastAsia" w:ascii="仿宋" w:hAnsi="仿宋" w:eastAsia="仿宋"/>
          <w:sz w:val="32"/>
          <w:szCs w:val="32"/>
        </w:rPr>
        <w:t>10、受理向本院的控告申诉。</w:t>
      </w:r>
    </w:p>
    <w:p>
      <w:pPr>
        <w:ind w:firstLine="480" w:firstLineChars="150"/>
        <w:rPr>
          <w:rFonts w:ascii="仿宋" w:hAnsi="仿宋" w:eastAsia="仿宋"/>
          <w:sz w:val="32"/>
          <w:szCs w:val="32"/>
        </w:rPr>
      </w:pPr>
      <w:r>
        <w:rPr>
          <w:rFonts w:hint="eastAsia" w:ascii="仿宋" w:hAnsi="仿宋" w:eastAsia="仿宋"/>
          <w:sz w:val="32"/>
          <w:szCs w:val="32"/>
        </w:rPr>
        <w:t>11、组织检察工作中法律政策具体应用问题的研究；组织开展检察理论研究工作。</w:t>
      </w:r>
    </w:p>
    <w:p>
      <w:pPr>
        <w:ind w:firstLine="480" w:firstLineChars="150"/>
        <w:rPr>
          <w:rFonts w:ascii="仿宋" w:hAnsi="仿宋" w:eastAsia="仿宋"/>
          <w:sz w:val="32"/>
          <w:szCs w:val="32"/>
        </w:rPr>
      </w:pPr>
      <w:r>
        <w:rPr>
          <w:rFonts w:hint="eastAsia" w:ascii="仿宋" w:hAnsi="仿宋" w:eastAsia="仿宋"/>
          <w:sz w:val="32"/>
          <w:szCs w:val="32"/>
        </w:rPr>
        <w:t>12、负责检察人员思想政治教育和业务培训工作；按照权限管理检察官和其他工作人员。</w:t>
      </w:r>
    </w:p>
    <w:p>
      <w:pPr>
        <w:ind w:firstLine="480" w:firstLineChars="150"/>
        <w:rPr>
          <w:rFonts w:ascii="仿宋" w:hAnsi="仿宋" w:eastAsia="仿宋"/>
          <w:sz w:val="32"/>
          <w:szCs w:val="32"/>
        </w:rPr>
      </w:pPr>
      <w:r>
        <w:rPr>
          <w:rFonts w:hint="eastAsia" w:ascii="仿宋" w:hAnsi="仿宋" w:eastAsia="仿宋"/>
          <w:sz w:val="32"/>
          <w:szCs w:val="32"/>
        </w:rPr>
        <w:t>13、负责本院检务督查工作。</w:t>
      </w:r>
    </w:p>
    <w:p>
      <w:pPr>
        <w:ind w:firstLine="480" w:firstLineChars="150"/>
        <w:rPr>
          <w:rFonts w:ascii="仿宋" w:hAnsi="仿宋" w:eastAsia="仿宋"/>
          <w:sz w:val="32"/>
          <w:szCs w:val="32"/>
        </w:rPr>
      </w:pPr>
      <w:r>
        <w:rPr>
          <w:rFonts w:hint="eastAsia" w:ascii="仿宋" w:hAnsi="仿宋" w:eastAsia="仿宋"/>
          <w:sz w:val="32"/>
          <w:szCs w:val="32"/>
        </w:rPr>
        <w:t>14、负责本院检务保障以及检察技术、信息化建设工作。</w:t>
      </w:r>
    </w:p>
    <w:p>
      <w:pPr>
        <w:adjustRightInd w:val="0"/>
        <w:snapToGrid w:val="0"/>
        <w:spacing w:line="560" w:lineRule="exact"/>
        <w:ind w:firstLine="480" w:firstLineChars="150"/>
        <w:rPr>
          <w:rFonts w:ascii="仿宋" w:hAnsi="仿宋" w:eastAsia="仿宋"/>
          <w:sz w:val="32"/>
          <w:szCs w:val="32"/>
        </w:rPr>
      </w:pPr>
      <w:r>
        <w:rPr>
          <w:rFonts w:hint="eastAsia" w:ascii="仿宋" w:hAnsi="仿宋" w:eastAsia="仿宋"/>
          <w:sz w:val="32"/>
          <w:szCs w:val="32"/>
        </w:rPr>
        <w:t>15、完成其他应当由本院负责的工作。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组织机构及人员：</w:t>
      </w:r>
    </w:p>
    <w:p>
      <w:pPr>
        <w:adjustRightInd w:val="0"/>
        <w:snapToGrid w:val="0"/>
        <w:spacing w:line="560" w:lineRule="exact"/>
        <w:ind w:firstLine="640" w:firstLineChars="200"/>
        <w:jc w:val="center"/>
        <w:rPr>
          <w:rFonts w:ascii="仿宋" w:hAnsi="仿宋" w:eastAsia="仿宋"/>
          <w:sz w:val="32"/>
          <w:szCs w:val="32"/>
        </w:rPr>
      </w:pPr>
      <w:r>
        <w:rPr>
          <w:rFonts w:hint="eastAsia" w:ascii="仿宋" w:hAnsi="仿宋" w:eastAsia="仿宋"/>
          <w:sz w:val="32"/>
          <w:szCs w:val="32"/>
        </w:rPr>
        <w:t>部门机构设置情况</w:t>
      </w:r>
    </w:p>
    <w:tbl>
      <w:tblPr>
        <w:tblStyle w:val="4"/>
        <w:tblW w:w="0" w:type="auto"/>
        <w:jc w:val="center"/>
        <w:tblLayout w:type="fixed"/>
        <w:tblCellMar>
          <w:top w:w="0" w:type="dxa"/>
          <w:left w:w="108" w:type="dxa"/>
          <w:bottom w:w="0" w:type="dxa"/>
          <w:right w:w="108" w:type="dxa"/>
        </w:tblCellMar>
      </w:tblPr>
      <w:tblGrid>
        <w:gridCol w:w="2786"/>
        <w:gridCol w:w="1559"/>
        <w:gridCol w:w="1559"/>
        <w:gridCol w:w="3124"/>
      </w:tblGrid>
      <w:tr>
        <w:tblPrEx>
          <w:tblCellMar>
            <w:top w:w="0" w:type="dxa"/>
            <w:left w:w="108" w:type="dxa"/>
            <w:bottom w:w="0" w:type="dxa"/>
            <w:right w:w="108" w:type="dxa"/>
          </w:tblCellMar>
        </w:tblPrEx>
        <w:trPr>
          <w:trHeight w:val="710" w:hRule="atLeast"/>
          <w:jc w:val="center"/>
        </w:trPr>
        <w:tc>
          <w:tcPr>
            <w:tcW w:w="2786" w:type="dxa"/>
            <w:tcBorders>
              <w:top w:val="single" w:color="000000" w:sz="4" w:space="0"/>
              <w:left w:val="single" w:color="000000" w:sz="4" w:space="0"/>
              <w:bottom w:val="single" w:color="000000" w:sz="4" w:space="0"/>
              <w:right w:val="single" w:color="000000" w:sz="4" w:space="0"/>
            </w:tcBorders>
            <w:vAlign w:val="center"/>
          </w:tcPr>
          <w:p>
            <w:pPr>
              <w:widowControl/>
              <w:ind w:firstLine="640"/>
              <w:jc w:val="left"/>
              <w:rPr>
                <w:rFonts w:ascii="仿宋" w:hAnsi="仿宋" w:eastAsia="仿宋"/>
                <w:sz w:val="32"/>
                <w:szCs w:val="32"/>
              </w:rPr>
            </w:pPr>
            <w:r>
              <w:rPr>
                <w:rFonts w:hint="eastAsia" w:ascii="仿宋" w:hAnsi="仿宋" w:eastAsia="仿宋"/>
                <w:sz w:val="32"/>
                <w:szCs w:val="32"/>
              </w:rPr>
              <w:t>单位名称</w:t>
            </w:r>
          </w:p>
        </w:tc>
        <w:tc>
          <w:tcPr>
            <w:tcW w:w="1559" w:type="dxa"/>
            <w:tcBorders>
              <w:top w:val="single" w:color="000000" w:sz="4" w:space="0"/>
              <w:left w:val="nil"/>
              <w:bottom w:val="single" w:color="000000" w:sz="4" w:space="0"/>
              <w:right w:val="single" w:color="000000" w:sz="4" w:space="0"/>
            </w:tcBorders>
            <w:vAlign w:val="center"/>
          </w:tcPr>
          <w:p>
            <w:pPr>
              <w:widowControl/>
              <w:jc w:val="left"/>
              <w:rPr>
                <w:rFonts w:ascii="仿宋" w:hAnsi="仿宋" w:eastAsia="仿宋"/>
                <w:sz w:val="32"/>
                <w:szCs w:val="32"/>
              </w:rPr>
            </w:pPr>
            <w:r>
              <w:rPr>
                <w:rFonts w:hint="eastAsia" w:ascii="仿宋" w:hAnsi="仿宋" w:eastAsia="仿宋"/>
                <w:sz w:val="32"/>
                <w:szCs w:val="32"/>
              </w:rPr>
              <w:t>单位性质</w:t>
            </w:r>
          </w:p>
        </w:tc>
        <w:tc>
          <w:tcPr>
            <w:tcW w:w="1559" w:type="dxa"/>
            <w:tcBorders>
              <w:top w:val="single" w:color="000000" w:sz="4" w:space="0"/>
              <w:left w:val="nil"/>
              <w:bottom w:val="single" w:color="000000" w:sz="4" w:space="0"/>
              <w:right w:val="single" w:color="000000" w:sz="4" w:space="0"/>
            </w:tcBorders>
            <w:vAlign w:val="center"/>
          </w:tcPr>
          <w:p>
            <w:pPr>
              <w:widowControl/>
              <w:jc w:val="left"/>
              <w:rPr>
                <w:rFonts w:ascii="仿宋" w:hAnsi="仿宋" w:eastAsia="仿宋"/>
                <w:sz w:val="32"/>
                <w:szCs w:val="32"/>
              </w:rPr>
            </w:pPr>
            <w:r>
              <w:rPr>
                <w:rFonts w:hint="eastAsia" w:ascii="仿宋" w:hAnsi="仿宋" w:eastAsia="仿宋"/>
                <w:sz w:val="32"/>
                <w:szCs w:val="32"/>
              </w:rPr>
              <w:t>单位规格</w:t>
            </w:r>
          </w:p>
        </w:tc>
        <w:tc>
          <w:tcPr>
            <w:tcW w:w="3124" w:type="dxa"/>
            <w:tcBorders>
              <w:top w:val="single" w:color="000000" w:sz="4" w:space="0"/>
              <w:left w:val="nil"/>
              <w:bottom w:val="single" w:color="000000" w:sz="4" w:space="0"/>
              <w:right w:val="single" w:color="000000" w:sz="4" w:space="0"/>
            </w:tcBorders>
            <w:vAlign w:val="center"/>
          </w:tcPr>
          <w:p>
            <w:pPr>
              <w:widowControl/>
              <w:ind w:firstLine="640"/>
              <w:jc w:val="left"/>
              <w:rPr>
                <w:rFonts w:ascii="仿宋" w:hAnsi="仿宋" w:eastAsia="仿宋"/>
                <w:sz w:val="32"/>
                <w:szCs w:val="32"/>
              </w:rPr>
            </w:pPr>
            <w:r>
              <w:rPr>
                <w:rFonts w:hint="eastAsia" w:ascii="仿宋" w:hAnsi="仿宋" w:eastAsia="仿宋"/>
                <w:sz w:val="32"/>
                <w:szCs w:val="32"/>
              </w:rPr>
              <w:t>经费保障形式</w:t>
            </w:r>
          </w:p>
        </w:tc>
      </w:tr>
      <w:tr>
        <w:tblPrEx>
          <w:tblCellMar>
            <w:top w:w="0" w:type="dxa"/>
            <w:left w:w="108" w:type="dxa"/>
            <w:bottom w:w="0" w:type="dxa"/>
            <w:right w:w="108" w:type="dxa"/>
          </w:tblCellMar>
        </w:tblPrEx>
        <w:trPr>
          <w:trHeight w:val="325" w:hRule="atLeast"/>
          <w:jc w:val="center"/>
        </w:trPr>
        <w:tc>
          <w:tcPr>
            <w:tcW w:w="2786" w:type="dxa"/>
            <w:tcBorders>
              <w:top w:val="single" w:color="000000" w:sz="4" w:space="0"/>
              <w:left w:val="single" w:color="000000" w:sz="4" w:space="0"/>
              <w:bottom w:val="single" w:color="000000" w:sz="4" w:space="0"/>
              <w:right w:val="single" w:color="000000" w:sz="4" w:space="0"/>
            </w:tcBorders>
            <w:vAlign w:val="center"/>
          </w:tcPr>
          <w:p>
            <w:pPr>
              <w:widowControl/>
              <w:jc w:val="left"/>
              <w:rPr>
                <w:rFonts w:ascii="仿宋" w:hAnsi="仿宋" w:eastAsia="仿宋"/>
                <w:sz w:val="32"/>
                <w:szCs w:val="32"/>
              </w:rPr>
            </w:pPr>
            <w:r>
              <w:rPr>
                <w:rFonts w:hint="eastAsia" w:ascii="仿宋" w:hAnsi="仿宋" w:eastAsia="仿宋"/>
                <w:sz w:val="32"/>
                <w:szCs w:val="32"/>
              </w:rPr>
              <w:t>井陉县人民检察院</w:t>
            </w:r>
          </w:p>
        </w:tc>
        <w:tc>
          <w:tcPr>
            <w:tcW w:w="1559" w:type="dxa"/>
            <w:tcBorders>
              <w:top w:val="single" w:color="000000" w:sz="4" w:space="0"/>
              <w:left w:val="nil"/>
              <w:bottom w:val="single" w:color="000000" w:sz="4" w:space="0"/>
              <w:right w:val="single" w:color="000000" w:sz="4" w:space="0"/>
            </w:tcBorders>
            <w:vAlign w:val="center"/>
          </w:tcPr>
          <w:p>
            <w:pPr>
              <w:widowControl/>
              <w:jc w:val="center"/>
              <w:rPr>
                <w:rFonts w:ascii="仿宋" w:hAnsi="仿宋" w:eastAsia="仿宋"/>
                <w:sz w:val="32"/>
                <w:szCs w:val="32"/>
              </w:rPr>
            </w:pPr>
            <w:r>
              <w:rPr>
                <w:rFonts w:hint="eastAsia" w:ascii="仿宋" w:hAnsi="仿宋" w:eastAsia="仿宋"/>
                <w:sz w:val="32"/>
                <w:szCs w:val="32"/>
              </w:rPr>
              <w:t>政法</w:t>
            </w:r>
          </w:p>
        </w:tc>
        <w:tc>
          <w:tcPr>
            <w:tcW w:w="1559" w:type="dxa"/>
            <w:tcBorders>
              <w:top w:val="single" w:color="000000" w:sz="4" w:space="0"/>
              <w:left w:val="nil"/>
              <w:bottom w:val="single" w:color="000000" w:sz="4" w:space="0"/>
              <w:right w:val="single" w:color="000000" w:sz="4" w:space="0"/>
            </w:tcBorders>
            <w:vAlign w:val="center"/>
          </w:tcPr>
          <w:p>
            <w:pPr>
              <w:widowControl/>
              <w:jc w:val="center"/>
              <w:rPr>
                <w:rFonts w:ascii="仿宋" w:hAnsi="仿宋" w:eastAsia="仿宋"/>
                <w:sz w:val="32"/>
                <w:szCs w:val="32"/>
              </w:rPr>
            </w:pPr>
            <w:r>
              <w:rPr>
                <w:rFonts w:hint="eastAsia" w:ascii="仿宋" w:hAnsi="仿宋" w:eastAsia="仿宋"/>
                <w:sz w:val="32"/>
                <w:szCs w:val="32"/>
              </w:rPr>
              <w:t>副处级</w:t>
            </w:r>
          </w:p>
        </w:tc>
        <w:tc>
          <w:tcPr>
            <w:tcW w:w="3124" w:type="dxa"/>
            <w:tcBorders>
              <w:top w:val="single" w:color="000000" w:sz="4" w:space="0"/>
              <w:left w:val="nil"/>
              <w:bottom w:val="single" w:color="000000" w:sz="4" w:space="0"/>
              <w:right w:val="single" w:color="000000" w:sz="4" w:space="0"/>
            </w:tcBorders>
            <w:vAlign w:val="center"/>
          </w:tcPr>
          <w:p>
            <w:pPr>
              <w:widowControl/>
              <w:ind w:firstLine="640"/>
              <w:jc w:val="left"/>
              <w:rPr>
                <w:rFonts w:ascii="仿宋" w:hAnsi="仿宋" w:eastAsia="仿宋"/>
                <w:sz w:val="32"/>
                <w:szCs w:val="32"/>
              </w:rPr>
            </w:pPr>
            <w:r>
              <w:rPr>
                <w:rFonts w:hint="eastAsia" w:ascii="仿宋" w:hAnsi="仿宋" w:eastAsia="仿宋"/>
                <w:sz w:val="32"/>
                <w:szCs w:val="32"/>
              </w:rPr>
              <w:t>财政拨款</w:t>
            </w:r>
          </w:p>
        </w:tc>
      </w:tr>
      <w:tr>
        <w:tblPrEx>
          <w:tblCellMar>
            <w:top w:w="0" w:type="dxa"/>
            <w:left w:w="108" w:type="dxa"/>
            <w:bottom w:w="0" w:type="dxa"/>
            <w:right w:w="108" w:type="dxa"/>
          </w:tblCellMar>
        </w:tblPrEx>
        <w:trPr>
          <w:trHeight w:val="325" w:hRule="atLeast"/>
          <w:jc w:val="center"/>
        </w:trPr>
        <w:tc>
          <w:tcPr>
            <w:tcW w:w="2786" w:type="dxa"/>
            <w:tcBorders>
              <w:top w:val="single" w:color="000000" w:sz="4" w:space="0"/>
              <w:left w:val="single" w:color="000000" w:sz="4" w:space="0"/>
              <w:bottom w:val="single" w:color="000000" w:sz="4" w:space="0"/>
              <w:right w:val="single" w:color="000000" w:sz="4" w:space="0"/>
            </w:tcBorders>
            <w:vAlign w:val="center"/>
          </w:tcPr>
          <w:p>
            <w:pPr>
              <w:widowControl/>
              <w:jc w:val="left"/>
              <w:rPr>
                <w:rFonts w:ascii="仿宋" w:hAnsi="仿宋" w:eastAsia="仿宋"/>
                <w:sz w:val="32"/>
                <w:szCs w:val="32"/>
              </w:rPr>
            </w:pPr>
          </w:p>
        </w:tc>
        <w:tc>
          <w:tcPr>
            <w:tcW w:w="1559" w:type="dxa"/>
            <w:tcBorders>
              <w:top w:val="single" w:color="000000" w:sz="4" w:space="0"/>
              <w:left w:val="nil"/>
              <w:bottom w:val="single" w:color="000000" w:sz="4" w:space="0"/>
              <w:right w:val="single" w:color="000000" w:sz="4" w:space="0"/>
            </w:tcBorders>
            <w:vAlign w:val="center"/>
          </w:tcPr>
          <w:p>
            <w:pPr>
              <w:widowControl/>
              <w:jc w:val="center"/>
              <w:rPr>
                <w:rFonts w:ascii="仿宋" w:hAnsi="仿宋" w:eastAsia="仿宋"/>
                <w:sz w:val="32"/>
                <w:szCs w:val="32"/>
              </w:rPr>
            </w:pPr>
          </w:p>
        </w:tc>
        <w:tc>
          <w:tcPr>
            <w:tcW w:w="1559" w:type="dxa"/>
            <w:tcBorders>
              <w:top w:val="single" w:color="000000" w:sz="4" w:space="0"/>
              <w:left w:val="nil"/>
              <w:bottom w:val="single" w:color="000000" w:sz="4" w:space="0"/>
              <w:right w:val="single" w:color="000000" w:sz="4" w:space="0"/>
            </w:tcBorders>
            <w:vAlign w:val="center"/>
          </w:tcPr>
          <w:p>
            <w:pPr>
              <w:widowControl/>
              <w:jc w:val="center"/>
              <w:rPr>
                <w:rFonts w:ascii="仿宋" w:hAnsi="仿宋" w:eastAsia="仿宋"/>
                <w:sz w:val="32"/>
                <w:szCs w:val="32"/>
              </w:rPr>
            </w:pPr>
          </w:p>
        </w:tc>
        <w:tc>
          <w:tcPr>
            <w:tcW w:w="3124" w:type="dxa"/>
            <w:tcBorders>
              <w:top w:val="single" w:color="000000" w:sz="4" w:space="0"/>
              <w:left w:val="nil"/>
              <w:bottom w:val="single" w:color="000000" w:sz="4" w:space="0"/>
              <w:right w:val="single" w:color="000000" w:sz="4" w:space="0"/>
            </w:tcBorders>
            <w:vAlign w:val="center"/>
          </w:tcPr>
          <w:p>
            <w:pPr>
              <w:widowControl/>
              <w:ind w:firstLine="640"/>
              <w:jc w:val="left"/>
              <w:rPr>
                <w:rFonts w:ascii="仿宋" w:hAnsi="仿宋" w:eastAsia="仿宋"/>
                <w:sz w:val="32"/>
                <w:szCs w:val="32"/>
              </w:rPr>
            </w:pPr>
          </w:p>
        </w:tc>
      </w:tr>
      <w:tr>
        <w:tblPrEx>
          <w:tblCellMar>
            <w:top w:w="0" w:type="dxa"/>
            <w:left w:w="108" w:type="dxa"/>
            <w:bottom w:w="0" w:type="dxa"/>
            <w:right w:w="108" w:type="dxa"/>
          </w:tblCellMar>
        </w:tblPrEx>
        <w:trPr>
          <w:trHeight w:val="325" w:hRule="atLeast"/>
          <w:jc w:val="center"/>
        </w:trPr>
        <w:tc>
          <w:tcPr>
            <w:tcW w:w="2786" w:type="dxa"/>
            <w:tcBorders>
              <w:top w:val="single" w:color="000000" w:sz="4" w:space="0"/>
              <w:left w:val="single" w:color="000000" w:sz="4" w:space="0"/>
              <w:bottom w:val="single" w:color="000000" w:sz="4" w:space="0"/>
              <w:right w:val="single" w:color="000000" w:sz="4" w:space="0"/>
            </w:tcBorders>
            <w:vAlign w:val="center"/>
          </w:tcPr>
          <w:p>
            <w:pPr>
              <w:widowControl/>
              <w:jc w:val="left"/>
              <w:rPr>
                <w:rFonts w:ascii="仿宋" w:hAnsi="仿宋" w:eastAsia="仿宋" w:cs="Calibri"/>
                <w:color w:val="000000"/>
                <w:kern w:val="0"/>
                <w:sz w:val="24"/>
                <w:szCs w:val="24"/>
              </w:rPr>
            </w:pPr>
          </w:p>
        </w:tc>
        <w:tc>
          <w:tcPr>
            <w:tcW w:w="1559" w:type="dxa"/>
            <w:tcBorders>
              <w:top w:val="single" w:color="000000" w:sz="4" w:space="0"/>
              <w:left w:val="nil"/>
              <w:bottom w:val="single" w:color="000000" w:sz="4" w:space="0"/>
              <w:right w:val="single" w:color="000000" w:sz="4" w:space="0"/>
            </w:tcBorders>
            <w:vAlign w:val="center"/>
          </w:tcPr>
          <w:p>
            <w:pPr>
              <w:widowControl/>
              <w:jc w:val="center"/>
              <w:rPr>
                <w:rFonts w:ascii="仿宋" w:hAnsi="仿宋" w:eastAsia="仿宋" w:cs="Calibri"/>
                <w:color w:val="000000"/>
                <w:kern w:val="0"/>
                <w:sz w:val="24"/>
                <w:szCs w:val="24"/>
              </w:rPr>
            </w:pPr>
          </w:p>
        </w:tc>
        <w:tc>
          <w:tcPr>
            <w:tcW w:w="1559" w:type="dxa"/>
            <w:tcBorders>
              <w:top w:val="single" w:color="000000" w:sz="4" w:space="0"/>
              <w:left w:val="nil"/>
              <w:bottom w:val="single" w:color="000000" w:sz="4" w:space="0"/>
              <w:right w:val="single" w:color="000000" w:sz="4" w:space="0"/>
            </w:tcBorders>
            <w:vAlign w:val="center"/>
          </w:tcPr>
          <w:p>
            <w:pPr>
              <w:widowControl/>
              <w:jc w:val="center"/>
              <w:rPr>
                <w:rFonts w:ascii="仿宋" w:hAnsi="仿宋" w:eastAsia="仿宋" w:cs="Calibri"/>
                <w:color w:val="000000"/>
                <w:kern w:val="0"/>
                <w:sz w:val="24"/>
                <w:szCs w:val="24"/>
              </w:rPr>
            </w:pPr>
          </w:p>
        </w:tc>
        <w:tc>
          <w:tcPr>
            <w:tcW w:w="3124" w:type="dxa"/>
            <w:tcBorders>
              <w:top w:val="single" w:color="000000" w:sz="4" w:space="0"/>
              <w:left w:val="nil"/>
              <w:bottom w:val="single" w:color="000000" w:sz="4" w:space="0"/>
              <w:right w:val="single" w:color="000000" w:sz="4" w:space="0"/>
            </w:tcBorders>
            <w:vAlign w:val="center"/>
          </w:tcPr>
          <w:p>
            <w:pPr>
              <w:widowControl/>
              <w:ind w:firstLine="640"/>
              <w:jc w:val="left"/>
              <w:rPr>
                <w:rFonts w:ascii="仿宋" w:hAnsi="仿宋" w:eastAsia="仿宋" w:cs="Calibri"/>
                <w:color w:val="000000"/>
                <w:kern w:val="0"/>
                <w:sz w:val="24"/>
                <w:szCs w:val="24"/>
              </w:rPr>
            </w:pPr>
          </w:p>
        </w:tc>
      </w:tr>
    </w:tbl>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2023年末，我院政法编制37个，在职干警37人。聘用制书记员12人。2023年人员变动情况：退休1人、新录用3人。</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国有资产信息：截止2023年年底，井陉县人民检察院国有资产累计金额</w:t>
      </w:r>
      <w:r>
        <w:rPr>
          <w:rFonts w:ascii="仿宋" w:hAnsi="仿宋" w:eastAsia="仿宋"/>
          <w:sz w:val="32"/>
          <w:szCs w:val="32"/>
        </w:rPr>
        <w:t>15489517.99</w:t>
      </w:r>
      <w:r>
        <w:rPr>
          <w:rFonts w:hint="eastAsia" w:ascii="仿宋" w:hAnsi="仿宋" w:eastAsia="仿宋"/>
          <w:sz w:val="32"/>
          <w:szCs w:val="32"/>
        </w:rPr>
        <w:t>元，其中土地房屋总计7651613.21元，其他固定资产7837904.78元，单位共有车辆6辆，总计金额959000元。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pPr>
        <w:autoSpaceDN w:val="0"/>
        <w:spacing w:line="360" w:lineRule="auto"/>
        <w:ind w:firstLine="800" w:firstLineChars="250"/>
        <w:rPr>
          <w:rFonts w:ascii="仿宋" w:hAnsi="仿宋" w:eastAsia="仿宋" w:cs="仿宋_GB2312"/>
          <w:sz w:val="32"/>
          <w:szCs w:val="32"/>
        </w:rPr>
      </w:pPr>
      <w:r>
        <w:rPr>
          <w:rFonts w:hint="eastAsia" w:ascii="仿宋" w:hAnsi="仿宋" w:eastAsia="仿宋" w:cs="仿宋_GB2312"/>
          <w:sz w:val="32"/>
          <w:szCs w:val="32"/>
        </w:rPr>
        <w:t>2023年度，井陉县人民检察院预算收入902.29万元，其中：一般公共预算收入902.29万元,其中基本预算797.29万元，包括人员经费和日常公用经费；项目预算105万元，包括聘用制书记员经费105万元。</w:t>
      </w:r>
    </w:p>
    <w:p>
      <w:pPr>
        <w:autoSpaceDN w:val="0"/>
        <w:spacing w:line="360" w:lineRule="auto"/>
        <w:ind w:firstLine="640" w:firstLineChars="200"/>
        <w:rPr>
          <w:rFonts w:ascii="仿宋" w:hAnsi="仿宋" w:eastAsia="仿宋" w:cs="仿宋_GB2312"/>
          <w:sz w:val="32"/>
          <w:szCs w:val="32"/>
        </w:rPr>
      </w:pPr>
      <w:r>
        <w:rPr>
          <w:rFonts w:hint="eastAsia" w:ascii="仿宋" w:hAnsi="仿宋" w:eastAsia="仿宋" w:cs="仿宋_GB2312"/>
          <w:sz w:val="32"/>
          <w:szCs w:val="32"/>
        </w:rPr>
        <w:t>2023年，我部门经费支出1074.43万元，其中项目支出286.88万元，占总支出的26.7%；基本支出787.55万元，占总支出的73.3%，其中人员经费支出654.46万元，占总支出的60.91%，公用经费支出133.09万元，占总支出的12.39%。</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spacing w:line="600" w:lineRule="exact"/>
        <w:ind w:firstLine="640" w:firstLineChars="200"/>
        <w:outlineLvl w:val="1"/>
        <w:rPr>
          <w:rFonts w:ascii="仿宋" w:hAnsi="仿宋" w:eastAsia="仿宋" w:cs="仿宋_GB2312"/>
          <w:sz w:val="32"/>
          <w:szCs w:val="32"/>
        </w:rPr>
      </w:pPr>
      <w:r>
        <w:rPr>
          <w:rFonts w:hint="eastAsia" w:ascii="仿宋" w:hAnsi="仿宋" w:eastAsia="仿宋" w:cs="仿宋_GB2312"/>
          <w:sz w:val="32"/>
          <w:szCs w:val="32"/>
        </w:rPr>
        <w:t xml:space="preserve"> 1、</w:t>
      </w:r>
      <w:r>
        <w:rPr>
          <w:rFonts w:ascii="仿宋" w:hAnsi="仿宋" w:eastAsia="仿宋" w:cs="仿宋_GB2312"/>
          <w:sz w:val="32"/>
          <w:szCs w:val="32"/>
        </w:rPr>
        <w:t>总体绩效目标</w:t>
      </w:r>
    </w:p>
    <w:p>
      <w:pPr>
        <w:pStyle w:val="6"/>
        <w:rPr>
          <w:rFonts w:ascii="仿宋" w:hAnsi="仿宋" w:eastAsia="仿宋" w:cs="黑体"/>
          <w:kern w:val="2"/>
          <w:sz w:val="32"/>
          <w:szCs w:val="32"/>
          <w:lang w:eastAsia="zh-CN"/>
        </w:rPr>
      </w:pPr>
      <w:r>
        <w:rPr>
          <w:rFonts w:ascii="仿宋" w:hAnsi="仿宋" w:eastAsia="仿宋" w:cs="黑体"/>
          <w:kern w:val="2"/>
          <w:sz w:val="32"/>
          <w:szCs w:val="32"/>
          <w:lang w:eastAsia="zh-CN"/>
        </w:rPr>
        <w:t>2023年我部门将坚持以习近平新时代中国特色社会主义思想为指导，深入学习贯彻党的二十大精神，坚持以人民为中心的发展思想，以高度的政治自觉、法治自觉、检察自觉，认真履行法律监督职责，全面提升检察工作水平，为服务全县经济社会高质量发展提供有力司法保障。</w:t>
      </w:r>
    </w:p>
    <w:p>
      <w:pPr>
        <w:spacing w:line="500" w:lineRule="exact"/>
        <w:ind w:firstLine="560"/>
        <w:rPr>
          <w:rFonts w:ascii="仿宋" w:hAnsi="仿宋" w:eastAsia="仿宋"/>
          <w:sz w:val="32"/>
          <w:szCs w:val="32"/>
        </w:rPr>
      </w:pPr>
      <w:r>
        <w:rPr>
          <w:rFonts w:ascii="仿宋" w:hAnsi="仿宋" w:eastAsia="仿宋"/>
          <w:sz w:val="32"/>
          <w:szCs w:val="32"/>
        </w:rPr>
        <w:t>20</w:t>
      </w:r>
      <w:r>
        <w:rPr>
          <w:rFonts w:hint="eastAsia" w:ascii="仿宋" w:hAnsi="仿宋" w:eastAsia="仿宋"/>
          <w:sz w:val="32"/>
          <w:szCs w:val="32"/>
        </w:rPr>
        <w:t>23</w:t>
      </w:r>
      <w:r>
        <w:rPr>
          <w:rFonts w:ascii="仿宋" w:hAnsi="仿宋" w:eastAsia="仿宋"/>
          <w:sz w:val="32"/>
          <w:szCs w:val="32"/>
        </w:rPr>
        <w:t>年共安排检察业务支出</w:t>
      </w:r>
      <w:r>
        <w:rPr>
          <w:rFonts w:hint="eastAsia" w:ascii="仿宋" w:hAnsi="仿宋" w:eastAsia="仿宋"/>
          <w:sz w:val="32"/>
          <w:szCs w:val="32"/>
        </w:rPr>
        <w:t>194.3万</w:t>
      </w:r>
      <w:r>
        <w:rPr>
          <w:rFonts w:ascii="仿宋" w:hAnsi="仿宋" w:eastAsia="仿宋"/>
          <w:sz w:val="32"/>
          <w:szCs w:val="32"/>
        </w:rPr>
        <w:t>元，用于保障检察机关办</w:t>
      </w:r>
      <w:r>
        <w:rPr>
          <w:rFonts w:hint="eastAsia" w:ascii="仿宋" w:hAnsi="仿宋" w:eastAsia="仿宋"/>
          <w:sz w:val="32"/>
          <w:szCs w:val="32"/>
        </w:rPr>
        <w:t>案业务</w:t>
      </w:r>
      <w:r>
        <w:rPr>
          <w:rFonts w:ascii="仿宋" w:hAnsi="仿宋" w:eastAsia="仿宋"/>
          <w:sz w:val="32"/>
          <w:szCs w:val="32"/>
        </w:rPr>
        <w:t>支出。</w:t>
      </w:r>
    </w:p>
    <w:p>
      <w:pPr>
        <w:spacing w:line="600" w:lineRule="exact"/>
        <w:ind w:firstLine="640" w:firstLineChars="200"/>
        <w:outlineLvl w:val="1"/>
        <w:rPr>
          <w:rFonts w:ascii="仿宋" w:hAnsi="仿宋" w:eastAsia="仿宋" w:cs="仿宋_GB2312"/>
          <w:sz w:val="32"/>
          <w:szCs w:val="32"/>
        </w:rPr>
      </w:pPr>
      <w:bookmarkStart w:id="0" w:name="_Toc30347"/>
      <w:r>
        <w:rPr>
          <w:rFonts w:hint="eastAsia" w:ascii="仿宋" w:hAnsi="仿宋" w:eastAsia="仿宋" w:cs="仿宋_GB2312"/>
          <w:sz w:val="32"/>
          <w:szCs w:val="32"/>
        </w:rPr>
        <w:t>2、</w:t>
      </w:r>
      <w:r>
        <w:rPr>
          <w:rFonts w:ascii="仿宋" w:hAnsi="仿宋" w:eastAsia="仿宋" w:cs="仿宋_GB2312"/>
          <w:sz w:val="32"/>
          <w:szCs w:val="32"/>
        </w:rPr>
        <w:t>分项绩效目标</w:t>
      </w:r>
      <w:bookmarkEnd w:id="0"/>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hint="eastAsia" w:ascii="仿宋" w:hAnsi="仿宋" w:eastAsia="仿宋" w:cs="仿宋_GB2312"/>
          <w:kern w:val="2"/>
          <w:sz w:val="32"/>
          <w:szCs w:val="32"/>
          <w:lang w:eastAsia="zh-CN"/>
        </w:rPr>
        <w:t>（1）</w:t>
      </w:r>
      <w:r>
        <w:rPr>
          <w:rFonts w:ascii="仿宋" w:hAnsi="仿宋" w:eastAsia="仿宋" w:cs="仿宋_GB2312"/>
          <w:kern w:val="2"/>
          <w:sz w:val="32"/>
          <w:szCs w:val="32"/>
          <w:lang w:eastAsia="zh-CN"/>
        </w:rPr>
        <w:t>侦查监督</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绩效目标：通过行使检察权，对刑事案件进行审查逮捕、立案监督，对侦查活动进行监督。从而打击犯罪、保障人权、维护司法公正。</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绩效指标：错捕、捕后撤案、不起诉、判无罪率低于1%；批延准确率达到100%；立案和侦查活动监督完成率达到100%。</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hint="eastAsia" w:ascii="仿宋" w:hAnsi="仿宋" w:eastAsia="仿宋" w:cs="仿宋_GB2312"/>
          <w:kern w:val="2"/>
          <w:sz w:val="32"/>
          <w:szCs w:val="32"/>
          <w:lang w:eastAsia="zh-CN"/>
        </w:rPr>
        <w:t>（2）</w:t>
      </w:r>
      <w:r>
        <w:rPr>
          <w:rFonts w:ascii="仿宋" w:hAnsi="仿宋" w:eastAsia="仿宋" w:cs="仿宋_GB2312"/>
          <w:kern w:val="2"/>
          <w:sz w:val="32"/>
          <w:szCs w:val="32"/>
          <w:lang w:eastAsia="zh-CN"/>
        </w:rPr>
        <w:t>公诉和审判监督</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绩效目标：审查起诉出庭支持公诉，全面审查案件事实，核实证据，依法提出审查意见，打击犯罪，保障人权，维护司法公正。</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绩效指标：办理案件数量不低于上年，出庭意见法院采纳率达到80%以上，诉讼期限内审结案件占全部案件比例达到95%以上。</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hint="eastAsia" w:ascii="仿宋" w:hAnsi="仿宋" w:eastAsia="仿宋" w:cs="仿宋_GB2312"/>
          <w:kern w:val="2"/>
          <w:sz w:val="32"/>
          <w:szCs w:val="32"/>
          <w:lang w:eastAsia="zh-CN"/>
        </w:rPr>
        <w:t>（3）</w:t>
      </w:r>
      <w:r>
        <w:rPr>
          <w:rFonts w:ascii="仿宋" w:hAnsi="仿宋" w:eastAsia="仿宋" w:cs="仿宋_GB2312"/>
          <w:kern w:val="2"/>
          <w:sz w:val="32"/>
          <w:szCs w:val="32"/>
          <w:lang w:eastAsia="zh-CN"/>
        </w:rPr>
        <w:t>民事行政诉讼监督</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绩效目标：依法对民事诉讼和行政诉讼实行法律监督，维护司法公正和司法权威。</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绩效指标：民事案件撤诉案件再审改变率不低于70%；当事人对民行行政申请监督案件满意度达到80%；不支持监督申请决定息诉息访率不低于50%，检察建议采纳率达到80%。</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hint="eastAsia" w:ascii="仿宋" w:hAnsi="仿宋" w:eastAsia="仿宋" w:cs="仿宋_GB2312"/>
          <w:kern w:val="2"/>
          <w:sz w:val="32"/>
          <w:szCs w:val="32"/>
          <w:lang w:eastAsia="zh-CN"/>
        </w:rPr>
        <w:t>（4）</w:t>
      </w:r>
      <w:r>
        <w:rPr>
          <w:rFonts w:ascii="仿宋" w:hAnsi="仿宋" w:eastAsia="仿宋" w:cs="仿宋_GB2312"/>
          <w:kern w:val="2"/>
          <w:sz w:val="32"/>
          <w:szCs w:val="32"/>
          <w:lang w:eastAsia="zh-CN"/>
        </w:rPr>
        <w:t>刑事执行检察</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目标：依法对看守所、社区矫正等执法活动是否合法实行法律监督，维护刑事执行公平公正，维护刑事执行场所监管秩序稳定、维护刑事被执行人合法权益、维护社会和谐稳定，保障国家法律、法规统一正确实施。</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绩效指标：监督行为及相关当事人、办案机关、社会各界对监督行为及效果的满意度达到95%以上；纠正意见或者建议的采纳率达到90%以上。</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hint="eastAsia" w:ascii="仿宋" w:hAnsi="仿宋" w:eastAsia="仿宋" w:cs="仿宋_GB2312"/>
          <w:kern w:val="2"/>
          <w:sz w:val="32"/>
          <w:szCs w:val="32"/>
          <w:lang w:eastAsia="zh-CN"/>
        </w:rPr>
        <w:t>（5）</w:t>
      </w:r>
      <w:r>
        <w:rPr>
          <w:rFonts w:ascii="仿宋" w:hAnsi="仿宋" w:eastAsia="仿宋" w:cs="仿宋_GB2312"/>
          <w:kern w:val="2"/>
          <w:sz w:val="32"/>
          <w:szCs w:val="32"/>
          <w:lang w:eastAsia="zh-CN"/>
        </w:rPr>
        <w:t>未成年人刑事检察</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绩效目标：保障未成年人的合法权益，减少未成年人刑事案件发案数，为未成年人健康成长提供法治保障。</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指标：针对辖区中小学每月至少开展一次法律讲课，提高未成年人法律意识和自我保护能力。未成年人刑事案件指导率达到80%以上；未成年人刑事案件办理达到受理案件的90%，附条件不起诉案件占受理未成年刑事案件数高于25%，案件办结率达到全年受理案件的80%。涉案未成年人实施心理疏导、亲情会见、庭审教育、不起诉宣布教育、案后帮扶等特殊检察制度占全部受理案件的比例不低于70%，不捕率高于35%、不诉率高于25%。</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hint="eastAsia" w:ascii="仿宋" w:hAnsi="仿宋" w:eastAsia="仿宋" w:cs="仿宋_GB2312"/>
          <w:kern w:val="2"/>
          <w:sz w:val="32"/>
          <w:szCs w:val="32"/>
          <w:lang w:eastAsia="zh-CN"/>
        </w:rPr>
        <w:t>（6）</w:t>
      </w:r>
      <w:r>
        <w:rPr>
          <w:rFonts w:ascii="仿宋" w:hAnsi="仿宋" w:eastAsia="仿宋" w:cs="仿宋_GB2312"/>
          <w:kern w:val="2"/>
          <w:sz w:val="32"/>
          <w:szCs w:val="32"/>
          <w:lang w:eastAsia="zh-CN"/>
        </w:rPr>
        <w:t>司法辅助</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绩效目标：加强各项检察辅助职能，为“四大检察”业务提供有力保障。</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绩效指标：工作任务完成率不低于95%</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hint="eastAsia" w:ascii="仿宋" w:hAnsi="仿宋" w:eastAsia="仿宋" w:cs="仿宋_GB2312"/>
          <w:kern w:val="2"/>
          <w:sz w:val="32"/>
          <w:szCs w:val="32"/>
          <w:lang w:eastAsia="zh-CN"/>
        </w:rPr>
        <w:t>（7）</w:t>
      </w:r>
      <w:r>
        <w:rPr>
          <w:rFonts w:ascii="仿宋" w:hAnsi="仿宋" w:eastAsia="仿宋" w:cs="仿宋_GB2312"/>
          <w:kern w:val="2"/>
          <w:sz w:val="32"/>
          <w:szCs w:val="32"/>
          <w:lang w:eastAsia="zh-CN"/>
        </w:rPr>
        <w:t>检察公益诉讼</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目标：办理破坏生态环境和资源保护、食品药品安全领域侵害众多消费者合法权益等损害社会公共利益的民事公益诉讼案件，充分发挥检察机关法律监督职能作用，促进依法行政、严格执法，维护宪法法律权威，维护社会公平正义，维护国家和社会公共利益。</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绩效指标：开展检察公益诉讼法律宣传次数不低于4次；202</w:t>
      </w:r>
      <w:r>
        <w:rPr>
          <w:rFonts w:hint="eastAsia" w:ascii="仿宋" w:hAnsi="仿宋" w:eastAsia="仿宋" w:cs="仿宋_GB2312"/>
          <w:kern w:val="2"/>
          <w:sz w:val="32"/>
          <w:szCs w:val="32"/>
          <w:lang w:eastAsia="zh-CN"/>
        </w:rPr>
        <w:t>4</w:t>
      </w:r>
      <w:r>
        <w:rPr>
          <w:rFonts w:ascii="仿宋" w:hAnsi="仿宋" w:eastAsia="仿宋" w:cs="仿宋_GB2312"/>
          <w:kern w:val="2"/>
          <w:sz w:val="32"/>
          <w:szCs w:val="32"/>
          <w:lang w:eastAsia="zh-CN"/>
        </w:rPr>
        <w:t>年立案数不低于上年立案数；检察建议采纳率不低于90%。</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hint="eastAsia" w:ascii="仿宋" w:hAnsi="仿宋" w:eastAsia="仿宋" w:cs="仿宋_GB2312"/>
          <w:kern w:val="2"/>
          <w:sz w:val="32"/>
          <w:szCs w:val="32"/>
          <w:lang w:eastAsia="zh-CN"/>
        </w:rPr>
        <w:t>（8）</w:t>
      </w:r>
      <w:r>
        <w:rPr>
          <w:rFonts w:ascii="仿宋" w:hAnsi="仿宋" w:eastAsia="仿宋" w:cs="仿宋_GB2312"/>
          <w:kern w:val="2"/>
          <w:sz w:val="32"/>
          <w:szCs w:val="32"/>
          <w:lang w:eastAsia="zh-CN"/>
        </w:rPr>
        <w:t>控告和刑事申诉检察</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绩效目标：办理县院管辖的信访、举报案件、国家赔偿、司法救助案件以及上级机关交办、转办、督办案件。保护公民、法人和其他单位的合法权益，促进司法公正，维护社会稳定。</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绩效指标：举报线索处置率达到100%；司法救助案件数不低于上年数；有效化解涉检信访矛盾率达到100%；涉检赔偿和刑事申诉案件错案率低于5%；法定期限内办结率达到100%；举报线索移送立案率不低于50%。</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hint="eastAsia" w:ascii="仿宋" w:hAnsi="仿宋" w:eastAsia="仿宋" w:cs="仿宋_GB2312"/>
          <w:kern w:val="2"/>
          <w:sz w:val="32"/>
          <w:szCs w:val="32"/>
          <w:lang w:eastAsia="zh-CN"/>
        </w:rPr>
        <w:t>（9）</w:t>
      </w:r>
      <w:r>
        <w:rPr>
          <w:rFonts w:ascii="仿宋" w:hAnsi="仿宋" w:eastAsia="仿宋" w:cs="仿宋_GB2312"/>
          <w:kern w:val="2"/>
          <w:sz w:val="32"/>
          <w:szCs w:val="32"/>
          <w:lang w:eastAsia="zh-CN"/>
        </w:rPr>
        <w:t>检察事务管理</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绩效目标：承担综合业务管理和综合事务管理工作，为检察工作顺利开展提供保障。</w:t>
      </w:r>
    </w:p>
    <w:p>
      <w:pPr>
        <w:pStyle w:val="7"/>
        <w:widowControl w:val="0"/>
        <w:spacing w:line="600" w:lineRule="exact"/>
        <w:ind w:firstLine="640" w:firstLineChars="200"/>
        <w:jc w:val="both"/>
        <w:rPr>
          <w:rFonts w:ascii="仿宋" w:hAnsi="仿宋" w:eastAsia="仿宋" w:cs="仿宋_GB2312"/>
          <w:kern w:val="2"/>
          <w:sz w:val="32"/>
          <w:szCs w:val="32"/>
          <w:lang w:eastAsia="zh-CN"/>
        </w:rPr>
      </w:pPr>
      <w:r>
        <w:rPr>
          <w:rFonts w:ascii="仿宋" w:hAnsi="仿宋" w:eastAsia="仿宋" w:cs="仿宋_GB2312"/>
          <w:kern w:val="2"/>
          <w:sz w:val="32"/>
          <w:szCs w:val="32"/>
          <w:lang w:eastAsia="zh-CN"/>
        </w:rPr>
        <w:t>绩效指标：各项工作任务指标完成率达到95%以上，检察干警对保障工作满意度达到95%以上。</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ind w:firstLine="640" w:firstLineChars="200"/>
        <w:rPr>
          <w:rFonts w:ascii="楷体" w:hAnsi="楷体" w:eastAsia="楷体" w:cs="楷体_GB2312"/>
          <w:sz w:val="32"/>
          <w:szCs w:val="32"/>
        </w:rPr>
      </w:pPr>
      <w:r>
        <w:rPr>
          <w:rFonts w:hint="eastAsia" w:ascii="楷体" w:hAnsi="楷体" w:eastAsia="楷体" w:cs="楷体_GB2312"/>
          <w:bCs/>
          <w:sz w:val="32"/>
          <w:szCs w:val="32"/>
        </w:rPr>
        <w:t>（一）自评的组织工作</w:t>
      </w:r>
    </w:p>
    <w:p>
      <w:pPr>
        <w:spacing w:line="560" w:lineRule="exact"/>
        <w:ind w:firstLine="640"/>
        <w:rPr>
          <w:rFonts w:ascii="仿宋" w:hAnsi="仿宋" w:eastAsia="仿宋" w:cs="楷体_GB2312"/>
          <w:sz w:val="32"/>
          <w:szCs w:val="32"/>
        </w:rPr>
      </w:pPr>
      <w:r>
        <w:rPr>
          <w:rFonts w:hint="eastAsia" w:ascii="仿宋" w:hAnsi="仿宋" w:eastAsia="仿宋" w:cs="楷体_GB2312"/>
          <w:sz w:val="32"/>
          <w:szCs w:val="32"/>
        </w:rPr>
        <w:t>根据《石家庄市财政局关于开展2024年绩效自评工作的通知》要求，我院开展预算项目整体支出绩效自评，查看2023年度部门预算绩效文本绩效目标及指标，认真对比预决算的调整及执行情况，根据对数据的收集、资料进行核对、比较、计算，对单位整体支出进行评分。</w:t>
      </w:r>
    </w:p>
    <w:p>
      <w:pPr>
        <w:spacing w:line="560" w:lineRule="exact"/>
        <w:ind w:firstLine="640"/>
        <w:rPr>
          <w:rFonts w:ascii="楷体" w:hAnsi="楷体" w:eastAsia="楷体" w:cs="楷体_GB2312"/>
          <w:bCs/>
          <w:sz w:val="32"/>
          <w:szCs w:val="32"/>
        </w:rPr>
      </w:pPr>
      <w:r>
        <w:rPr>
          <w:rFonts w:hint="eastAsia" w:ascii="楷体" w:hAnsi="楷体" w:eastAsia="楷体" w:cs="楷体_GB2312"/>
          <w:bCs/>
          <w:sz w:val="32"/>
          <w:szCs w:val="32"/>
        </w:rPr>
        <w:t>（二）自评的方法和过程</w:t>
      </w:r>
    </w:p>
    <w:p>
      <w:pPr>
        <w:snapToGrid w:val="0"/>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1.评价方法</w:t>
      </w:r>
    </w:p>
    <w:p>
      <w:pPr>
        <w:snapToGrid w:val="0"/>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根据相关资料及项目特点，采取定量分析与定性分析相结合，运用因素分析法、比较分析法、现场核查法、访谈等方法开展评价工作。从预算编制、预算执行、绩效目标完成情况、绩效目标设置质量等方面进行了综合评价。</w:t>
      </w:r>
    </w:p>
    <w:p>
      <w:pPr>
        <w:snapToGrid w:val="0"/>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2.实施过程</w:t>
      </w:r>
    </w:p>
    <w:p>
      <w:pPr>
        <w:snapToGrid w:val="0"/>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本次绩效评价工作过程包括前期准备、组织实施、撰写评价报告三个阶段。</w:t>
      </w:r>
    </w:p>
    <w:p>
      <w:pPr>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(1)前期准备</w:t>
      </w:r>
    </w:p>
    <w:p>
      <w:pPr>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一是按照绩效评价工作要求，明确绩效评价的内容和范围，初步制定绩效评价工作方案。二是召开座谈会，对工作方案进行反复讨论并广泛征求相关部门和有关人员意见。三是对我院各预算项目单独进行打分自评，在资料搜集、信息核实、现场调研、访谈沟通等工作的基础上，得出绩效数据，准确计量和评判各项目实施后产生的经济效益、生态效益、社会效益和可持续影响，为最终形成评价结论奠定基础。</w:t>
      </w:r>
    </w:p>
    <w:p>
      <w:pPr>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(2)组织实施</w:t>
      </w:r>
    </w:p>
    <w:p>
      <w:pPr>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评价工作小组对项目绩效目标的相关佐证材料进行收集、梳理。第一，对相关资料进行查阅、核实、分析，确保所提供数据和资料真实、可靠。第二，将项目资料按照评价体系指标分类，形成资料清单。第三，逐一梳理各文件内容，对存在的问题予以说明。第四，与相关人员进行沟通，对照核实资料清单，确保项目资料完整性，保证项目资料、实施流程、存在的问题及重点信息同时展现。</w:t>
      </w:r>
    </w:p>
    <w:p>
      <w:pPr>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小组成员根据项目实际情况，建立绩效评价指标体系，并通过分析收集的数据、资料，对项目的实施进行评分，形成项目绩效评分表。</w:t>
      </w:r>
    </w:p>
    <w:p>
      <w:pPr>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(3)撰写绩效评价报告</w:t>
      </w:r>
    </w:p>
    <w:p>
      <w:pPr>
        <w:spacing w:line="560" w:lineRule="exact"/>
        <w:ind w:firstLine="640" w:firstLineChars="200"/>
        <w:rPr>
          <w:rFonts w:ascii="仿宋" w:hAnsi="仿宋" w:eastAsia="仿宋" w:cs="楷体_GB2312"/>
          <w:sz w:val="32"/>
          <w:szCs w:val="32"/>
        </w:rPr>
      </w:pPr>
      <w:r>
        <w:rPr>
          <w:rFonts w:hint="eastAsia" w:ascii="仿宋" w:hAnsi="仿宋" w:eastAsia="仿宋" w:cs="楷体_GB2312"/>
          <w:sz w:val="32"/>
          <w:szCs w:val="32"/>
        </w:rPr>
        <w:t>根据项目绩效评价结果，撰写绩效评价报告。</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1"/>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今年以来，在市院和县委的正确领导下，我院坚持以习近平新时代中国特色社会主义思想为指导，认真贯彻习近平法治思想</w:t>
      </w:r>
      <w:bookmarkStart w:id="1" w:name="_GoBack"/>
      <w:bookmarkEnd w:id="1"/>
      <w:r>
        <w:rPr>
          <w:rFonts w:hint="eastAsia" w:ascii="仿宋" w:hAnsi="仿宋" w:eastAsia="仿宋"/>
          <w:sz w:val="32"/>
          <w:szCs w:val="32"/>
        </w:rPr>
        <w:t>和习近平总书记视察河北重要讲话精神，充分发挥法律监督职能，自觉依法履行检察职能，实现各项检察工作全面协调发展。</w:t>
      </w:r>
    </w:p>
    <w:p>
      <w:pPr>
        <w:spacing w:line="560" w:lineRule="exact"/>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spacing w:line="560" w:lineRule="exact"/>
        <w:ind w:firstLine="800" w:firstLineChars="250"/>
        <w:rPr>
          <w:rFonts w:ascii="仿宋" w:hAnsi="仿宋" w:eastAsia="仿宋"/>
          <w:sz w:val="32"/>
          <w:szCs w:val="32"/>
        </w:rPr>
      </w:pPr>
      <w:r>
        <w:rPr>
          <w:rFonts w:hint="eastAsia" w:ascii="仿宋" w:hAnsi="仿宋" w:eastAsia="仿宋"/>
          <w:sz w:val="32"/>
          <w:szCs w:val="32"/>
        </w:rPr>
        <w:t>1.项目①支出自评综述：该项目涉密。</w:t>
      </w:r>
    </w:p>
    <w:p>
      <w:pPr>
        <w:spacing w:line="560" w:lineRule="exact"/>
        <w:ind w:firstLine="800" w:firstLineChars="250"/>
        <w:rPr>
          <w:rFonts w:ascii="仿宋" w:hAnsi="仿宋" w:eastAsia="仿宋"/>
          <w:sz w:val="32"/>
          <w:szCs w:val="32"/>
        </w:rPr>
      </w:pPr>
      <w:r>
        <w:rPr>
          <w:rFonts w:hint="eastAsia" w:ascii="仿宋" w:hAnsi="仿宋" w:eastAsia="仿宋"/>
          <w:sz w:val="32"/>
          <w:szCs w:val="32"/>
        </w:rPr>
        <w:t>2.</w:t>
      </w:r>
      <w:r>
        <w:rPr>
          <w:rFonts w:hint="eastAsia"/>
        </w:rPr>
        <w:t xml:space="preserve"> </w:t>
      </w:r>
      <w:r>
        <w:rPr>
          <w:rFonts w:hint="eastAsia" w:ascii="仿宋" w:hAnsi="仿宋" w:eastAsia="仿宋"/>
          <w:sz w:val="32"/>
          <w:szCs w:val="32"/>
        </w:rPr>
        <w:t>项目②支出自评综述：该项目涉密。</w:t>
      </w:r>
    </w:p>
    <w:p>
      <w:pPr>
        <w:spacing w:line="560" w:lineRule="exact"/>
        <w:ind w:firstLine="800" w:firstLineChars="250"/>
        <w:rPr>
          <w:rFonts w:ascii="仿宋" w:hAnsi="仿宋" w:eastAsia="仿宋"/>
          <w:sz w:val="32"/>
          <w:szCs w:val="32"/>
        </w:rPr>
      </w:pPr>
      <w:r>
        <w:rPr>
          <w:rFonts w:hint="eastAsia" w:ascii="仿宋" w:hAnsi="仿宋" w:eastAsia="仿宋"/>
          <w:sz w:val="32"/>
          <w:szCs w:val="32"/>
        </w:rPr>
        <w:t>3.</w:t>
      </w:r>
      <w:r>
        <w:rPr>
          <w:rFonts w:hint="eastAsia"/>
        </w:rPr>
        <w:t xml:space="preserve"> </w:t>
      </w:r>
      <w:r>
        <w:rPr>
          <w:rFonts w:hint="eastAsia" w:ascii="仿宋" w:hAnsi="仿宋" w:eastAsia="仿宋"/>
          <w:sz w:val="32"/>
          <w:szCs w:val="32"/>
        </w:rPr>
        <w:t>项目③支出自评综述：该项目涉密。</w:t>
      </w:r>
    </w:p>
    <w:p>
      <w:pPr>
        <w:spacing w:line="560" w:lineRule="exact"/>
        <w:ind w:firstLine="800" w:firstLineChars="250"/>
        <w:rPr>
          <w:rFonts w:ascii="仿宋" w:hAnsi="仿宋" w:eastAsia="仿宋"/>
          <w:sz w:val="32"/>
          <w:szCs w:val="32"/>
        </w:rPr>
      </w:pPr>
      <w:r>
        <w:rPr>
          <w:rFonts w:hint="eastAsia" w:ascii="仿宋" w:hAnsi="仿宋" w:eastAsia="仿宋"/>
          <w:sz w:val="32"/>
          <w:szCs w:val="32"/>
        </w:rPr>
        <w:t>4.</w:t>
      </w:r>
      <w:r>
        <w:rPr>
          <w:rFonts w:hint="eastAsia"/>
        </w:rPr>
        <w:t xml:space="preserve"> </w:t>
      </w:r>
      <w:r>
        <w:rPr>
          <w:rFonts w:hint="eastAsia" w:ascii="仿宋" w:hAnsi="仿宋" w:eastAsia="仿宋"/>
          <w:sz w:val="32"/>
          <w:szCs w:val="32"/>
        </w:rPr>
        <w:t>项目④支出自评综述：该项目涉密。</w:t>
      </w:r>
    </w:p>
    <w:p>
      <w:pPr>
        <w:spacing w:line="560" w:lineRule="exact"/>
        <w:ind w:firstLine="800" w:firstLineChars="250"/>
        <w:rPr>
          <w:rFonts w:ascii="仿宋" w:hAnsi="仿宋" w:eastAsia="仿宋"/>
          <w:sz w:val="32"/>
          <w:szCs w:val="32"/>
        </w:rPr>
      </w:pPr>
      <w:r>
        <w:rPr>
          <w:rFonts w:hint="eastAsia" w:ascii="仿宋" w:hAnsi="仿宋" w:eastAsia="仿宋"/>
          <w:sz w:val="32"/>
          <w:szCs w:val="32"/>
        </w:rPr>
        <w:t>5.</w:t>
      </w:r>
      <w:r>
        <w:rPr>
          <w:rFonts w:hint="eastAsia"/>
        </w:rPr>
        <w:t xml:space="preserve"> </w:t>
      </w:r>
      <w:r>
        <w:rPr>
          <w:rFonts w:hint="eastAsia" w:ascii="仿宋" w:hAnsi="仿宋" w:eastAsia="仿宋"/>
          <w:sz w:val="32"/>
          <w:szCs w:val="32"/>
        </w:rPr>
        <w:t>项目⑤支出自评综述：该项目涉密。</w:t>
      </w:r>
    </w:p>
    <w:p>
      <w:pPr>
        <w:spacing w:line="560" w:lineRule="exact"/>
        <w:ind w:firstLine="800" w:firstLineChars="250"/>
        <w:rPr>
          <w:rFonts w:ascii="仿宋" w:hAnsi="仿宋" w:eastAsia="仿宋"/>
          <w:sz w:val="32"/>
          <w:szCs w:val="32"/>
        </w:rPr>
      </w:pPr>
      <w:r>
        <w:rPr>
          <w:rFonts w:hint="eastAsia" w:ascii="仿宋" w:hAnsi="仿宋" w:eastAsia="仿宋"/>
          <w:sz w:val="32"/>
          <w:szCs w:val="32"/>
        </w:rPr>
        <w:t>6.</w:t>
      </w:r>
      <w:r>
        <w:rPr>
          <w:rFonts w:hint="eastAsia"/>
        </w:rPr>
        <w:t xml:space="preserve"> </w:t>
      </w:r>
      <w:r>
        <w:rPr>
          <w:rFonts w:hint="eastAsia" w:ascii="仿宋" w:hAnsi="仿宋" w:eastAsia="仿宋"/>
          <w:sz w:val="32"/>
          <w:szCs w:val="32"/>
        </w:rPr>
        <w:t>项目⑥支出自评综述：该项目涉密。</w:t>
      </w:r>
    </w:p>
    <w:p>
      <w:pPr>
        <w:spacing w:line="560" w:lineRule="exact"/>
        <w:ind w:firstLine="800" w:firstLineChars="250"/>
        <w:rPr>
          <w:rFonts w:ascii="仿宋" w:hAnsi="仿宋" w:eastAsia="仿宋"/>
          <w:sz w:val="32"/>
          <w:szCs w:val="32"/>
        </w:rPr>
      </w:pPr>
      <w:r>
        <w:rPr>
          <w:rFonts w:hint="eastAsia" w:ascii="仿宋" w:hAnsi="仿宋" w:eastAsia="仿宋"/>
          <w:sz w:val="32"/>
          <w:szCs w:val="32"/>
        </w:rPr>
        <w:t>7.</w:t>
      </w:r>
      <w:r>
        <w:rPr>
          <w:rFonts w:hint="eastAsia"/>
        </w:rPr>
        <w:t xml:space="preserve"> </w:t>
      </w:r>
      <w:r>
        <w:rPr>
          <w:rFonts w:hint="eastAsia" w:ascii="仿宋" w:hAnsi="仿宋" w:eastAsia="仿宋"/>
          <w:sz w:val="32"/>
          <w:szCs w:val="32"/>
        </w:rPr>
        <w:t>项目⑦支出自评综述：该项目涉密。</w:t>
      </w:r>
    </w:p>
    <w:p>
      <w:pPr>
        <w:spacing w:line="560" w:lineRule="exact"/>
        <w:ind w:firstLine="800" w:firstLineChars="250"/>
        <w:rPr>
          <w:rFonts w:ascii="仿宋" w:hAnsi="仿宋" w:eastAsia="仿宋"/>
          <w:sz w:val="32"/>
          <w:szCs w:val="32"/>
        </w:rPr>
      </w:pPr>
      <w:r>
        <w:rPr>
          <w:rFonts w:hint="eastAsia" w:ascii="仿宋" w:hAnsi="仿宋" w:eastAsia="仿宋"/>
          <w:sz w:val="32"/>
          <w:szCs w:val="32"/>
        </w:rPr>
        <w:t>8.</w:t>
      </w:r>
      <w:r>
        <w:rPr>
          <w:rFonts w:hint="eastAsia"/>
        </w:rPr>
        <w:t xml:space="preserve"> </w:t>
      </w:r>
      <w:r>
        <w:rPr>
          <w:rFonts w:hint="eastAsia" w:ascii="仿宋" w:hAnsi="仿宋" w:eastAsia="仿宋"/>
          <w:sz w:val="32"/>
          <w:szCs w:val="32"/>
        </w:rPr>
        <w:t>书记员经费支出自评综述：根据年初设定的绩效目标，项目支出自评得分为95分。全年预算数为94万元，执行数为92.58万元，项目绩效完成情况：优秀。发现的问题：书记员经费满足了书记员薪酬及各项社保费用，但书记员薪酬较低，没有长期增长机制造成人员流失。下一步改进措施：向上级及有关部门反映申请增加书记员薪酬，加入薪酬增长机制，保障书记员履职。</w:t>
      </w:r>
    </w:p>
    <w:p>
      <w:pPr>
        <w:spacing w:line="360" w:lineRule="auto"/>
        <w:ind w:firstLine="800" w:firstLineChars="250"/>
        <w:rPr>
          <w:rFonts w:ascii="仿宋" w:hAnsi="仿宋" w:eastAsia="仿宋"/>
          <w:sz w:val="32"/>
          <w:szCs w:val="32"/>
        </w:rPr>
      </w:pPr>
      <w:r>
        <w:rPr>
          <w:rFonts w:ascii="仿宋" w:hAnsi="仿宋" w:eastAsia="仿宋"/>
          <w:sz w:val="32"/>
          <w:szCs w:val="32"/>
        </w:rPr>
        <w:pict>
          <v:shape id="_x0000_i1025" o:spt="75" type="#_x0000_t75" style="height:455.5pt;width:432pt;" filled="f" o:preferrelative="t" stroked="f" coordsize="21600,21600">
            <v:path/>
            <v:fill on="f" focussize="0,0"/>
            <v:stroke on="f" joinstyle="miter"/>
            <v:imagedata r:id="rId5" o:title=""/>
            <o:lock v:ext="edit" aspectratio="t"/>
            <w10:wrap type="none"/>
            <w10:anchorlock/>
          </v:shape>
        </w:pict>
      </w:r>
    </w:p>
    <w:p>
      <w:pPr>
        <w:spacing w:line="560" w:lineRule="exact"/>
        <w:rPr>
          <w:rFonts w:ascii="仿宋" w:hAnsi="仿宋" w:eastAsia="仿宋"/>
          <w:sz w:val="32"/>
          <w:szCs w:val="32"/>
        </w:rPr>
      </w:pPr>
    </w:p>
    <w:p>
      <w:pPr>
        <w:spacing w:line="560" w:lineRule="exact"/>
        <w:ind w:firstLine="800" w:firstLineChars="250"/>
        <w:rPr>
          <w:rFonts w:ascii="仿宋" w:hAnsi="仿宋" w:eastAsia="仿宋"/>
          <w:sz w:val="32"/>
          <w:szCs w:val="32"/>
        </w:rPr>
      </w:pPr>
      <w:r>
        <w:rPr>
          <w:rFonts w:hint="eastAsia" w:ascii="仿宋" w:hAnsi="仿宋" w:eastAsia="仿宋"/>
          <w:sz w:val="32"/>
          <w:szCs w:val="32"/>
        </w:rPr>
        <w:t>9.</w:t>
      </w:r>
      <w:r>
        <w:rPr>
          <w:rFonts w:hint="eastAsia"/>
        </w:rPr>
        <w:t xml:space="preserve"> </w:t>
      </w:r>
      <w:r>
        <w:rPr>
          <w:rFonts w:hint="eastAsia" w:ascii="仿宋" w:hAnsi="仿宋" w:eastAsia="仿宋"/>
          <w:sz w:val="32"/>
          <w:szCs w:val="32"/>
        </w:rPr>
        <w:t>2023年扫黑除恶专项补助经费支出自评综述：根据年初设定的绩效目标，项目支出自评得分为99分。全年预算数为4万元，执行数为4万元，项目绩效完成情况：优秀。办理案件所需经费开支能够及时保障，持续保障了检察机关检察监督职能的实施，打击了犯罪，维护了社会稳定。</w:t>
      </w:r>
    </w:p>
    <w:p>
      <w:pPr>
        <w:spacing w:line="360" w:lineRule="auto"/>
        <w:ind w:firstLine="800" w:firstLineChars="250"/>
        <w:rPr>
          <w:rFonts w:ascii="仿宋" w:hAnsi="仿宋" w:eastAsia="仿宋"/>
          <w:sz w:val="32"/>
          <w:szCs w:val="32"/>
        </w:rPr>
      </w:pPr>
      <w:r>
        <w:rPr>
          <w:rFonts w:ascii="仿宋" w:hAnsi="仿宋" w:eastAsia="仿宋"/>
          <w:sz w:val="32"/>
          <w:szCs w:val="32"/>
        </w:rPr>
        <w:pict>
          <v:shape id="_x0000_i1026" o:spt="75" type="#_x0000_t75" style="height:395.75pt;width:432pt;" filled="f" o:preferrelative="t" stroked="f" coordsize="21600,21600">
            <v:path/>
            <v:fill on="f" focussize="0,0"/>
            <v:stroke on="f" joinstyle="miter"/>
            <v:imagedata r:id="rId6" o:title=""/>
            <o:lock v:ext="edit" aspectratio="t"/>
            <w10:wrap type="none"/>
            <w10:anchorlock/>
          </v:shape>
        </w:pict>
      </w:r>
    </w:p>
    <w:p>
      <w:pPr>
        <w:spacing w:line="560" w:lineRule="exact"/>
        <w:ind w:firstLine="800" w:firstLineChars="250"/>
        <w:rPr>
          <w:rFonts w:ascii="仿宋" w:hAnsi="仿宋" w:eastAsia="仿宋"/>
          <w:sz w:val="32"/>
          <w:szCs w:val="32"/>
        </w:rPr>
      </w:pPr>
      <w:r>
        <w:rPr>
          <w:rFonts w:hint="eastAsia" w:ascii="仿宋" w:hAnsi="仿宋" w:eastAsia="仿宋"/>
          <w:sz w:val="32"/>
          <w:szCs w:val="32"/>
        </w:rPr>
        <w:t>10.专项项目支出自评综述：根据年初设定的绩效目标，项目支出自评得分为0分，全年预算数为11万元，执行数为0元，该资金为2023年初上划时确定的书记员经费基数105万元，后经过沟通，削减11万元，重新确定书记员经费为94万元，该专项项目为当时预算沟通时削减金额，资金未下达，不能使用。</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2023年我院积极履职，通过加强预算收支管理，不断梳理内部管理流程，建立健全内部管理制度，部门整体支出管理水平得到提升。经自评，1个项目由于为预算细化时削减项目，评分为0，其他9个项目自评得分均在90分以上，2023年我院较好的完成了年度工作目标，综合评价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（一）存在的主要问题</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从自评情况看，我院项目总体立项比较规范，绩效目标明确，预算编制较为合理，预算执行及时，有效，资金及时到位，各项管理制度健全并且能有效执行，绩效目标得到较好实现，部门履职水平不断提高，但也存在部分项目指标低于预期问题。</w:t>
      </w:r>
    </w:p>
    <w:p>
      <w:pPr>
        <w:spacing w:line="560" w:lineRule="exact"/>
        <w:ind w:left="630"/>
        <w:rPr>
          <w:rFonts w:ascii="仿宋" w:hAnsi="仿宋" w:eastAsia="仿宋"/>
          <w:sz w:val="32"/>
          <w:szCs w:val="32"/>
        </w:rPr>
      </w:pPr>
      <w:r>
        <w:rPr>
          <w:rFonts w:hint="eastAsia" w:ascii="仿宋" w:hAnsi="仿宋" w:eastAsia="仿宋"/>
          <w:sz w:val="32"/>
          <w:szCs w:val="32"/>
        </w:rPr>
        <w:t>（二）针对问题提出具体的改进措施或建议</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1.强化绩效目标管理工作。充分挖掘项目实施的价值和意义，根据项目实际情况设置完善的绩效目标，做到绩效目标针对项目特点清晰明确且细化，有量化的绩效指标且能清晰反映绩效可实现程度，绩效目标依据充分。做好绩效监控管理工作，建立监控制度，确保绩效目标如期实现。</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2.多措并举提升预算执行率。为提高预算执行率，我院应提前谋划制定较为详细的资金使用明细和计划，以提升预算执行率。</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4"/>
        <w:tblW w:w="6737" w:type="dxa"/>
        <w:tblInd w:w="327" w:type="dxa"/>
        <w:tblLayout w:type="autofit"/>
        <w:tblCellMar>
          <w:top w:w="0" w:type="dxa"/>
          <w:left w:w="0" w:type="dxa"/>
          <w:bottom w:w="0" w:type="dxa"/>
          <w:right w:w="0" w:type="dxa"/>
        </w:tblCellMar>
      </w:tblPr>
      <w:tblGrid>
        <w:gridCol w:w="1384"/>
        <w:gridCol w:w="2875"/>
        <w:gridCol w:w="2478"/>
      </w:tblGrid>
      <w:tr>
        <w:tblPrEx>
          <w:tblCellMar>
            <w:top w:w="0" w:type="dxa"/>
            <w:left w:w="0" w:type="dxa"/>
            <w:bottom w:w="0" w:type="dxa"/>
            <w:right w:w="0" w:type="dxa"/>
          </w:tblCellMar>
        </w:tblPrEx>
        <w:tc>
          <w:tcPr>
            <w:tcW w:w="138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pPr>
              <w:spacing w:line="560" w:lineRule="exact"/>
              <w:rPr>
                <w:rFonts w:ascii="仿宋" w:hAnsi="仿宋" w:eastAsia="仿宋"/>
                <w:sz w:val="32"/>
                <w:szCs w:val="32"/>
              </w:rPr>
            </w:pPr>
            <w:r>
              <w:rPr>
                <w:rFonts w:hint="eastAsia" w:ascii="仿宋" w:hAnsi="仿宋" w:eastAsia="仿宋"/>
                <w:sz w:val="32"/>
                <w:szCs w:val="32"/>
              </w:rPr>
              <w:t>姓名</w:t>
            </w:r>
          </w:p>
        </w:tc>
        <w:tc>
          <w:tcPr>
            <w:tcW w:w="2875" w:type="dxa"/>
            <w:tcBorders>
              <w:top w:val="single" w:color="auto" w:sz="8" w:space="0"/>
              <w:left w:val="nil"/>
              <w:bottom w:val="single" w:color="auto" w:sz="8" w:space="0"/>
              <w:right w:val="single" w:color="auto" w:sz="8" w:space="0"/>
            </w:tcBorders>
            <w:tcMar>
              <w:top w:w="0" w:type="dxa"/>
              <w:left w:w="108" w:type="dxa"/>
              <w:bottom w:w="0" w:type="dxa"/>
              <w:right w:w="108" w:type="dxa"/>
            </w:tcMar>
          </w:tcPr>
          <w:p>
            <w:pPr>
              <w:spacing w:line="560" w:lineRule="exact"/>
              <w:ind w:firstLine="640" w:firstLineChars="200"/>
              <w:rPr>
                <w:rFonts w:ascii="仿宋" w:hAnsi="仿宋" w:eastAsia="仿宋"/>
                <w:sz w:val="32"/>
                <w:szCs w:val="32"/>
              </w:rPr>
            </w:pPr>
            <w:r>
              <w:rPr>
                <w:rFonts w:hint="eastAsia" w:ascii="仿宋" w:hAnsi="仿宋" w:eastAsia="仿宋"/>
                <w:sz w:val="32"/>
                <w:szCs w:val="32"/>
              </w:rPr>
              <w:t>工作单位</w:t>
            </w:r>
          </w:p>
        </w:tc>
        <w:tc>
          <w:tcPr>
            <w:tcW w:w="2478" w:type="dxa"/>
            <w:tcBorders>
              <w:top w:val="single" w:color="auto" w:sz="8" w:space="0"/>
              <w:left w:val="nil"/>
              <w:bottom w:val="single" w:color="auto" w:sz="8" w:space="0"/>
              <w:right w:val="single" w:color="auto" w:sz="8" w:space="0"/>
            </w:tcBorders>
            <w:tcMar>
              <w:top w:w="0" w:type="dxa"/>
              <w:left w:w="108" w:type="dxa"/>
              <w:bottom w:w="0" w:type="dxa"/>
              <w:right w:w="108" w:type="dxa"/>
            </w:tcMar>
          </w:tcPr>
          <w:p>
            <w:pPr>
              <w:spacing w:line="560" w:lineRule="exact"/>
              <w:ind w:firstLine="640" w:firstLineChars="200"/>
              <w:rPr>
                <w:rFonts w:ascii="仿宋" w:hAnsi="仿宋" w:eastAsia="仿宋"/>
                <w:sz w:val="32"/>
                <w:szCs w:val="32"/>
              </w:rPr>
            </w:pPr>
            <w:r>
              <w:rPr>
                <w:rFonts w:hint="eastAsia" w:ascii="仿宋" w:hAnsi="仿宋" w:eastAsia="仿宋"/>
                <w:sz w:val="32"/>
                <w:szCs w:val="32"/>
              </w:rPr>
              <w:t>职务</w:t>
            </w:r>
          </w:p>
        </w:tc>
      </w:tr>
      <w:tr>
        <w:tblPrEx>
          <w:tblCellMar>
            <w:top w:w="0" w:type="dxa"/>
            <w:left w:w="0" w:type="dxa"/>
            <w:bottom w:w="0" w:type="dxa"/>
            <w:right w:w="0" w:type="dxa"/>
          </w:tblCellMar>
        </w:tblPrEx>
        <w:tc>
          <w:tcPr>
            <w:tcW w:w="1384" w:type="dxa"/>
            <w:tcBorders>
              <w:top w:val="nil"/>
              <w:left w:val="single" w:color="auto" w:sz="8" w:space="0"/>
              <w:bottom w:val="single" w:color="auto" w:sz="8" w:space="0"/>
              <w:right w:val="single" w:color="auto" w:sz="8" w:space="0"/>
            </w:tcBorders>
            <w:tcMar>
              <w:top w:w="0" w:type="dxa"/>
              <w:left w:w="108" w:type="dxa"/>
              <w:bottom w:w="0" w:type="dxa"/>
              <w:right w:w="108" w:type="dxa"/>
            </w:tcMar>
          </w:tcPr>
          <w:p>
            <w:pPr>
              <w:spacing w:line="560" w:lineRule="exact"/>
              <w:rPr>
                <w:rFonts w:ascii="仿宋" w:hAnsi="仿宋" w:eastAsia="仿宋"/>
                <w:sz w:val="32"/>
                <w:szCs w:val="32"/>
              </w:rPr>
            </w:pPr>
            <w:r>
              <w:rPr>
                <w:rFonts w:hint="eastAsia" w:ascii="仿宋" w:hAnsi="仿宋" w:eastAsia="仿宋"/>
                <w:sz w:val="32"/>
                <w:szCs w:val="32"/>
              </w:rPr>
              <w:t>马海明</w:t>
            </w:r>
          </w:p>
        </w:tc>
        <w:tc>
          <w:tcPr>
            <w:tcW w:w="2875" w:type="dxa"/>
            <w:tcBorders>
              <w:top w:val="nil"/>
              <w:left w:val="nil"/>
              <w:bottom w:val="single" w:color="auto" w:sz="8" w:space="0"/>
              <w:right w:val="single" w:color="auto" w:sz="8" w:space="0"/>
            </w:tcBorders>
            <w:tcMar>
              <w:top w:w="0" w:type="dxa"/>
              <w:left w:w="108" w:type="dxa"/>
              <w:bottom w:w="0" w:type="dxa"/>
              <w:right w:w="108" w:type="dxa"/>
            </w:tcMar>
          </w:tcPr>
          <w:p>
            <w:pPr>
              <w:spacing w:line="560" w:lineRule="exact"/>
              <w:rPr>
                <w:rFonts w:ascii="仿宋" w:hAnsi="仿宋" w:eastAsia="仿宋"/>
                <w:sz w:val="32"/>
                <w:szCs w:val="32"/>
              </w:rPr>
            </w:pPr>
            <w:r>
              <w:rPr>
                <w:rFonts w:hint="eastAsia" w:ascii="仿宋" w:hAnsi="仿宋" w:eastAsia="仿宋"/>
                <w:sz w:val="32"/>
                <w:szCs w:val="32"/>
              </w:rPr>
              <w:t>井陉县人民检察院</w:t>
            </w:r>
          </w:p>
        </w:tc>
        <w:tc>
          <w:tcPr>
            <w:tcW w:w="2478" w:type="dxa"/>
            <w:tcBorders>
              <w:top w:val="nil"/>
              <w:left w:val="nil"/>
              <w:bottom w:val="single" w:color="auto" w:sz="8" w:space="0"/>
              <w:right w:val="single" w:color="auto" w:sz="8" w:space="0"/>
            </w:tcBorders>
            <w:tcMar>
              <w:top w:w="0" w:type="dxa"/>
              <w:left w:w="108" w:type="dxa"/>
              <w:bottom w:w="0" w:type="dxa"/>
              <w:right w:w="108" w:type="dxa"/>
            </w:tcMar>
          </w:tcPr>
          <w:p>
            <w:pPr>
              <w:spacing w:line="560" w:lineRule="exact"/>
              <w:rPr>
                <w:rFonts w:ascii="仿宋" w:hAnsi="仿宋" w:eastAsia="仿宋"/>
                <w:sz w:val="32"/>
                <w:szCs w:val="32"/>
              </w:rPr>
            </w:pPr>
            <w:r>
              <w:rPr>
                <w:rFonts w:hint="eastAsia" w:ascii="仿宋" w:hAnsi="仿宋" w:eastAsia="仿宋"/>
                <w:sz w:val="32"/>
                <w:szCs w:val="32"/>
              </w:rPr>
              <w:t>副检察长</w:t>
            </w:r>
          </w:p>
        </w:tc>
      </w:tr>
      <w:tr>
        <w:tblPrEx>
          <w:tblCellMar>
            <w:top w:w="0" w:type="dxa"/>
            <w:left w:w="0" w:type="dxa"/>
            <w:bottom w:w="0" w:type="dxa"/>
            <w:right w:w="0" w:type="dxa"/>
          </w:tblCellMar>
        </w:tblPrEx>
        <w:tc>
          <w:tcPr>
            <w:tcW w:w="1384" w:type="dxa"/>
            <w:tcBorders>
              <w:top w:val="nil"/>
              <w:left w:val="single" w:color="auto" w:sz="8" w:space="0"/>
              <w:bottom w:val="single" w:color="auto" w:sz="8" w:space="0"/>
              <w:right w:val="single" w:color="auto" w:sz="8" w:space="0"/>
            </w:tcBorders>
            <w:tcMar>
              <w:top w:w="0" w:type="dxa"/>
              <w:left w:w="108" w:type="dxa"/>
              <w:bottom w:w="0" w:type="dxa"/>
              <w:right w:w="108" w:type="dxa"/>
            </w:tcMar>
          </w:tcPr>
          <w:p>
            <w:pPr>
              <w:spacing w:line="560" w:lineRule="exact"/>
              <w:rPr>
                <w:rFonts w:ascii="仿宋" w:hAnsi="仿宋" w:eastAsia="仿宋"/>
                <w:sz w:val="32"/>
                <w:szCs w:val="32"/>
              </w:rPr>
            </w:pPr>
            <w:r>
              <w:rPr>
                <w:rFonts w:hint="eastAsia" w:ascii="仿宋" w:hAnsi="仿宋" w:eastAsia="仿宋"/>
                <w:sz w:val="32"/>
                <w:szCs w:val="32"/>
              </w:rPr>
              <w:t>王慧</w:t>
            </w:r>
          </w:p>
        </w:tc>
        <w:tc>
          <w:tcPr>
            <w:tcW w:w="2875" w:type="dxa"/>
            <w:tcBorders>
              <w:top w:val="nil"/>
              <w:left w:val="nil"/>
              <w:bottom w:val="single" w:color="auto" w:sz="8" w:space="0"/>
              <w:right w:val="single" w:color="auto" w:sz="8" w:space="0"/>
            </w:tcBorders>
            <w:tcMar>
              <w:top w:w="0" w:type="dxa"/>
              <w:left w:w="108" w:type="dxa"/>
              <w:bottom w:w="0" w:type="dxa"/>
              <w:right w:w="108" w:type="dxa"/>
            </w:tcMar>
          </w:tcPr>
          <w:p>
            <w:pPr>
              <w:spacing w:line="560" w:lineRule="exact"/>
              <w:rPr>
                <w:rFonts w:ascii="仿宋" w:hAnsi="仿宋" w:eastAsia="仿宋"/>
                <w:sz w:val="32"/>
                <w:szCs w:val="32"/>
              </w:rPr>
            </w:pPr>
            <w:r>
              <w:rPr>
                <w:rFonts w:hint="eastAsia" w:ascii="仿宋" w:hAnsi="仿宋" w:eastAsia="仿宋"/>
                <w:sz w:val="32"/>
                <w:szCs w:val="32"/>
              </w:rPr>
              <w:t>井陉县人民检察院</w:t>
            </w:r>
          </w:p>
        </w:tc>
        <w:tc>
          <w:tcPr>
            <w:tcW w:w="2478" w:type="dxa"/>
            <w:tcBorders>
              <w:top w:val="nil"/>
              <w:left w:val="nil"/>
              <w:bottom w:val="single" w:color="auto" w:sz="8" w:space="0"/>
              <w:right w:val="single" w:color="auto" w:sz="8" w:space="0"/>
            </w:tcBorders>
            <w:tcMar>
              <w:top w:w="0" w:type="dxa"/>
              <w:left w:w="108" w:type="dxa"/>
              <w:bottom w:w="0" w:type="dxa"/>
              <w:right w:w="108" w:type="dxa"/>
            </w:tcMar>
          </w:tcPr>
          <w:p>
            <w:pPr>
              <w:spacing w:line="560" w:lineRule="exact"/>
              <w:rPr>
                <w:rFonts w:ascii="仿宋" w:hAnsi="仿宋" w:eastAsia="仿宋"/>
                <w:sz w:val="32"/>
                <w:szCs w:val="32"/>
              </w:rPr>
            </w:pPr>
            <w:r>
              <w:rPr>
                <w:rFonts w:hint="eastAsia" w:ascii="仿宋" w:hAnsi="仿宋" w:eastAsia="仿宋"/>
                <w:sz w:val="32"/>
                <w:szCs w:val="32"/>
              </w:rPr>
              <w:t>办公室主任</w:t>
            </w:r>
          </w:p>
        </w:tc>
      </w:tr>
      <w:tr>
        <w:tblPrEx>
          <w:tblCellMar>
            <w:top w:w="0" w:type="dxa"/>
            <w:left w:w="0" w:type="dxa"/>
            <w:bottom w:w="0" w:type="dxa"/>
            <w:right w:w="0" w:type="dxa"/>
          </w:tblCellMar>
        </w:tblPrEx>
        <w:tc>
          <w:tcPr>
            <w:tcW w:w="138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pPr>
              <w:spacing w:line="560" w:lineRule="exact"/>
              <w:rPr>
                <w:rFonts w:ascii="仿宋" w:hAnsi="仿宋" w:eastAsia="仿宋"/>
                <w:sz w:val="32"/>
                <w:szCs w:val="32"/>
              </w:rPr>
            </w:pPr>
            <w:r>
              <w:rPr>
                <w:rFonts w:hint="eastAsia" w:ascii="仿宋" w:hAnsi="仿宋" w:eastAsia="仿宋"/>
                <w:sz w:val="32"/>
                <w:szCs w:val="32"/>
              </w:rPr>
              <w:t>刘增亮</w:t>
            </w:r>
          </w:p>
        </w:tc>
        <w:tc>
          <w:tcPr>
            <w:tcW w:w="2875" w:type="dxa"/>
            <w:tcBorders>
              <w:top w:val="single" w:color="auto" w:sz="8" w:space="0"/>
              <w:left w:val="nil"/>
              <w:bottom w:val="single" w:color="auto" w:sz="8" w:space="0"/>
              <w:right w:val="single" w:color="auto" w:sz="8" w:space="0"/>
            </w:tcBorders>
            <w:tcMar>
              <w:top w:w="0" w:type="dxa"/>
              <w:left w:w="108" w:type="dxa"/>
              <w:bottom w:w="0" w:type="dxa"/>
              <w:right w:w="108" w:type="dxa"/>
            </w:tcMar>
          </w:tcPr>
          <w:p>
            <w:pPr>
              <w:spacing w:line="560" w:lineRule="exact"/>
              <w:rPr>
                <w:rFonts w:ascii="仿宋" w:hAnsi="仿宋" w:eastAsia="仿宋"/>
                <w:sz w:val="32"/>
                <w:szCs w:val="32"/>
              </w:rPr>
            </w:pPr>
            <w:r>
              <w:rPr>
                <w:rFonts w:hint="eastAsia" w:ascii="仿宋" w:hAnsi="仿宋" w:eastAsia="仿宋"/>
                <w:sz w:val="32"/>
                <w:szCs w:val="32"/>
              </w:rPr>
              <w:t>井陉县人民检察院</w:t>
            </w:r>
          </w:p>
        </w:tc>
        <w:tc>
          <w:tcPr>
            <w:tcW w:w="2478" w:type="dxa"/>
            <w:tcBorders>
              <w:top w:val="single" w:color="auto" w:sz="8" w:space="0"/>
              <w:left w:val="nil"/>
              <w:bottom w:val="single" w:color="auto" w:sz="8" w:space="0"/>
              <w:right w:val="single" w:color="auto" w:sz="8" w:space="0"/>
            </w:tcBorders>
            <w:tcMar>
              <w:top w:w="0" w:type="dxa"/>
              <w:left w:w="108" w:type="dxa"/>
              <w:bottom w:w="0" w:type="dxa"/>
              <w:right w:w="108" w:type="dxa"/>
            </w:tcMar>
          </w:tcPr>
          <w:p>
            <w:pPr>
              <w:spacing w:line="560" w:lineRule="exact"/>
              <w:rPr>
                <w:rFonts w:ascii="仿宋" w:hAnsi="仿宋" w:eastAsia="仿宋"/>
                <w:sz w:val="32"/>
                <w:szCs w:val="32"/>
              </w:rPr>
            </w:pPr>
            <w:r>
              <w:rPr>
                <w:rFonts w:hint="eastAsia" w:ascii="仿宋" w:hAnsi="仿宋" w:eastAsia="仿宋"/>
                <w:sz w:val="32"/>
                <w:szCs w:val="32"/>
              </w:rPr>
              <w:t>干警</w:t>
            </w:r>
          </w:p>
        </w:tc>
      </w:tr>
      <w:tr>
        <w:tblPrEx>
          <w:tblCellMar>
            <w:top w:w="0" w:type="dxa"/>
            <w:left w:w="0" w:type="dxa"/>
            <w:bottom w:w="0" w:type="dxa"/>
            <w:right w:w="0" w:type="dxa"/>
          </w:tblCellMar>
        </w:tblPrEx>
        <w:tc>
          <w:tcPr>
            <w:tcW w:w="138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pPr>
              <w:spacing w:line="560" w:lineRule="exact"/>
              <w:rPr>
                <w:rFonts w:ascii="仿宋" w:hAnsi="仿宋" w:eastAsia="仿宋"/>
                <w:sz w:val="32"/>
                <w:szCs w:val="32"/>
              </w:rPr>
            </w:pPr>
            <w:r>
              <w:rPr>
                <w:rFonts w:hint="eastAsia" w:ascii="仿宋" w:hAnsi="仿宋" w:eastAsia="仿宋"/>
                <w:sz w:val="32"/>
                <w:szCs w:val="32"/>
              </w:rPr>
              <w:t>宋馨怡</w:t>
            </w:r>
          </w:p>
        </w:tc>
        <w:tc>
          <w:tcPr>
            <w:tcW w:w="2875" w:type="dxa"/>
            <w:tcBorders>
              <w:top w:val="single" w:color="auto" w:sz="8" w:space="0"/>
              <w:left w:val="nil"/>
              <w:bottom w:val="single" w:color="auto" w:sz="8" w:space="0"/>
              <w:right w:val="single" w:color="auto" w:sz="8" w:space="0"/>
            </w:tcBorders>
            <w:tcMar>
              <w:top w:w="0" w:type="dxa"/>
              <w:left w:w="108" w:type="dxa"/>
              <w:bottom w:w="0" w:type="dxa"/>
              <w:right w:w="108" w:type="dxa"/>
            </w:tcMar>
          </w:tcPr>
          <w:p>
            <w:pPr>
              <w:spacing w:line="560" w:lineRule="exact"/>
              <w:rPr>
                <w:rFonts w:ascii="仿宋" w:hAnsi="仿宋" w:eastAsia="仿宋"/>
                <w:sz w:val="32"/>
                <w:szCs w:val="32"/>
              </w:rPr>
            </w:pPr>
            <w:r>
              <w:rPr>
                <w:rFonts w:hint="eastAsia" w:ascii="仿宋" w:hAnsi="仿宋" w:eastAsia="仿宋"/>
                <w:sz w:val="32"/>
                <w:szCs w:val="32"/>
              </w:rPr>
              <w:t>井陉县人民检察院</w:t>
            </w:r>
          </w:p>
        </w:tc>
        <w:tc>
          <w:tcPr>
            <w:tcW w:w="2478" w:type="dxa"/>
            <w:tcBorders>
              <w:top w:val="single" w:color="auto" w:sz="8" w:space="0"/>
              <w:left w:val="nil"/>
              <w:bottom w:val="single" w:color="auto" w:sz="8" w:space="0"/>
              <w:right w:val="single" w:color="auto" w:sz="8" w:space="0"/>
            </w:tcBorders>
            <w:tcMar>
              <w:top w:w="0" w:type="dxa"/>
              <w:left w:w="108" w:type="dxa"/>
              <w:bottom w:w="0" w:type="dxa"/>
              <w:right w:w="108" w:type="dxa"/>
            </w:tcMar>
          </w:tcPr>
          <w:p>
            <w:pPr>
              <w:spacing w:line="560" w:lineRule="exact"/>
              <w:rPr>
                <w:rFonts w:ascii="仿宋" w:hAnsi="仿宋" w:eastAsia="仿宋"/>
                <w:sz w:val="32"/>
                <w:szCs w:val="32"/>
              </w:rPr>
            </w:pPr>
            <w:r>
              <w:rPr>
                <w:rFonts w:hint="eastAsia" w:ascii="仿宋" w:hAnsi="仿宋" w:eastAsia="仿宋"/>
                <w:sz w:val="32"/>
                <w:szCs w:val="32"/>
              </w:rPr>
              <w:t>书记员</w:t>
            </w:r>
          </w:p>
        </w:tc>
      </w:tr>
    </w:tbl>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86"/>
    <w:family w:val="script"/>
    <w:pitch w:val="default"/>
    <w:sig w:usb0="00000000" w:usb1="00000000" w:usb2="0000001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- 10 -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DE1OWZjMDhiYWIxOWYwMWE5ZjljMzIwYTZkZWNjN2MifQ=="/>
    <w:docVar w:name="KSO_WPS_MARK_KEY" w:val="184f1dd4-b24e-44c0-9fcf-2dc21c4e9962"/>
  </w:docVars>
  <w:rsids>
    <w:rsidRoot w:val="0EBD2122"/>
    <w:rsid w:val="0001365F"/>
    <w:rsid w:val="000B0260"/>
    <w:rsid w:val="00122824"/>
    <w:rsid w:val="00130961"/>
    <w:rsid w:val="001B12A7"/>
    <w:rsid w:val="001F54D2"/>
    <w:rsid w:val="00221789"/>
    <w:rsid w:val="00276C4D"/>
    <w:rsid w:val="002A13F2"/>
    <w:rsid w:val="002B27E3"/>
    <w:rsid w:val="00317C20"/>
    <w:rsid w:val="00322250"/>
    <w:rsid w:val="0039492D"/>
    <w:rsid w:val="003D7523"/>
    <w:rsid w:val="003F1F5D"/>
    <w:rsid w:val="00416893"/>
    <w:rsid w:val="00447366"/>
    <w:rsid w:val="00451757"/>
    <w:rsid w:val="00451853"/>
    <w:rsid w:val="00451C59"/>
    <w:rsid w:val="004900EF"/>
    <w:rsid w:val="004D2079"/>
    <w:rsid w:val="004D5E9F"/>
    <w:rsid w:val="0050699E"/>
    <w:rsid w:val="0051076C"/>
    <w:rsid w:val="00561549"/>
    <w:rsid w:val="00571B20"/>
    <w:rsid w:val="00582957"/>
    <w:rsid w:val="00592942"/>
    <w:rsid w:val="005A0EE0"/>
    <w:rsid w:val="005A162C"/>
    <w:rsid w:val="005A5168"/>
    <w:rsid w:val="005B19A9"/>
    <w:rsid w:val="005E6D7C"/>
    <w:rsid w:val="00623687"/>
    <w:rsid w:val="006705CE"/>
    <w:rsid w:val="00696942"/>
    <w:rsid w:val="006B22A5"/>
    <w:rsid w:val="006E634E"/>
    <w:rsid w:val="00725B0F"/>
    <w:rsid w:val="007413FF"/>
    <w:rsid w:val="007418EF"/>
    <w:rsid w:val="00745FE0"/>
    <w:rsid w:val="0078597A"/>
    <w:rsid w:val="007D1009"/>
    <w:rsid w:val="007E6C1F"/>
    <w:rsid w:val="00843729"/>
    <w:rsid w:val="00867347"/>
    <w:rsid w:val="008921B8"/>
    <w:rsid w:val="00915922"/>
    <w:rsid w:val="00956A93"/>
    <w:rsid w:val="00960B45"/>
    <w:rsid w:val="009B7878"/>
    <w:rsid w:val="009C4B97"/>
    <w:rsid w:val="009E575C"/>
    <w:rsid w:val="00A00FA6"/>
    <w:rsid w:val="00A57217"/>
    <w:rsid w:val="00AC6556"/>
    <w:rsid w:val="00AC7B6D"/>
    <w:rsid w:val="00AD12AB"/>
    <w:rsid w:val="00AE5227"/>
    <w:rsid w:val="00AF167E"/>
    <w:rsid w:val="00AF566A"/>
    <w:rsid w:val="00B07BEC"/>
    <w:rsid w:val="00B10EB8"/>
    <w:rsid w:val="00B266FE"/>
    <w:rsid w:val="00B478EA"/>
    <w:rsid w:val="00B6553A"/>
    <w:rsid w:val="00BA0B58"/>
    <w:rsid w:val="00BC6576"/>
    <w:rsid w:val="00BD1253"/>
    <w:rsid w:val="00C04905"/>
    <w:rsid w:val="00C10047"/>
    <w:rsid w:val="00C167C1"/>
    <w:rsid w:val="00C64286"/>
    <w:rsid w:val="00C7780F"/>
    <w:rsid w:val="00C95FFF"/>
    <w:rsid w:val="00CB231C"/>
    <w:rsid w:val="00CE06BA"/>
    <w:rsid w:val="00D04345"/>
    <w:rsid w:val="00E065DB"/>
    <w:rsid w:val="00EC7DEB"/>
    <w:rsid w:val="00F21FA0"/>
    <w:rsid w:val="00F441CC"/>
    <w:rsid w:val="00F55B6C"/>
    <w:rsid w:val="00F65D4E"/>
    <w:rsid w:val="00FC39C8"/>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EB6CFF"/>
    <w:rsid w:val="35A12947"/>
    <w:rsid w:val="37387040"/>
    <w:rsid w:val="3B625C0A"/>
    <w:rsid w:val="3CEE1963"/>
    <w:rsid w:val="436B78D3"/>
    <w:rsid w:val="4C9C27FE"/>
    <w:rsid w:val="512260B4"/>
    <w:rsid w:val="52BD6ACB"/>
    <w:rsid w:val="55537534"/>
    <w:rsid w:val="561A74F1"/>
    <w:rsid w:val="597244E8"/>
    <w:rsid w:val="5EB71C30"/>
    <w:rsid w:val="66AF0CE5"/>
    <w:rsid w:val="6AC537CF"/>
    <w:rsid w:val="6E5B14A6"/>
    <w:rsid w:val="6FBC62E0"/>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总体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7">
    <w:name w:val="插入文本样式-插入职责分类绩效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emf"/><Relationship Id="rId5" Type="http://schemas.openxmlformats.org/officeDocument/2006/relationships/image" Target="media/image1.emf"/><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BD7C97E-089D-4CC6-82D3-02AE0D04D36C}">
  <ds:schemaRefs/>
</ds:datastoreItem>
</file>

<file path=docProps/app.xml><?xml version="1.0" encoding="utf-8"?>
<Properties xmlns="http://schemas.openxmlformats.org/officeDocument/2006/extended-properties" xmlns:vt="http://schemas.openxmlformats.org/officeDocument/2006/docPropsVTypes">
  <Template>Normal.dotm</Template>
  <Pages>11</Pages>
  <Words>720</Words>
  <Characters>4104</Characters>
  <Lines>34</Lines>
  <Paragraphs>9</Paragraphs>
  <TotalTime>187</TotalTime>
  <ScaleCrop>false</ScaleCrop>
  <LinksUpToDate>false</LinksUpToDate>
  <CharactersWithSpaces>4815</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ASUS</cp:lastModifiedBy>
  <cp:lastPrinted>2024-04-15T06:38:00Z</cp:lastPrinted>
  <dcterms:modified xsi:type="dcterms:W3CDTF">2024-09-10T09:10:41Z</dcterms:modified>
  <dc:title>附件3：</dc:title>
  <cp:revision>65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96934721B1514D3FBAA28020338CE855_12</vt:lpwstr>
  </property>
</Properties>
</file>