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9EDBF7">
      <w:pPr>
        <w:jc w:val="both"/>
        <w:outlineLvl w:val="1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附件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4</w:t>
      </w:r>
    </w:p>
    <w:p w14:paraId="7A038FB0">
      <w:pPr>
        <w:jc w:val="center"/>
        <w:outlineLvl w:val="1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</w:p>
    <w:p w14:paraId="4BCD593F">
      <w:pPr>
        <w:jc w:val="center"/>
        <w:outlineLvl w:val="1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石家庄职业技术学院</w:t>
      </w:r>
    </w:p>
    <w:p w14:paraId="781CBAD9">
      <w:pPr>
        <w:jc w:val="center"/>
        <w:outlineLvl w:val="1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2023年度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整体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支出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绩效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自评报告</w:t>
      </w:r>
    </w:p>
    <w:p w14:paraId="3CB6D7E3">
      <w:pPr>
        <w:jc w:val="center"/>
        <w:outlineLvl w:val="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fldChar w:fldCharType="begin"/>
      </w:r>
      <w:r>
        <w:rPr>
          <w:rFonts w:ascii="仿宋" w:hAnsi="仿宋" w:eastAsia="仿宋" w:cs="仿宋"/>
          <w:sz w:val="32"/>
          <w:szCs w:val="32"/>
        </w:rPr>
        <w:instrText xml:space="preserve"> </w:instrText>
      </w:r>
      <w:r>
        <w:rPr>
          <w:rFonts w:hint="eastAsia" w:ascii="仿宋" w:hAnsi="仿宋" w:eastAsia="仿宋" w:cs="仿宋"/>
          <w:sz w:val="32"/>
          <w:szCs w:val="32"/>
        </w:rPr>
        <w:instrText xml:space="preserve">TC </w:instrText>
      </w:r>
      <w:bookmarkStart w:id="0" w:name="_Toc28451468"/>
      <w:r>
        <w:rPr>
          <w:rFonts w:hint="eastAsia" w:ascii="仿宋" w:hAnsi="仿宋" w:eastAsia="仿宋" w:cs="仿宋"/>
          <w:sz w:val="32"/>
          <w:szCs w:val="32"/>
        </w:rPr>
        <w:instrText xml:space="preserve">总体绩效目标</w:instrText>
      </w:r>
      <w:bookmarkEnd w:id="0"/>
      <w:r>
        <w:rPr>
          <w:rFonts w:hint="eastAsia" w:ascii="仿宋" w:hAnsi="仿宋" w:eastAsia="仿宋" w:cs="仿宋"/>
          <w:sz w:val="32"/>
          <w:szCs w:val="32"/>
        </w:rPr>
        <w:instrText xml:space="preserve"> \f A \l 1</w:instrText>
      </w:r>
      <w:r>
        <w:rPr>
          <w:rFonts w:ascii="仿宋" w:hAnsi="仿宋" w:eastAsia="仿宋" w:cs="仿宋"/>
          <w:sz w:val="32"/>
          <w:szCs w:val="32"/>
        </w:rPr>
        <w:instrText xml:space="preserve"> </w:instrText>
      </w:r>
      <w:r>
        <w:rPr>
          <w:rFonts w:ascii="仿宋" w:hAnsi="仿宋" w:eastAsia="仿宋" w:cs="仿宋"/>
          <w:sz w:val="32"/>
          <w:szCs w:val="32"/>
        </w:rPr>
        <w:fldChar w:fldCharType="end"/>
      </w:r>
    </w:p>
    <w:p w14:paraId="66776D17"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贯彻落实市委市政府《关于全面落实预算绩效管理的实施意见》（石发【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2019】8号)文件精神，遵循“科学性、规范性、客观性和公正性”的原则，对石家庄职业技术学院2023年整体支出情况实施了财政支出绩效自评价，形成本评价报告。</w:t>
      </w:r>
    </w:p>
    <w:p w14:paraId="6FEAD9F5">
      <w:pPr>
        <w:numPr>
          <w:ilvl w:val="0"/>
          <w:numId w:val="0"/>
        </w:numPr>
        <w:spacing w:before="156" w:beforeLines="50" w:after="156" w:afterLines="50" w:line="600" w:lineRule="exact"/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一、部门基本情况</w:t>
      </w:r>
    </w:p>
    <w:p w14:paraId="40E15380">
      <w:pPr>
        <w:numPr>
          <w:ilvl w:val="0"/>
          <w:numId w:val="0"/>
        </w:numPr>
        <w:spacing w:before="156" w:beforeLines="50" w:after="156" w:afterLines="50" w:line="60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（一）部门概况</w:t>
      </w:r>
    </w:p>
    <w:p w14:paraId="676CA878">
      <w:pPr>
        <w:snapToGrid w:val="0"/>
        <w:spacing w:line="360" w:lineRule="auto"/>
        <w:ind w:left="64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1、部门职责</w:t>
      </w:r>
    </w:p>
    <w:p w14:paraId="1F94C6F0">
      <w:pPr>
        <w:spacing w:before="0" w:after="0" w:line="500" w:lineRule="exact"/>
        <w:ind w:firstLine="560"/>
        <w:jc w:val="left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石家庄职业技术学院的主要职责是：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实施专科层次的高等职业技术教育，定位于融入社会发展和科技进步，培养具有良好职业精神和能力的高素质专业技术技能人才。</w:t>
      </w:r>
    </w:p>
    <w:p w14:paraId="78E3A9B7">
      <w:pPr>
        <w:spacing w:line="60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2、机构设置及人员情况：</w:t>
      </w:r>
    </w:p>
    <w:tbl>
      <w:tblPr>
        <w:tblStyle w:val="3"/>
        <w:tblW w:w="10620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8"/>
        <w:gridCol w:w="780"/>
        <w:gridCol w:w="1080"/>
        <w:gridCol w:w="1335"/>
        <w:gridCol w:w="735"/>
        <w:gridCol w:w="540"/>
        <w:gridCol w:w="675"/>
        <w:gridCol w:w="555"/>
        <w:gridCol w:w="705"/>
        <w:gridCol w:w="465"/>
        <w:gridCol w:w="661"/>
        <w:gridCol w:w="531"/>
      </w:tblGrid>
      <w:tr w14:paraId="33AC9E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tblHeader/>
          <w:jc w:val="center"/>
        </w:trPr>
        <w:tc>
          <w:tcPr>
            <w:tcW w:w="7028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D3B160A"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</w:p>
        </w:tc>
        <w:tc>
          <w:tcPr>
            <w:tcW w:w="359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9FC1E9A"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单位：人（辆）</w:t>
            </w:r>
          </w:p>
        </w:tc>
      </w:tr>
      <w:tr w14:paraId="4FB02EB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" w:hRule="atLeast"/>
          <w:tblHeader/>
          <w:jc w:val="center"/>
        </w:trPr>
        <w:tc>
          <w:tcPr>
            <w:tcW w:w="2558" w:type="dxa"/>
            <w:vMerge w:val="restart"/>
            <w:vAlign w:val="center"/>
          </w:tcPr>
          <w:p w14:paraId="66D35DAB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单位名称</w:t>
            </w:r>
          </w:p>
        </w:tc>
        <w:tc>
          <w:tcPr>
            <w:tcW w:w="780" w:type="dxa"/>
            <w:vMerge w:val="restart"/>
            <w:vAlign w:val="center"/>
          </w:tcPr>
          <w:p w14:paraId="37C6D1CD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单位性质</w:t>
            </w:r>
          </w:p>
        </w:tc>
        <w:tc>
          <w:tcPr>
            <w:tcW w:w="1080" w:type="dxa"/>
            <w:vMerge w:val="restart"/>
            <w:vAlign w:val="center"/>
          </w:tcPr>
          <w:p w14:paraId="312B9484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单位规格</w:t>
            </w:r>
          </w:p>
        </w:tc>
        <w:tc>
          <w:tcPr>
            <w:tcW w:w="1335" w:type="dxa"/>
            <w:vMerge w:val="restart"/>
            <w:vAlign w:val="center"/>
          </w:tcPr>
          <w:p w14:paraId="23ACF0C3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经费保障形式</w:t>
            </w:r>
          </w:p>
        </w:tc>
        <w:tc>
          <w:tcPr>
            <w:tcW w:w="735" w:type="dxa"/>
            <w:vMerge w:val="restart"/>
            <w:vAlign w:val="center"/>
          </w:tcPr>
          <w:p w14:paraId="36C3A336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车辆实有数</w:t>
            </w:r>
          </w:p>
        </w:tc>
        <w:tc>
          <w:tcPr>
            <w:tcW w:w="1215" w:type="dxa"/>
            <w:gridSpan w:val="2"/>
            <w:vAlign w:val="center"/>
          </w:tcPr>
          <w:p w14:paraId="07B65C5D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编制人数</w:t>
            </w:r>
          </w:p>
        </w:tc>
        <w:tc>
          <w:tcPr>
            <w:tcW w:w="1260" w:type="dxa"/>
            <w:gridSpan w:val="2"/>
            <w:vAlign w:val="center"/>
          </w:tcPr>
          <w:p w14:paraId="12AA2BE5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在职人数</w:t>
            </w:r>
          </w:p>
        </w:tc>
        <w:tc>
          <w:tcPr>
            <w:tcW w:w="1657" w:type="dxa"/>
            <w:gridSpan w:val="3"/>
            <w:vAlign w:val="center"/>
          </w:tcPr>
          <w:p w14:paraId="20F039E1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离退人数</w:t>
            </w:r>
          </w:p>
        </w:tc>
      </w:tr>
      <w:tr w14:paraId="7C1B2C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5" w:hRule="atLeast"/>
          <w:tblHeader/>
          <w:jc w:val="center"/>
        </w:trPr>
        <w:tc>
          <w:tcPr>
            <w:tcW w:w="2558" w:type="dxa"/>
            <w:vMerge w:val="continue"/>
            <w:vAlign w:val="center"/>
          </w:tcPr>
          <w:p w14:paraId="065AA75B"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780" w:type="dxa"/>
            <w:vMerge w:val="continue"/>
            <w:vAlign w:val="center"/>
          </w:tcPr>
          <w:p w14:paraId="51BA4A8F"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080" w:type="dxa"/>
            <w:vMerge w:val="continue"/>
            <w:vAlign w:val="center"/>
          </w:tcPr>
          <w:p w14:paraId="64C89D17"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335" w:type="dxa"/>
            <w:vMerge w:val="continue"/>
            <w:vAlign w:val="center"/>
          </w:tcPr>
          <w:p w14:paraId="195D20CC"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735" w:type="dxa"/>
            <w:vMerge w:val="continue"/>
            <w:vAlign w:val="center"/>
          </w:tcPr>
          <w:p w14:paraId="03D3665F"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540" w:type="dxa"/>
            <w:vAlign w:val="center"/>
          </w:tcPr>
          <w:p w14:paraId="60688FE0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675" w:type="dxa"/>
            <w:vAlign w:val="center"/>
          </w:tcPr>
          <w:p w14:paraId="62D22049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555" w:type="dxa"/>
            <w:vAlign w:val="center"/>
          </w:tcPr>
          <w:p w14:paraId="2247D598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5" w:type="dxa"/>
            <w:vAlign w:val="center"/>
          </w:tcPr>
          <w:p w14:paraId="54F49CE7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465" w:type="dxa"/>
            <w:vAlign w:val="center"/>
          </w:tcPr>
          <w:p w14:paraId="366B6622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离休</w:t>
            </w:r>
          </w:p>
        </w:tc>
        <w:tc>
          <w:tcPr>
            <w:tcW w:w="661" w:type="dxa"/>
            <w:vAlign w:val="center"/>
          </w:tcPr>
          <w:p w14:paraId="7A2362C0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退休</w:t>
            </w:r>
          </w:p>
        </w:tc>
        <w:tc>
          <w:tcPr>
            <w:tcW w:w="531" w:type="dxa"/>
            <w:vAlign w:val="center"/>
          </w:tcPr>
          <w:p w14:paraId="7C625436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退职</w:t>
            </w:r>
          </w:p>
        </w:tc>
      </w:tr>
      <w:tr w14:paraId="4B67E6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2558" w:type="dxa"/>
            <w:vAlign w:val="center"/>
          </w:tcPr>
          <w:p w14:paraId="2BF23D33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780" w:type="dxa"/>
            <w:vAlign w:val="center"/>
          </w:tcPr>
          <w:p w14:paraId="4517C73F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080" w:type="dxa"/>
            <w:vAlign w:val="center"/>
          </w:tcPr>
          <w:p w14:paraId="7163C5B2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335" w:type="dxa"/>
            <w:vAlign w:val="center"/>
          </w:tcPr>
          <w:p w14:paraId="021C7CEF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735" w:type="dxa"/>
            <w:vAlign w:val="center"/>
          </w:tcPr>
          <w:p w14:paraId="671235F2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</w:t>
            </w:r>
          </w:p>
        </w:tc>
        <w:tc>
          <w:tcPr>
            <w:tcW w:w="540" w:type="dxa"/>
            <w:vAlign w:val="center"/>
          </w:tcPr>
          <w:p w14:paraId="1DCCF248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675" w:type="dxa"/>
            <w:vAlign w:val="center"/>
          </w:tcPr>
          <w:p w14:paraId="47E65138">
            <w:pPr>
              <w:spacing w:line="300" w:lineRule="exact"/>
              <w:jc w:val="center"/>
              <w:rPr>
                <w:rFonts w:hint="default" w:ascii="方正书宋_GBK" w:eastAsia="方正书宋_GBK"/>
                <w:b/>
                <w:lang w:val="en-US"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938</w:t>
            </w:r>
          </w:p>
        </w:tc>
        <w:tc>
          <w:tcPr>
            <w:tcW w:w="555" w:type="dxa"/>
            <w:vAlign w:val="center"/>
          </w:tcPr>
          <w:p w14:paraId="253E392E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705" w:type="dxa"/>
            <w:vAlign w:val="center"/>
          </w:tcPr>
          <w:p w14:paraId="33700AB8">
            <w:pPr>
              <w:spacing w:line="300" w:lineRule="exact"/>
              <w:jc w:val="center"/>
              <w:rPr>
                <w:rFonts w:hint="default" w:ascii="方正书宋_GBK" w:eastAsia="方正书宋_GBK"/>
                <w:b/>
                <w:lang w:val="en-US"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740</w:t>
            </w:r>
          </w:p>
        </w:tc>
        <w:tc>
          <w:tcPr>
            <w:tcW w:w="465" w:type="dxa"/>
            <w:vAlign w:val="center"/>
          </w:tcPr>
          <w:p w14:paraId="673E6C02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661" w:type="dxa"/>
            <w:vAlign w:val="center"/>
          </w:tcPr>
          <w:p w14:paraId="15434AB8">
            <w:pPr>
              <w:spacing w:line="300" w:lineRule="exact"/>
              <w:jc w:val="center"/>
              <w:rPr>
                <w:rFonts w:hint="default" w:ascii="方正书宋_GBK" w:eastAsia="方正书宋_GBK"/>
                <w:b/>
                <w:lang w:val="en-US" w:eastAsia="zh-CN"/>
              </w:rPr>
            </w:pPr>
            <w:r>
              <w:rPr>
                <w:rFonts w:hint="eastAsia" w:ascii="方正书宋_GBK" w:eastAsia="方正书宋_GBK"/>
                <w:b/>
                <w:lang w:val="en-US" w:eastAsia="zh-CN"/>
              </w:rPr>
              <w:t>185</w:t>
            </w:r>
          </w:p>
        </w:tc>
        <w:tc>
          <w:tcPr>
            <w:tcW w:w="531" w:type="dxa"/>
            <w:vAlign w:val="center"/>
          </w:tcPr>
          <w:p w14:paraId="2DB77E22"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</w:tr>
      <w:tr w14:paraId="49619B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85" w:hRule="atLeast"/>
          <w:jc w:val="center"/>
        </w:trPr>
        <w:tc>
          <w:tcPr>
            <w:tcW w:w="2558" w:type="dxa"/>
            <w:vAlign w:val="center"/>
          </w:tcPr>
          <w:p w14:paraId="0354310F"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eastAsia="zh-CN"/>
              </w:rPr>
              <w:t>石家庄职业技术学院</w:t>
            </w:r>
            <w:r>
              <w:rPr>
                <w:rFonts w:hint="eastAsia" w:ascii="方正书宋_GBK" w:eastAsia="方正书宋_GBK"/>
              </w:rPr>
              <w:t>本级</w:t>
            </w:r>
          </w:p>
        </w:tc>
        <w:tc>
          <w:tcPr>
            <w:tcW w:w="780" w:type="dxa"/>
            <w:vAlign w:val="center"/>
          </w:tcPr>
          <w:p w14:paraId="15310250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080" w:type="dxa"/>
            <w:vAlign w:val="center"/>
          </w:tcPr>
          <w:p w14:paraId="65F400C9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副厅（地）级</w:t>
            </w:r>
          </w:p>
        </w:tc>
        <w:tc>
          <w:tcPr>
            <w:tcW w:w="1335" w:type="dxa"/>
            <w:vAlign w:val="center"/>
          </w:tcPr>
          <w:p w14:paraId="639DEA1A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  <w:tc>
          <w:tcPr>
            <w:tcW w:w="735" w:type="dxa"/>
            <w:vAlign w:val="center"/>
          </w:tcPr>
          <w:p w14:paraId="766867C5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40" w:type="dxa"/>
            <w:vAlign w:val="center"/>
          </w:tcPr>
          <w:p w14:paraId="2AF68763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675" w:type="dxa"/>
            <w:vAlign w:val="center"/>
          </w:tcPr>
          <w:p w14:paraId="1B6272EA"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938</w:t>
            </w:r>
          </w:p>
        </w:tc>
        <w:tc>
          <w:tcPr>
            <w:tcW w:w="555" w:type="dxa"/>
            <w:vAlign w:val="center"/>
          </w:tcPr>
          <w:p w14:paraId="72E82E55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05" w:type="dxa"/>
            <w:vAlign w:val="center"/>
          </w:tcPr>
          <w:p w14:paraId="141EF2AA"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740</w:t>
            </w:r>
          </w:p>
        </w:tc>
        <w:tc>
          <w:tcPr>
            <w:tcW w:w="465" w:type="dxa"/>
            <w:vAlign w:val="center"/>
          </w:tcPr>
          <w:p w14:paraId="475C3605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661" w:type="dxa"/>
            <w:vAlign w:val="center"/>
          </w:tcPr>
          <w:p w14:paraId="266475EE">
            <w:pPr>
              <w:spacing w:line="300" w:lineRule="exact"/>
              <w:jc w:val="center"/>
              <w:rPr>
                <w:rFonts w:hint="default" w:ascii="方正书宋_GBK" w:eastAsia="方正书宋_GBK"/>
                <w:lang w:val="en-US" w:eastAsia="zh-CN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185</w:t>
            </w:r>
          </w:p>
        </w:tc>
        <w:tc>
          <w:tcPr>
            <w:tcW w:w="531" w:type="dxa"/>
            <w:vAlign w:val="center"/>
          </w:tcPr>
          <w:p w14:paraId="44E28649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</w:tbl>
    <w:p w14:paraId="7B60A797">
      <w:pPr>
        <w:numPr>
          <w:ilvl w:val="0"/>
          <w:numId w:val="0"/>
        </w:numPr>
        <w:spacing w:before="10" w:after="10"/>
        <w:ind w:firstLine="643" w:firstLineChars="200"/>
        <w:outlineLvl w:val="2"/>
        <w:rPr>
          <w:rFonts w:hint="eastAsia" w:ascii="仿宋" w:hAnsi="仿宋" w:eastAsia="仿宋" w:cs="仿宋"/>
          <w:b/>
          <w:bCs/>
          <w:color w:val="000000"/>
          <w:sz w:val="32"/>
        </w:rPr>
      </w:pPr>
      <w:bookmarkStart w:id="1" w:name="_Toc_3_3_0000000016"/>
      <w:r>
        <w:rPr>
          <w:rFonts w:hint="eastAsia" w:ascii="仿宋" w:hAnsi="仿宋" w:eastAsia="仿宋" w:cs="仿宋"/>
          <w:b/>
          <w:bCs/>
          <w:color w:val="000000"/>
          <w:sz w:val="32"/>
          <w:lang w:val="en-US" w:eastAsia="zh-CN"/>
        </w:rPr>
        <w:t>3、</w:t>
      </w:r>
      <w:r>
        <w:rPr>
          <w:rFonts w:hint="eastAsia" w:ascii="仿宋" w:hAnsi="仿宋" w:eastAsia="仿宋" w:cs="仿宋"/>
          <w:b/>
          <w:bCs/>
          <w:color w:val="000000"/>
          <w:sz w:val="32"/>
        </w:rPr>
        <w:t>资产信息</w:t>
      </w:r>
      <w:bookmarkEnd w:id="1"/>
    </w:p>
    <w:p w14:paraId="06E95D77"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highlight w:val="yellow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石家庄职业技术学院（含所属单位）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2023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年末资产总额为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358983.409171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万元，其中流动资产共计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11031.62847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万元，非流动资产金额共计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347951.780701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万元，资产稳定性较强。</w:t>
      </w:r>
    </w:p>
    <w:p w14:paraId="4F79DC67">
      <w:pPr>
        <w:spacing w:line="60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（二）部门收支预决算情况</w:t>
      </w:r>
    </w:p>
    <w:p w14:paraId="23C9546B">
      <w:pPr>
        <w:spacing w:line="600" w:lineRule="exact"/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我院202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年预算收入为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38548.3463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万元，决算总收入是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38245.4628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万元。202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年预算支出是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38548.3463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万元，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决算总支出是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38354.3262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万元。实际收入与实际支出差异主要原因是课题等其他收入未全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部支出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。</w:t>
      </w:r>
    </w:p>
    <w:p w14:paraId="7F5A968D"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其中，202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年调整后项目预算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15293.7418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万元，实际支出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14871.574792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万元，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财政拨款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剩余资金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127.074311万元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未支出完，年底财政收回。</w:t>
      </w:r>
    </w:p>
    <w:p w14:paraId="37866CE7">
      <w:pPr>
        <w:spacing w:line="600" w:lineRule="exact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（三）部门整体支出绩效目标、指标</w:t>
      </w:r>
    </w:p>
    <w:p w14:paraId="0B6660F6"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学院以全日制高等职业教育为主体，不断深化教育教学改革，提升教师科技研发能力，积极推进学院教育教学发展。建设精品在线开放课程门数不小于8门，教师参加省级及以上教学能力大赛获奖不少于3次。科研项目研究达到35项以上，省级以上高水平项目研究3项；强化以广播电视教育（开放教育）、社区教育为“两翼”服务模式的办学格局，努力拓宽职业教育办学途径和服务领域。上级部门年度检查与评估达到合格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社区教育的服务人次不少于3万人次，社区教育师资库使用率90%以上。加强学生教育管理工作，提高学生综合素质。开展文体活动、社会实践活动和思想教育活动达到30项以上，开展招生就业宣传工作不少于2次。积极落实国家奖助补政策，及时足额发放到位，确保困难学生顺利完成学业，受助学生满意度90%以上；以教育部职业教育提质培优行动计划为导向，优化教育结构，建设职业教育教师教学创新团队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购置教学、实训设备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1000台（套），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提高教学实训质量，促进高水平专业建设发展。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积极争取上级部门的支持和帮助，推动正定新校区建设，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保障新校区正常运转。</w:t>
      </w:r>
    </w:p>
    <w:p w14:paraId="347C4D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二、自评工作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1E929537">
      <w:pPr>
        <w:spacing w:line="360" w:lineRule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（一）自评的组织工作</w:t>
      </w:r>
    </w:p>
    <w:p w14:paraId="0EEB87DC">
      <w:pPr>
        <w:spacing w:line="360" w:lineRule="auto"/>
        <w:ind w:firstLine="640" w:firstLineChars="200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为了推进绩效自评工作健康有序开展，根据石家庄市财政局《关于开展202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年绩效自评工作的通知》（石财监【20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号）,按照全覆盖原则，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</w:t>
      </w:r>
      <w:r>
        <w:rPr>
          <w:rFonts w:hint="eastAsia" w:ascii="仿宋" w:hAnsi="仿宋" w:eastAsia="仿宋" w:cs="仿宋"/>
          <w:sz w:val="32"/>
          <w:szCs w:val="32"/>
        </w:rPr>
        <w:t>绩效自评工作小组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领导下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</w:rPr>
        <w:t>制定工作方案、评价方法和步骤时限等内容。</w:t>
      </w:r>
      <w:r>
        <w:rPr>
          <w:rFonts w:hint="eastAsia" w:ascii="仿宋" w:hAnsi="仿宋" w:eastAsia="仿宋" w:cs="仿宋"/>
          <w:sz w:val="32"/>
          <w:szCs w:val="32"/>
        </w:rPr>
        <w:t>学校自评工作组对照工作内容，分解各项目绩效自评工作至相关处室，明确各项目绩效自评牵头部门和负责人，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各部门对各自项目认真梳理，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总结成绩和不足，并提出改进方向，填报了</w:t>
      </w:r>
      <w:r>
        <w:rPr>
          <w:rFonts w:hint="eastAsia" w:ascii="仿宋" w:hAnsi="仿宋" w:eastAsia="仿宋" w:cs="仿宋"/>
          <w:sz w:val="30"/>
          <w:szCs w:val="30"/>
        </w:rPr>
        <w:t>《预算项目绩效自评表》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 w14:paraId="03B1D257">
      <w:pPr>
        <w:spacing w:line="360" w:lineRule="auto"/>
        <w:ind w:firstLine="66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（二）自评的方法和过程</w:t>
      </w:r>
    </w:p>
    <w:p w14:paraId="4FB7C28C"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经过收集资料、询问调查、</w:t>
      </w:r>
      <w:r>
        <w:rPr>
          <w:rFonts w:hint="eastAsia" w:ascii="仿宋_GB2312" w:eastAsia="仿宋_GB2312"/>
          <w:sz w:val="32"/>
          <w:szCs w:val="32"/>
        </w:rPr>
        <w:t>整理</w:t>
      </w:r>
      <w:r>
        <w:rPr>
          <w:rFonts w:hint="eastAsia" w:ascii="仿宋_GB2312" w:eastAsia="仿宋_GB2312"/>
          <w:sz w:val="32"/>
          <w:szCs w:val="32"/>
          <w:lang w:eastAsia="zh-CN"/>
        </w:rPr>
        <w:t>资料和综合</w:t>
      </w:r>
      <w:r>
        <w:rPr>
          <w:rFonts w:hint="eastAsia" w:ascii="仿宋_GB2312" w:eastAsia="仿宋_GB2312"/>
          <w:sz w:val="32"/>
          <w:szCs w:val="32"/>
        </w:rPr>
        <w:t>分析</w:t>
      </w:r>
      <w:r>
        <w:rPr>
          <w:rFonts w:hint="eastAsia" w:ascii="仿宋_GB2312" w:eastAsia="仿宋_GB2312"/>
          <w:sz w:val="32"/>
          <w:szCs w:val="32"/>
          <w:lang w:eastAsia="zh-CN"/>
        </w:rPr>
        <w:t>等程序后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评价小组</w:t>
      </w:r>
      <w:r>
        <w:rPr>
          <w:rFonts w:hint="eastAsia" w:ascii="仿宋" w:hAnsi="仿宋" w:eastAsia="仿宋" w:cs="仿宋"/>
          <w:sz w:val="32"/>
          <w:szCs w:val="32"/>
        </w:rPr>
        <w:t>作出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最终</w:t>
      </w:r>
      <w:r>
        <w:rPr>
          <w:rFonts w:hint="eastAsia" w:ascii="仿宋" w:hAnsi="仿宋" w:eastAsia="仿宋" w:cs="仿宋"/>
          <w:sz w:val="32"/>
          <w:szCs w:val="32"/>
        </w:rPr>
        <w:t>评价，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形成了本次绩效自评报告，</w:t>
      </w:r>
      <w:r>
        <w:rPr>
          <w:rFonts w:hint="eastAsia" w:ascii="仿宋" w:hAnsi="仿宋" w:eastAsia="仿宋" w:cs="仿宋"/>
          <w:sz w:val="32"/>
          <w:szCs w:val="32"/>
        </w:rPr>
        <w:t>评价结果科学规范、</w:t>
      </w:r>
      <w:r>
        <w:rPr>
          <w:rFonts w:hint="eastAsia" w:ascii="仿宋_GB2312" w:eastAsia="仿宋_GB2312"/>
          <w:sz w:val="32"/>
          <w:szCs w:val="32"/>
        </w:rPr>
        <w:t>客观公正。</w:t>
      </w:r>
    </w:p>
    <w:p w14:paraId="56AB9A1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三、部门整体支出绩效目标实现情况及指标分析</w:t>
      </w:r>
    </w:p>
    <w:p w14:paraId="4E616FD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一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总体绩效目标完成情况</w:t>
      </w:r>
    </w:p>
    <w:p w14:paraId="0A502F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坚持以习近平新时代中国特色社会主义思想为指导，全面贯彻落实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党的</w:t>
      </w:r>
      <w:bookmarkStart w:id="2" w:name="_GoBack"/>
      <w:bookmarkEnd w:id="2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二十</w:t>
      </w:r>
      <w:r>
        <w:rPr>
          <w:rFonts w:hint="eastAsia" w:ascii="仿宋" w:hAnsi="仿宋" w:eastAsia="仿宋" w:cs="仿宋"/>
          <w:sz w:val="32"/>
          <w:szCs w:val="32"/>
        </w:rPr>
        <w:t>大精神，学院以全日制高等职业教育为主体，持续深化教育教学改革，教师科技研发能力正在稳步提升，积极推进学院教育教学发展。强化以广播电视教育（开放教育）、社区教育为“两翼”服务模式的办学格局，努力拓宽职业教育办学途径和服务领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打造社区教育示范点，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进一步</w:t>
      </w:r>
      <w:r>
        <w:rPr>
          <w:rFonts w:hint="eastAsia" w:ascii="仿宋_GB2312" w:eastAsia="仿宋_GB2312"/>
          <w:sz w:val="32"/>
          <w:szCs w:val="32"/>
          <w:lang w:eastAsia="zh-CN"/>
        </w:rPr>
        <w:t>提升社区教育服务理念，调动师资创新、共享。</w:t>
      </w:r>
      <w:r>
        <w:rPr>
          <w:rFonts w:hint="eastAsia" w:ascii="仿宋" w:hAnsi="仿宋" w:eastAsia="仿宋" w:cs="仿宋"/>
          <w:sz w:val="32"/>
          <w:szCs w:val="32"/>
        </w:rPr>
        <w:t>加强学生教育管理工作，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开展多样化活动，</w:t>
      </w:r>
      <w:r>
        <w:rPr>
          <w:rFonts w:hint="eastAsia" w:ascii="仿宋" w:hAnsi="仿宋" w:eastAsia="仿宋" w:cs="仿宋"/>
          <w:sz w:val="32"/>
          <w:szCs w:val="32"/>
        </w:rPr>
        <w:t>丰富学生的课余文化生活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积极落实国家奖助补政策，及时发放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学生资助</w:t>
      </w:r>
      <w:r>
        <w:rPr>
          <w:rFonts w:hint="eastAsia" w:ascii="仿宋" w:hAnsi="仿宋" w:eastAsia="仿宋" w:cs="仿宋"/>
          <w:sz w:val="32"/>
          <w:szCs w:val="32"/>
        </w:rPr>
        <w:t>金，确保困难学生顺利完成学业。以教育部高等职业教育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提质培优行动计划为</w:t>
      </w:r>
      <w:r>
        <w:rPr>
          <w:rFonts w:hint="eastAsia" w:ascii="仿宋" w:hAnsi="仿宋" w:eastAsia="仿宋" w:cs="仿宋"/>
          <w:sz w:val="32"/>
          <w:szCs w:val="32"/>
        </w:rPr>
        <w:t>导向，积极推进教师培养和企业能工巧匠引进力度，促进高水平专业建设发展。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加强与上级部门的沟通，</w:t>
      </w:r>
      <w:r>
        <w:rPr>
          <w:rFonts w:hint="eastAsia" w:ascii="仿宋" w:hAnsi="仿宋" w:eastAsia="仿宋" w:cs="仿宋"/>
          <w:sz w:val="32"/>
          <w:szCs w:val="32"/>
        </w:rPr>
        <w:t>积极争取上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级部门的支持和帮助，努力推进正定新区新校区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建设，</w:t>
      </w:r>
      <w:r>
        <w:rPr>
          <w:rFonts w:hint="eastAsia" w:ascii="仿宋" w:hAnsi="仿宋" w:eastAsia="仿宋" w:cs="仿宋"/>
          <w:sz w:val="32"/>
          <w:szCs w:val="32"/>
        </w:rPr>
        <w:t>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已完成竣工验收并于5月份开始分批入驻。</w:t>
      </w:r>
    </w:p>
    <w:p w14:paraId="5AFA4B8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本年度学院项目绩效目标完成情况良好，各项职能履行的很好，取得了预期的效果</w:t>
      </w:r>
      <w:r>
        <w:rPr>
          <w:rFonts w:hint="eastAsia" w:ascii="仿宋_GB2312" w:eastAsia="仿宋_GB2312"/>
          <w:sz w:val="32"/>
          <w:szCs w:val="32"/>
        </w:rPr>
        <w:t>。教育教学、</w:t>
      </w:r>
      <w:r>
        <w:rPr>
          <w:rFonts w:hint="eastAsia" w:ascii="仿宋_GB2312" w:eastAsia="仿宋_GB2312"/>
          <w:sz w:val="32"/>
          <w:szCs w:val="32"/>
          <w:lang w:eastAsia="zh-CN"/>
        </w:rPr>
        <w:t>科技</w:t>
      </w:r>
      <w:r>
        <w:rPr>
          <w:rFonts w:hint="eastAsia" w:ascii="仿宋_GB2312" w:eastAsia="仿宋_GB2312"/>
          <w:sz w:val="32"/>
          <w:szCs w:val="32"/>
        </w:rPr>
        <w:t>研究、学生</w:t>
      </w:r>
      <w:r>
        <w:rPr>
          <w:rFonts w:hint="eastAsia" w:ascii="仿宋_GB2312" w:eastAsia="仿宋_GB2312"/>
          <w:sz w:val="32"/>
          <w:szCs w:val="32"/>
          <w:lang w:eastAsia="zh-CN"/>
        </w:rPr>
        <w:t>教育</w:t>
      </w:r>
      <w:r>
        <w:rPr>
          <w:rFonts w:hint="eastAsia"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  <w:lang w:eastAsia="zh-CN"/>
        </w:rPr>
        <w:t>专业建设、</w:t>
      </w:r>
      <w:r>
        <w:rPr>
          <w:rFonts w:hint="eastAsia" w:ascii="仿宋_GB2312" w:eastAsia="仿宋_GB2312"/>
          <w:sz w:val="32"/>
          <w:szCs w:val="32"/>
        </w:rPr>
        <w:t>服务社会能力均有所提高</w:t>
      </w:r>
      <w:r>
        <w:rPr>
          <w:rFonts w:hint="eastAsia" w:ascii="仿宋_GB2312" w:eastAsia="仿宋_GB2312"/>
          <w:sz w:val="32"/>
          <w:szCs w:val="32"/>
          <w:lang w:eastAsia="zh-CN"/>
        </w:rPr>
        <w:t>，新校区搬迁工作继续稳步推进</w:t>
      </w:r>
      <w:r>
        <w:rPr>
          <w:rFonts w:hint="eastAsia" w:ascii="仿宋_GB2312" w:eastAsia="仿宋_GB2312"/>
          <w:sz w:val="32"/>
          <w:szCs w:val="32"/>
        </w:rPr>
        <w:t>。</w:t>
      </w:r>
    </w:p>
    <w:p w14:paraId="6DB04F4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二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分项绩效目标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实现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情况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及指标分析</w:t>
      </w:r>
    </w:p>
    <w:p w14:paraId="203A1DB2">
      <w:pPr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积极推进学院教育教学工作发展</w:t>
      </w:r>
    </w:p>
    <w:p w14:paraId="705913C0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大力发展高等职业教育，全面提高教师教学水平，进一步开展应用性研究，提升教师教学科研能力，服务高职教育改革发展。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建设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校级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精品在线开放课程13门，教学大赛获奖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，科研项目研究达到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100项，优秀课题16项。</w:t>
      </w:r>
    </w:p>
    <w:p w14:paraId="474F2505">
      <w:pPr>
        <w:numPr>
          <w:ilvl w:val="0"/>
          <w:numId w:val="0"/>
        </w:numPr>
        <w:spacing w:line="500" w:lineRule="exact"/>
        <w:ind w:firstLine="643" w:firstLineChars="200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强化“两翼”服务模式的办学格局</w:t>
      </w:r>
    </w:p>
    <w:p w14:paraId="58EAE1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加强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开放大学</w:t>
      </w:r>
      <w:r>
        <w:rPr>
          <w:rFonts w:hint="eastAsia" w:ascii="仿宋" w:hAnsi="仿宋" w:eastAsia="仿宋" w:cs="仿宋"/>
          <w:sz w:val="32"/>
          <w:szCs w:val="32"/>
        </w:rPr>
        <w:t>成人教育、开放教育，扩大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开放大学</w:t>
      </w:r>
      <w:r>
        <w:rPr>
          <w:rFonts w:hint="eastAsia" w:ascii="仿宋" w:hAnsi="仿宋" w:eastAsia="仿宋" w:cs="仿宋"/>
          <w:sz w:val="32"/>
          <w:szCs w:val="32"/>
        </w:rPr>
        <w:t>招生规模。建设网络课程资源，提升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开放大学</w:t>
      </w:r>
      <w:r>
        <w:rPr>
          <w:rFonts w:hint="eastAsia" w:ascii="仿宋" w:hAnsi="仿宋" w:eastAsia="仿宋" w:cs="仿宋"/>
          <w:sz w:val="32"/>
          <w:szCs w:val="32"/>
        </w:rPr>
        <w:t>教学业务质量。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2023年，继续教育招生规模2587人，其中开放教育招生1216人、电大成人教育招生54人、职院成人教育招生1317人。继续教育应毕业3220人，实际毕业2638人，按期毕业率为81.9%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教育局、省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开放大学</w:t>
      </w:r>
      <w:r>
        <w:rPr>
          <w:rFonts w:hint="eastAsia" w:ascii="仿宋" w:hAnsi="仿宋" w:eastAsia="仿宋" w:cs="仿宋"/>
          <w:sz w:val="32"/>
          <w:szCs w:val="32"/>
        </w:rPr>
        <w:t>等上级部门对教学检查、年度检查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全部合格。</w:t>
      </w:r>
      <w:r>
        <w:rPr>
          <w:rFonts w:hint="eastAsia" w:ascii="仿宋" w:hAnsi="仿宋" w:eastAsia="仿宋" w:cs="仿宋"/>
          <w:sz w:val="32"/>
          <w:szCs w:val="32"/>
        </w:rPr>
        <w:t>完善优化社区教育，</w:t>
      </w:r>
      <w:r>
        <w:rPr>
          <w:rFonts w:hint="eastAsia" w:ascii="仿宋_GB2312" w:eastAsia="仿宋_GB2312"/>
          <w:sz w:val="32"/>
          <w:szCs w:val="32"/>
          <w:lang w:eastAsia="zh-CN"/>
        </w:rPr>
        <w:t>形成职业教育与社区教育深度融合，</w:t>
      </w:r>
      <w:r>
        <w:rPr>
          <w:rFonts w:hint="eastAsia" w:ascii="仿宋" w:hAnsi="仿宋" w:eastAsia="仿宋" w:cs="仿宋"/>
          <w:sz w:val="32"/>
          <w:szCs w:val="32"/>
        </w:rPr>
        <w:t>打造具有全国示范性的</w:t>
      </w:r>
      <w:r>
        <w:rPr>
          <w:rFonts w:hint="eastAsia" w:ascii="仿宋_GB2312" w:eastAsia="仿宋_GB2312"/>
          <w:sz w:val="32"/>
          <w:szCs w:val="32"/>
          <w:lang w:eastAsia="zh-CN"/>
        </w:rPr>
        <w:t>社区服务模式。</w:t>
      </w:r>
      <w:r>
        <w:rPr>
          <w:rFonts w:hint="eastAsia" w:ascii="仿宋" w:hAnsi="仿宋" w:eastAsia="仿宋" w:cs="仿宋"/>
          <w:sz w:val="32"/>
          <w:szCs w:val="32"/>
        </w:rPr>
        <w:t>全年社区教育活动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服务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6万人次，</w:t>
      </w:r>
      <w:r>
        <w:rPr>
          <w:rFonts w:hint="eastAsia" w:ascii="仿宋_GB2312" w:eastAsia="仿宋_GB2312"/>
          <w:sz w:val="32"/>
          <w:szCs w:val="32"/>
          <w:lang w:eastAsia="zh-CN"/>
        </w:rPr>
        <w:t>创建社区教育师资库，对师资队伍进行培训，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师资库利用率90%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081CF71B">
      <w:pPr>
        <w:autoSpaceDE w:val="0"/>
        <w:autoSpaceDN w:val="0"/>
        <w:adjustRightInd w:val="0"/>
        <w:ind w:left="198" w:firstLine="643" w:firstLineChars="200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加强学生教育管理工作</w:t>
      </w:r>
    </w:p>
    <w:p w14:paraId="3EA83179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1"/>
        <w:textAlignment w:val="auto"/>
        <w:rPr>
          <w:rFonts w:hint="eastAsia" w:ascii="仿宋_GB2312" w:hAnsi="Calibri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做好学生教育管理工作，开展内容丰富的志愿活动、社会实践活动、思想教育活动，丰富学生的课余生活，提高学生的政治文化素养。全年开展各项学生活动32项。加大招生宣传力度，做好就业管理和服务工作，开展招生就业宣传22次，帮助学生积极就业，毕业生就业率高于90%，进一步扩大学院影响力。</w:t>
      </w:r>
    </w:p>
    <w:p w14:paraId="51C1D45F">
      <w:pPr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加大高校贫困学生资助力度</w:t>
      </w:r>
    </w:p>
    <w:p w14:paraId="399C3618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高等学校各项国家资助政策按规定得到落实，帮助家庭经济困难学生顺利完成学业。根据冀教资助文件，助学金及时足额发放到位，发放人数与受助人数100%相符。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受助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满意度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。</w:t>
      </w:r>
    </w:p>
    <w:p w14:paraId="73B1CA18">
      <w:pPr>
        <w:numPr>
          <w:ilvl w:val="0"/>
          <w:numId w:val="0"/>
        </w:numPr>
        <w:spacing w:line="500" w:lineRule="exact"/>
        <w:ind w:firstLine="643" w:firstLineChars="200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促进高水平专业建设发展</w:t>
      </w:r>
    </w:p>
    <w:p w14:paraId="0F130633"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购置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1000台（套）</w:t>
      </w:r>
      <w:r>
        <w:rPr>
          <w:rFonts w:hint="eastAsia" w:ascii="仿宋" w:hAnsi="仿宋" w:eastAsia="仿宋" w:cs="仿宋"/>
          <w:sz w:val="32"/>
          <w:szCs w:val="32"/>
        </w:rPr>
        <w:t>教学及实训设备，提升学校硬件水平，增强学生实际动手能力，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建设国家级、省级职业教育教师教学创新团队6个，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建设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在线开放课程、教学资源库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15门，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进一步</w:t>
      </w:r>
      <w:r>
        <w:rPr>
          <w:rFonts w:hint="eastAsia" w:ascii="仿宋" w:hAnsi="仿宋" w:eastAsia="仿宋" w:cs="仿宋"/>
          <w:sz w:val="32"/>
          <w:szCs w:val="32"/>
        </w:rPr>
        <w:t>提升教学能力以及整体素质。</w:t>
      </w:r>
    </w:p>
    <w:p w14:paraId="337D97C4">
      <w:pPr>
        <w:numPr>
          <w:ilvl w:val="0"/>
          <w:numId w:val="0"/>
        </w:numPr>
        <w:spacing w:line="500" w:lineRule="exact"/>
        <w:ind w:firstLine="643" w:firstLineChars="200"/>
        <w:jc w:val="left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6、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按照市政府的部署，推动正定新区新校区建设工作</w:t>
      </w:r>
    </w:p>
    <w:p w14:paraId="75C615A6">
      <w:pPr>
        <w:spacing w:line="360" w:lineRule="auto"/>
        <w:ind w:firstLine="640" w:firstLineChars="200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正定新区新校区</w:t>
      </w:r>
      <w:r>
        <w:rPr>
          <w:rFonts w:hint="eastAsia" w:ascii="仿宋" w:hAnsi="仿宋" w:eastAsia="仿宋" w:cs="仿宋"/>
          <w:sz w:val="32"/>
          <w:szCs w:val="32"/>
        </w:rPr>
        <w:t>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一期工程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）共计17个楼座(含2个地下车库)，已完工并已取得房屋不动产权证，新校区能容纳15000余人学生。2023年5月12日我院分批次开始搬迁入驻北校区，2023年8月2日完成并通过南校区消防验收，2023年10月启用南校区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截止到2023年底新校区共入住学生人数8862人。</w:t>
      </w:r>
    </w:p>
    <w:p w14:paraId="1718BAB5">
      <w:pPr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 w14:paraId="2EE6C498"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根据项目执行情况和项目绩效情况，指标体系设定满分100分，得出综合评价结论和项目综合绩效评价等级。项目综合绩效评价分为4个等级：得分</w:t>
      </w:r>
      <w:r>
        <w:rPr>
          <w:rFonts w:ascii="仿宋_GB2312" w:eastAsia="仿宋_GB2312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ascii="仿宋_GB2312" w:eastAsia="仿宋_GB2312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</w:rPr>
        <w:t>得分＜85分为良好；60</w:t>
      </w:r>
      <w:r>
        <w:rPr>
          <w:rFonts w:ascii="仿宋_GB2312" w:eastAsia="仿宋_GB2312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</w:rPr>
        <w:t>得分＜75分为一般；得分＜60分为较差。</w:t>
      </w:r>
    </w:p>
    <w:p w14:paraId="431E3B5E"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我院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2023年整体支出绩效自评</w:t>
      </w:r>
      <w:r>
        <w:rPr>
          <w:rFonts w:ascii="仿宋_GB2312" w:eastAsia="仿宋_GB2312"/>
          <w:sz w:val="32"/>
          <w:szCs w:val="32"/>
        </w:rPr>
        <w:t>得分为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96</w:t>
      </w:r>
      <w:r>
        <w:rPr>
          <w:rFonts w:ascii="仿宋_GB2312" w:eastAsia="仿宋_GB2312"/>
          <w:sz w:val="32"/>
          <w:szCs w:val="32"/>
        </w:rPr>
        <w:t>分，</w:t>
      </w:r>
      <w:r>
        <w:rPr>
          <w:rFonts w:hint="eastAsia" w:ascii="仿宋" w:hAnsi="仿宋" w:eastAsia="仿宋" w:cs="仿宋"/>
          <w:sz w:val="32"/>
          <w:szCs w:val="32"/>
        </w:rPr>
        <w:t>综合绩效评价等级为优秀。</w:t>
      </w:r>
    </w:p>
    <w:p w14:paraId="65359E87"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29585D12">
      <w:pPr>
        <w:spacing w:line="360" w:lineRule="auto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（一）项目存在的主要问题</w:t>
      </w:r>
    </w:p>
    <w:p w14:paraId="766DF546">
      <w:pPr>
        <w:widowControl/>
        <w:spacing w:line="360" w:lineRule="auto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科技</w:t>
      </w:r>
      <w:r>
        <w:rPr>
          <w:rFonts w:hint="eastAsia" w:ascii="仿宋" w:hAnsi="仿宋" w:eastAsia="仿宋"/>
          <w:sz w:val="32"/>
          <w:szCs w:val="32"/>
        </w:rPr>
        <w:t>特派员均按服务协议内容完成相关服务，由于多数服务企业在石家庄市区及周边区县，特派员大部分自驾去企业服务，但按照有关要求燃油费不在列支范围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内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因此</w:t>
      </w:r>
      <w:r>
        <w:rPr>
          <w:rFonts w:hint="eastAsia" w:ascii="仿宋" w:hAnsi="仿宋" w:eastAsia="仿宋"/>
          <w:sz w:val="32"/>
          <w:szCs w:val="32"/>
        </w:rPr>
        <w:t>该部分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经费</w:t>
      </w:r>
      <w:r>
        <w:rPr>
          <w:rFonts w:hint="eastAsia" w:ascii="仿宋" w:hAnsi="仿宋" w:eastAsia="仿宋"/>
          <w:sz w:val="32"/>
          <w:szCs w:val="32"/>
        </w:rPr>
        <w:t>未能支出。</w:t>
      </w:r>
    </w:p>
    <w:p w14:paraId="5A15AE5F">
      <w:pPr>
        <w:widowControl/>
        <w:numPr>
          <w:ilvl w:val="0"/>
          <w:numId w:val="1"/>
        </w:numPr>
        <w:spacing w:line="360" w:lineRule="auto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部分往年工程项目因涉及工程增量，产生相关的施工、设计等费用，未达成有效解决方案，未能实现支出。</w:t>
      </w:r>
    </w:p>
    <w:p w14:paraId="10D20A36">
      <w:pPr>
        <w:widowControl/>
        <w:spacing w:line="360" w:lineRule="auto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3、我院搬入新校区，</w:t>
      </w:r>
      <w:r>
        <w:rPr>
          <w:rFonts w:hint="eastAsia" w:ascii="仿宋" w:hAnsi="仿宋" w:eastAsia="仿宋"/>
          <w:sz w:val="32"/>
          <w:szCs w:val="32"/>
        </w:rPr>
        <w:t>学生撤离长兴公寓，因存在纠纷当年未能完成结算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4E94EB2F">
      <w:pPr>
        <w:numPr>
          <w:ilvl w:val="0"/>
          <w:numId w:val="0"/>
        </w:numPr>
        <w:spacing w:line="360" w:lineRule="auto"/>
        <w:ind w:firstLine="640" w:firstLineChars="200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4、招标组织程序长，偶发因素多，个别项目进度受影响，存在</w:t>
      </w:r>
      <w:r>
        <w:rPr>
          <w:rFonts w:hint="eastAsia" w:ascii="仿宋" w:hAnsi="仿宋" w:eastAsia="仿宋" w:cs="宋体"/>
          <w:kern w:val="0"/>
          <w:sz w:val="32"/>
          <w:szCs w:val="32"/>
        </w:rPr>
        <w:t>流标等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现象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。</w:t>
      </w:r>
    </w:p>
    <w:p w14:paraId="3F76ECC5">
      <w:pPr>
        <w:spacing w:line="360" w:lineRule="auto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（二）针对问题提出具体的改进措施或建议</w:t>
      </w:r>
    </w:p>
    <w:p w14:paraId="46803306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、对项目资金应加大提前谋划力度，充分调研，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加强项目的精细化管理，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为资金保质保量、充分有效使用提供有力保障。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 xml:space="preserve"> </w:t>
      </w:r>
    </w:p>
    <w:p w14:paraId="1F912652">
      <w:pPr>
        <w:adjustRightInd w:val="0"/>
        <w:snapToGrid w:val="0"/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积极与相关部门沟通，</w:t>
      </w:r>
      <w:r>
        <w:rPr>
          <w:rFonts w:hint="eastAsia" w:ascii="仿宋" w:hAnsi="仿宋" w:eastAsia="仿宋" w:cs="仿宋"/>
          <w:sz w:val="32"/>
          <w:szCs w:val="32"/>
        </w:rPr>
        <w:t>加强各部门间的协调性，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努力推进工作，</w:t>
      </w:r>
      <w:r>
        <w:rPr>
          <w:rFonts w:hint="eastAsia" w:ascii="仿宋" w:hAnsi="仿宋" w:eastAsia="仿宋" w:cs="仿宋"/>
          <w:sz w:val="32"/>
          <w:szCs w:val="32"/>
        </w:rPr>
        <w:t>保证项目推进和绩效目标的完成。</w:t>
      </w:r>
    </w:p>
    <w:p w14:paraId="5576F88B">
      <w:pPr>
        <w:adjustRightInd w:val="0"/>
        <w:snapToGrid w:val="0"/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加强培训，增强绩效管理意识，加强项目管理，提高资金使用效益，不断提升全院绩效管理水平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2BFE8D56"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/>
          <w:sz w:val="30"/>
          <w:szCs w:val="30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我院通过开展预算项目绩效自评价工作，深刻认识到项目绩效评价工作的重要性、科学性和规范性。在今后工作中</w:t>
      </w:r>
      <w:r>
        <w:rPr>
          <w:rFonts w:hint="eastAsia" w:ascii="仿宋" w:hAnsi="仿宋" w:eastAsia="仿宋"/>
          <w:sz w:val="32"/>
          <w:szCs w:val="32"/>
          <w:lang w:eastAsia="zh-CN"/>
        </w:rPr>
        <w:t>，我们将加强与财政部门的紧密配合，开展好整体支出绩效管理工作，运用好绩效评价结果，不断提升预算管理水平。</w:t>
      </w:r>
    </w:p>
    <w:p w14:paraId="41F592AE">
      <w:pPr>
        <w:adjustRightInd w:val="0"/>
        <w:snapToGrid w:val="0"/>
        <w:spacing w:line="360" w:lineRule="auto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</w:t>
      </w:r>
      <w:r>
        <w:rPr>
          <w:rFonts w:hint="eastAsia" w:ascii="仿宋_GB2312" w:eastAsia="仿宋_GB2312"/>
          <w:sz w:val="32"/>
          <w:szCs w:val="32"/>
        </w:rPr>
        <w:t>（姓名、工作单位、职务）</w:t>
      </w:r>
    </w:p>
    <w:tbl>
      <w:tblPr>
        <w:tblStyle w:val="3"/>
        <w:tblW w:w="85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3118"/>
        <w:gridCol w:w="3862"/>
      </w:tblGrid>
      <w:tr w14:paraId="076090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 w14:paraId="38124DF6"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A16094E"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工作单位</w:t>
            </w:r>
          </w:p>
        </w:tc>
        <w:tc>
          <w:tcPr>
            <w:tcW w:w="3862" w:type="dxa"/>
            <w:shd w:val="clear" w:color="auto" w:fill="auto"/>
            <w:vAlign w:val="center"/>
          </w:tcPr>
          <w:p w14:paraId="325D0C00"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职务</w:t>
            </w:r>
          </w:p>
        </w:tc>
      </w:tr>
      <w:tr w14:paraId="14D3AE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 w14:paraId="4725CAF8">
            <w:pPr>
              <w:adjustRightInd w:val="0"/>
              <w:jc w:val="center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王  升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6C4827C">
            <w:pPr>
              <w:adjustRightInd w:val="0"/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石家庄职业技术学院</w:t>
            </w:r>
          </w:p>
        </w:tc>
        <w:tc>
          <w:tcPr>
            <w:tcW w:w="3862" w:type="dxa"/>
            <w:shd w:val="clear" w:color="auto" w:fill="auto"/>
            <w:vAlign w:val="center"/>
          </w:tcPr>
          <w:p w14:paraId="5FDDB684">
            <w:pPr>
              <w:adjustRightInd w:val="0"/>
              <w:jc w:val="center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院长</w:t>
            </w:r>
          </w:p>
        </w:tc>
      </w:tr>
      <w:tr w14:paraId="4104BB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 w14:paraId="6CD4BB00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赵玉斌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21CD8C2"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石家庄职业技术学院</w:t>
            </w:r>
          </w:p>
        </w:tc>
        <w:tc>
          <w:tcPr>
            <w:tcW w:w="3862" w:type="dxa"/>
            <w:shd w:val="clear" w:color="auto" w:fill="auto"/>
            <w:vAlign w:val="center"/>
          </w:tcPr>
          <w:p w14:paraId="792CD71A">
            <w:pPr>
              <w:adjustRightInd w:val="0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副院长</w:t>
            </w:r>
          </w:p>
        </w:tc>
      </w:tr>
      <w:tr w14:paraId="6FB1EE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 w14:paraId="52974C24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刘建利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C99572C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石家庄职业技术学院</w:t>
            </w:r>
          </w:p>
        </w:tc>
        <w:tc>
          <w:tcPr>
            <w:tcW w:w="3862" w:type="dxa"/>
            <w:shd w:val="clear" w:color="auto" w:fill="auto"/>
            <w:vAlign w:val="center"/>
          </w:tcPr>
          <w:p w14:paraId="72D86C25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财务及资产管理处处长</w:t>
            </w:r>
          </w:p>
        </w:tc>
      </w:tr>
      <w:tr w14:paraId="57A85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 w14:paraId="7949B57C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郝  建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6B070089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石家庄职业技术学院</w:t>
            </w:r>
          </w:p>
        </w:tc>
        <w:tc>
          <w:tcPr>
            <w:tcW w:w="3862" w:type="dxa"/>
            <w:shd w:val="clear" w:color="auto" w:fill="auto"/>
            <w:vAlign w:val="center"/>
          </w:tcPr>
          <w:p w14:paraId="00F36407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办公室主任</w:t>
            </w:r>
          </w:p>
        </w:tc>
      </w:tr>
      <w:tr w14:paraId="475111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 w14:paraId="5C057FDF">
            <w:pPr>
              <w:adjustRightInd w:val="0"/>
              <w:ind w:firstLine="280" w:firstLineChars="100"/>
              <w:jc w:val="both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郭会灿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9FEEF05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石家庄职业技术学院</w:t>
            </w:r>
          </w:p>
        </w:tc>
        <w:tc>
          <w:tcPr>
            <w:tcW w:w="3862" w:type="dxa"/>
            <w:shd w:val="clear" w:color="auto" w:fill="auto"/>
            <w:vAlign w:val="center"/>
          </w:tcPr>
          <w:p w14:paraId="169B00D3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教务处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/>
              </w:rPr>
              <w:t>负责人</w:t>
            </w:r>
          </w:p>
        </w:tc>
      </w:tr>
      <w:tr w14:paraId="214C03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 w14:paraId="16A3F3BB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高  霞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5544A14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石家庄职业技术学院</w:t>
            </w:r>
          </w:p>
        </w:tc>
        <w:tc>
          <w:tcPr>
            <w:tcW w:w="3862" w:type="dxa"/>
            <w:shd w:val="clear" w:color="auto" w:fill="auto"/>
            <w:vAlign w:val="center"/>
          </w:tcPr>
          <w:p w14:paraId="3E5E7A3E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kern w:val="0"/>
                <w:sz w:val="28"/>
                <w:szCs w:val="28"/>
              </w:rPr>
              <w:t>科技发展与校企合作部副部长</w:t>
            </w:r>
          </w:p>
        </w:tc>
      </w:tr>
      <w:tr w14:paraId="5F4DC4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 w14:paraId="4A0913EA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阎志涛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6C6B5C4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石家庄职业技术学院</w:t>
            </w:r>
          </w:p>
        </w:tc>
        <w:tc>
          <w:tcPr>
            <w:tcW w:w="3862" w:type="dxa"/>
            <w:shd w:val="clear" w:color="auto" w:fill="auto"/>
            <w:vAlign w:val="center"/>
          </w:tcPr>
          <w:p w14:paraId="09D297BE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财务及资产管理处副处长</w:t>
            </w:r>
          </w:p>
        </w:tc>
      </w:tr>
      <w:tr w14:paraId="43A7B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shd w:val="clear" w:color="auto" w:fill="auto"/>
            <w:vAlign w:val="center"/>
          </w:tcPr>
          <w:p w14:paraId="372C22DF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卢丽莎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3E3765B5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石家庄职业技术学院</w:t>
            </w:r>
          </w:p>
        </w:tc>
        <w:tc>
          <w:tcPr>
            <w:tcW w:w="3862" w:type="dxa"/>
            <w:shd w:val="clear" w:color="auto" w:fill="auto"/>
            <w:vAlign w:val="center"/>
          </w:tcPr>
          <w:p w14:paraId="19667E0F">
            <w:pPr>
              <w:adjustRightIn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财务及资产管理处科员</w:t>
            </w:r>
          </w:p>
        </w:tc>
      </w:tr>
    </w:tbl>
    <w:p w14:paraId="1C980A5B"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sz w:val="32"/>
          <w:szCs w:val="32"/>
        </w:rPr>
      </w:pPr>
    </w:p>
    <w:p w14:paraId="4A422961">
      <w:pPr>
        <w:ind w:firstLine="5120" w:firstLineChars="1600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494F98BD">
      <w:pPr>
        <w:ind w:firstLine="5120" w:firstLineChars="16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石家庄职业技术学院</w:t>
      </w:r>
    </w:p>
    <w:p w14:paraId="640D4981">
      <w:pPr>
        <w:ind w:firstLine="5440" w:firstLineChars="17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2024年4月17日</w:t>
      </w:r>
    </w:p>
    <w:p w14:paraId="721BBC05"/>
    <w:p w14:paraId="0BAC9A7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C8B3BB1"/>
    <w:multiLevelType w:val="singleLevel"/>
    <w:tmpl w:val="CC8B3BB1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dhOTFlNTVkNTkyNTY2ZTJmY2VjZGVkY2NiMTdiYjgifQ=="/>
  </w:docVars>
  <w:rsids>
    <w:rsidRoot w:val="00000000"/>
    <w:rsid w:val="006110CE"/>
    <w:rsid w:val="00924969"/>
    <w:rsid w:val="013D6C91"/>
    <w:rsid w:val="01DF207E"/>
    <w:rsid w:val="01ED514B"/>
    <w:rsid w:val="022E6352"/>
    <w:rsid w:val="02B25A92"/>
    <w:rsid w:val="03265595"/>
    <w:rsid w:val="03886AC0"/>
    <w:rsid w:val="03A169A5"/>
    <w:rsid w:val="043D3D2C"/>
    <w:rsid w:val="04695A54"/>
    <w:rsid w:val="04BD18F3"/>
    <w:rsid w:val="05112566"/>
    <w:rsid w:val="056E0F0A"/>
    <w:rsid w:val="060B651B"/>
    <w:rsid w:val="068C2C12"/>
    <w:rsid w:val="06DD0ACF"/>
    <w:rsid w:val="0843005B"/>
    <w:rsid w:val="084F1B77"/>
    <w:rsid w:val="085823AF"/>
    <w:rsid w:val="08BA62A3"/>
    <w:rsid w:val="095526DB"/>
    <w:rsid w:val="09C4460E"/>
    <w:rsid w:val="0A642E54"/>
    <w:rsid w:val="0A65578A"/>
    <w:rsid w:val="0A8F222E"/>
    <w:rsid w:val="0B4D32E9"/>
    <w:rsid w:val="0B8B573C"/>
    <w:rsid w:val="0C1A54B0"/>
    <w:rsid w:val="0C1D6F65"/>
    <w:rsid w:val="0D19328C"/>
    <w:rsid w:val="0D2A1C62"/>
    <w:rsid w:val="0E01130C"/>
    <w:rsid w:val="0E421D04"/>
    <w:rsid w:val="0E9F2BD2"/>
    <w:rsid w:val="0EF22DCA"/>
    <w:rsid w:val="0F1468D2"/>
    <w:rsid w:val="0F2F08A6"/>
    <w:rsid w:val="0F6B2585"/>
    <w:rsid w:val="10A16F69"/>
    <w:rsid w:val="10DB5141"/>
    <w:rsid w:val="122F453B"/>
    <w:rsid w:val="12482B79"/>
    <w:rsid w:val="12855F1F"/>
    <w:rsid w:val="12991B78"/>
    <w:rsid w:val="12B214DC"/>
    <w:rsid w:val="12B7674B"/>
    <w:rsid w:val="12ED467E"/>
    <w:rsid w:val="1328155A"/>
    <w:rsid w:val="134C57AD"/>
    <w:rsid w:val="13B66D99"/>
    <w:rsid w:val="143675F1"/>
    <w:rsid w:val="144D6E7D"/>
    <w:rsid w:val="145E4234"/>
    <w:rsid w:val="146D4FD5"/>
    <w:rsid w:val="14B7534B"/>
    <w:rsid w:val="14BA2B64"/>
    <w:rsid w:val="1541644A"/>
    <w:rsid w:val="16495FC9"/>
    <w:rsid w:val="165C431C"/>
    <w:rsid w:val="17451417"/>
    <w:rsid w:val="18833833"/>
    <w:rsid w:val="18FF5975"/>
    <w:rsid w:val="19383A11"/>
    <w:rsid w:val="19735C3C"/>
    <w:rsid w:val="19776EEB"/>
    <w:rsid w:val="19C9564D"/>
    <w:rsid w:val="1A507E63"/>
    <w:rsid w:val="1A511962"/>
    <w:rsid w:val="1AB62F55"/>
    <w:rsid w:val="1B0D09A6"/>
    <w:rsid w:val="1C063174"/>
    <w:rsid w:val="1C3332D6"/>
    <w:rsid w:val="1C3E6A0B"/>
    <w:rsid w:val="1C79553D"/>
    <w:rsid w:val="1CEC25F4"/>
    <w:rsid w:val="1D875BD9"/>
    <w:rsid w:val="1DCD17FD"/>
    <w:rsid w:val="1E054FFF"/>
    <w:rsid w:val="1E354DE4"/>
    <w:rsid w:val="1F2B43EE"/>
    <w:rsid w:val="1F343B8E"/>
    <w:rsid w:val="203A04A3"/>
    <w:rsid w:val="20962646"/>
    <w:rsid w:val="20D858EE"/>
    <w:rsid w:val="210D594A"/>
    <w:rsid w:val="2134742E"/>
    <w:rsid w:val="21D70B30"/>
    <w:rsid w:val="230C2359"/>
    <w:rsid w:val="231A5A76"/>
    <w:rsid w:val="23ED5495"/>
    <w:rsid w:val="24240652"/>
    <w:rsid w:val="24B4178D"/>
    <w:rsid w:val="24BB42E3"/>
    <w:rsid w:val="259543F4"/>
    <w:rsid w:val="25B57D8E"/>
    <w:rsid w:val="266162E2"/>
    <w:rsid w:val="27745ACE"/>
    <w:rsid w:val="27F027C1"/>
    <w:rsid w:val="28FD484F"/>
    <w:rsid w:val="290B1A13"/>
    <w:rsid w:val="2AA82BAB"/>
    <w:rsid w:val="2B1A4B1B"/>
    <w:rsid w:val="2B6B5398"/>
    <w:rsid w:val="2B755B55"/>
    <w:rsid w:val="2C7C0BB1"/>
    <w:rsid w:val="2C87046D"/>
    <w:rsid w:val="2CAD6154"/>
    <w:rsid w:val="2D002AD8"/>
    <w:rsid w:val="2E326295"/>
    <w:rsid w:val="2F164E62"/>
    <w:rsid w:val="31193B47"/>
    <w:rsid w:val="318D1546"/>
    <w:rsid w:val="32717C15"/>
    <w:rsid w:val="328457E4"/>
    <w:rsid w:val="329470ED"/>
    <w:rsid w:val="33355BD7"/>
    <w:rsid w:val="334268E1"/>
    <w:rsid w:val="338D05D3"/>
    <w:rsid w:val="33992EE1"/>
    <w:rsid w:val="33E66437"/>
    <w:rsid w:val="345D3322"/>
    <w:rsid w:val="34EC640A"/>
    <w:rsid w:val="354A43FD"/>
    <w:rsid w:val="35676752"/>
    <w:rsid w:val="362871D5"/>
    <w:rsid w:val="364847D1"/>
    <w:rsid w:val="36CA5912"/>
    <w:rsid w:val="36FA0481"/>
    <w:rsid w:val="37972BF7"/>
    <w:rsid w:val="37A861E0"/>
    <w:rsid w:val="395E0BF9"/>
    <w:rsid w:val="3B3D2944"/>
    <w:rsid w:val="3BD52DE9"/>
    <w:rsid w:val="3BF05B15"/>
    <w:rsid w:val="3C5E3DA1"/>
    <w:rsid w:val="3C685327"/>
    <w:rsid w:val="3C88442B"/>
    <w:rsid w:val="3D3366D9"/>
    <w:rsid w:val="3F596E5A"/>
    <w:rsid w:val="3FB22DA7"/>
    <w:rsid w:val="40037C52"/>
    <w:rsid w:val="413C576B"/>
    <w:rsid w:val="41CD0831"/>
    <w:rsid w:val="41E11F32"/>
    <w:rsid w:val="422B1F35"/>
    <w:rsid w:val="43527B9C"/>
    <w:rsid w:val="435F4B8B"/>
    <w:rsid w:val="43AE1E95"/>
    <w:rsid w:val="44B3758A"/>
    <w:rsid w:val="44EB4908"/>
    <w:rsid w:val="4508535D"/>
    <w:rsid w:val="459E23B2"/>
    <w:rsid w:val="46E634F3"/>
    <w:rsid w:val="491357EC"/>
    <w:rsid w:val="49384316"/>
    <w:rsid w:val="49753831"/>
    <w:rsid w:val="4984581E"/>
    <w:rsid w:val="49916195"/>
    <w:rsid w:val="4AAB4F86"/>
    <w:rsid w:val="4B3E0902"/>
    <w:rsid w:val="4BA93006"/>
    <w:rsid w:val="4BB67402"/>
    <w:rsid w:val="4CD64583"/>
    <w:rsid w:val="4D160512"/>
    <w:rsid w:val="4D580B78"/>
    <w:rsid w:val="4DEB320D"/>
    <w:rsid w:val="4DF5160A"/>
    <w:rsid w:val="4E8C017B"/>
    <w:rsid w:val="4EFC6208"/>
    <w:rsid w:val="4F3D69DF"/>
    <w:rsid w:val="4F45114D"/>
    <w:rsid w:val="504A7D8A"/>
    <w:rsid w:val="504E24A8"/>
    <w:rsid w:val="50C34405"/>
    <w:rsid w:val="51437033"/>
    <w:rsid w:val="51EE7A96"/>
    <w:rsid w:val="521F2837"/>
    <w:rsid w:val="52D33A67"/>
    <w:rsid w:val="52F42212"/>
    <w:rsid w:val="53C3297F"/>
    <w:rsid w:val="540C5E54"/>
    <w:rsid w:val="54AC34C0"/>
    <w:rsid w:val="55151719"/>
    <w:rsid w:val="554C6FF3"/>
    <w:rsid w:val="560814A1"/>
    <w:rsid w:val="5669042E"/>
    <w:rsid w:val="568D4830"/>
    <w:rsid w:val="5857651F"/>
    <w:rsid w:val="58583683"/>
    <w:rsid w:val="5895505D"/>
    <w:rsid w:val="5993429A"/>
    <w:rsid w:val="5A2B2362"/>
    <w:rsid w:val="5A8341B9"/>
    <w:rsid w:val="5B5C66D6"/>
    <w:rsid w:val="5BCC528A"/>
    <w:rsid w:val="5C31557E"/>
    <w:rsid w:val="5C3A00B1"/>
    <w:rsid w:val="5C913C44"/>
    <w:rsid w:val="5D1E66EC"/>
    <w:rsid w:val="5D4E3CDC"/>
    <w:rsid w:val="5E8D27FE"/>
    <w:rsid w:val="5EF54C72"/>
    <w:rsid w:val="5F0B72C0"/>
    <w:rsid w:val="5FF55C73"/>
    <w:rsid w:val="601A43EF"/>
    <w:rsid w:val="62111544"/>
    <w:rsid w:val="62480EC0"/>
    <w:rsid w:val="62947054"/>
    <w:rsid w:val="62B33667"/>
    <w:rsid w:val="6341190E"/>
    <w:rsid w:val="63433E8C"/>
    <w:rsid w:val="64556F5E"/>
    <w:rsid w:val="64837ACB"/>
    <w:rsid w:val="655A3716"/>
    <w:rsid w:val="65651C47"/>
    <w:rsid w:val="66113474"/>
    <w:rsid w:val="66831F5B"/>
    <w:rsid w:val="66ED01CC"/>
    <w:rsid w:val="677D303D"/>
    <w:rsid w:val="67D85133"/>
    <w:rsid w:val="67DC0204"/>
    <w:rsid w:val="682446D6"/>
    <w:rsid w:val="687418A4"/>
    <w:rsid w:val="68C321C9"/>
    <w:rsid w:val="695B431F"/>
    <w:rsid w:val="69C21EF7"/>
    <w:rsid w:val="6A3D7354"/>
    <w:rsid w:val="6AF8793F"/>
    <w:rsid w:val="6BDB1722"/>
    <w:rsid w:val="6BF46260"/>
    <w:rsid w:val="6C1525FA"/>
    <w:rsid w:val="6CC10AD1"/>
    <w:rsid w:val="6CE36AB7"/>
    <w:rsid w:val="6E103A86"/>
    <w:rsid w:val="6E1050A6"/>
    <w:rsid w:val="6F0B0CC6"/>
    <w:rsid w:val="6F12563D"/>
    <w:rsid w:val="6F337362"/>
    <w:rsid w:val="6F6A73F2"/>
    <w:rsid w:val="6F821D53"/>
    <w:rsid w:val="6FAA01F4"/>
    <w:rsid w:val="6FD91669"/>
    <w:rsid w:val="70836CE3"/>
    <w:rsid w:val="709A605A"/>
    <w:rsid w:val="715560E2"/>
    <w:rsid w:val="724B228F"/>
    <w:rsid w:val="72C8648B"/>
    <w:rsid w:val="72CF15E0"/>
    <w:rsid w:val="72E91436"/>
    <w:rsid w:val="730272BA"/>
    <w:rsid w:val="74157883"/>
    <w:rsid w:val="74F227BC"/>
    <w:rsid w:val="753361E1"/>
    <w:rsid w:val="757A54F6"/>
    <w:rsid w:val="76EF07CB"/>
    <w:rsid w:val="778B35DA"/>
    <w:rsid w:val="787367B1"/>
    <w:rsid w:val="793C58A9"/>
    <w:rsid w:val="79470569"/>
    <w:rsid w:val="79702823"/>
    <w:rsid w:val="79B63A17"/>
    <w:rsid w:val="7A075B47"/>
    <w:rsid w:val="7A420F32"/>
    <w:rsid w:val="7A4A0744"/>
    <w:rsid w:val="7AEE4A62"/>
    <w:rsid w:val="7C0E6296"/>
    <w:rsid w:val="7D0D692E"/>
    <w:rsid w:val="7D274CB8"/>
    <w:rsid w:val="7D794BBC"/>
    <w:rsid w:val="7D916C33"/>
    <w:rsid w:val="7E643F26"/>
    <w:rsid w:val="7F4011ED"/>
    <w:rsid w:val="7F7916A7"/>
    <w:rsid w:val="7FF75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333333"/>
      <w:sz w:val="21"/>
      <w:szCs w:val="21"/>
      <w:u w:val="none"/>
    </w:rPr>
  </w:style>
  <w:style w:type="character" w:styleId="6">
    <w:name w:val="Hyperlink"/>
    <w:basedOn w:val="4"/>
    <w:qFormat/>
    <w:uiPriority w:val="0"/>
    <w:rPr>
      <w:color w:val="333333"/>
      <w:sz w:val="21"/>
      <w:szCs w:val="21"/>
      <w:u w:val="none"/>
    </w:rPr>
  </w:style>
  <w:style w:type="paragraph" w:customStyle="1" w:styleId="7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8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9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0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1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3454</Words>
  <Characters>3685</Characters>
  <Lines>0</Lines>
  <Paragraphs>0</Paragraphs>
  <TotalTime>43</TotalTime>
  <ScaleCrop>false</ScaleCrop>
  <LinksUpToDate>false</LinksUpToDate>
  <CharactersWithSpaces>3701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2022-03-26T09:05:00Z</dcterms:created>
  <dc:creator>Administrator</dc:creator>
  <cp:lastModifiedBy>John</cp:lastModifiedBy>
  <cp:lastPrinted>2024-04-18T03:27:00Z</cp:lastPrinted>
  <dcterms:modified xsi:type="dcterms:W3CDTF">2024-10-25T08:53:27Z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82E11A9E20B24536AF6A6A263DB489EE</vt:lpwstr>
  </property>
</Properties>
</file>